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8F3F6" w14:textId="77777777" w:rsidR="00DA561C" w:rsidRPr="00E01239" w:rsidRDefault="00DA561C" w:rsidP="00DA561C">
      <w:pPr>
        <w:jc w:val="center"/>
        <w:rPr>
          <w:rFonts w:asciiTheme="minorHAnsi" w:hAnsiTheme="minorHAnsi" w:cstheme="minorHAnsi"/>
          <w:b/>
          <w:sz w:val="22"/>
          <w:szCs w:val="22"/>
        </w:rPr>
      </w:pPr>
      <w:bookmarkStart w:id="0" w:name="_Hlk61948610"/>
      <w:r w:rsidRPr="00E01239">
        <w:rPr>
          <w:rFonts w:asciiTheme="minorHAnsi" w:hAnsiTheme="minorHAnsi" w:cstheme="minorHAnsi"/>
          <w:b/>
          <w:sz w:val="22"/>
          <w:szCs w:val="22"/>
        </w:rPr>
        <w:t>REPUBLIQUE DU SENEGAL</w:t>
      </w:r>
    </w:p>
    <w:p w14:paraId="38240A92" w14:textId="77777777" w:rsidR="00DA561C" w:rsidRPr="00E01239" w:rsidRDefault="00DA561C" w:rsidP="00DA561C">
      <w:pPr>
        <w:jc w:val="center"/>
        <w:rPr>
          <w:rFonts w:asciiTheme="minorHAnsi" w:hAnsiTheme="minorHAnsi" w:cstheme="minorHAnsi"/>
          <w:bCs/>
          <w:i/>
          <w:iCs/>
          <w:sz w:val="22"/>
          <w:szCs w:val="22"/>
        </w:rPr>
      </w:pPr>
      <w:r w:rsidRPr="00E01239">
        <w:rPr>
          <w:rFonts w:asciiTheme="minorHAnsi" w:hAnsiTheme="minorHAnsi" w:cstheme="minorHAnsi"/>
          <w:bCs/>
          <w:i/>
          <w:iCs/>
          <w:sz w:val="22"/>
          <w:szCs w:val="22"/>
        </w:rPr>
        <w:t>Un Peuple – Un But – Une Foi</w:t>
      </w:r>
    </w:p>
    <w:p w14:paraId="59B65396" w14:textId="77777777" w:rsidR="00DA561C" w:rsidRPr="00E01239" w:rsidRDefault="00AD4E2F" w:rsidP="00DA561C">
      <w:pPr>
        <w:jc w:val="center"/>
        <w:rPr>
          <w:rFonts w:asciiTheme="minorHAnsi" w:hAnsiTheme="minorHAnsi" w:cstheme="minorHAnsi"/>
          <w:b/>
          <w:sz w:val="22"/>
          <w:szCs w:val="22"/>
        </w:rPr>
      </w:pPr>
      <w:r w:rsidRPr="00E01239">
        <w:rPr>
          <w:rFonts w:asciiTheme="minorHAnsi" w:hAnsiTheme="minorHAnsi" w:cstheme="minorHAnsi"/>
          <w:noProof/>
          <w:sz w:val="22"/>
          <w:szCs w:val="22"/>
        </w:rPr>
        <w:drawing>
          <wp:anchor distT="0" distB="0" distL="114300" distR="114300" simplePos="0" relativeHeight="251658241" behindDoc="0" locked="0" layoutInCell="1" allowOverlap="1" wp14:anchorId="7F18B026" wp14:editId="7E10F140">
            <wp:simplePos x="0" y="0"/>
            <wp:positionH relativeFrom="margin">
              <wp:align>center</wp:align>
            </wp:positionH>
            <wp:positionV relativeFrom="paragraph">
              <wp:posOffset>128905</wp:posOffset>
            </wp:positionV>
            <wp:extent cx="1104265" cy="734060"/>
            <wp:effectExtent l="0" t="0" r="635" b="8890"/>
            <wp:wrapNone/>
            <wp:docPr id="6" name="Picture 6" descr="https://upload.wikimedia.org/wikipedia/commons/thumb/f/fd/Flag_of_Senegal.svg/1280px-Flag_of_Seneg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f/fd/Flag_of_Senegal.svg/1280px-Flag_of_Senegal.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104265" cy="73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18572" w14:textId="77777777" w:rsidR="00DA561C" w:rsidRPr="00E01239" w:rsidRDefault="00DA561C" w:rsidP="00DA561C">
      <w:pPr>
        <w:jc w:val="center"/>
        <w:rPr>
          <w:rFonts w:asciiTheme="minorHAnsi" w:hAnsiTheme="minorHAnsi" w:cstheme="minorHAnsi"/>
          <w:b/>
          <w:sz w:val="22"/>
          <w:szCs w:val="22"/>
        </w:rPr>
      </w:pPr>
    </w:p>
    <w:p w14:paraId="2F594C18" w14:textId="77777777" w:rsidR="00DA561C" w:rsidRPr="00E01239" w:rsidRDefault="00DA561C" w:rsidP="00DA561C">
      <w:pPr>
        <w:jc w:val="center"/>
        <w:rPr>
          <w:rFonts w:asciiTheme="minorHAnsi" w:hAnsiTheme="minorHAnsi" w:cstheme="minorHAnsi"/>
          <w:b/>
          <w:sz w:val="22"/>
          <w:szCs w:val="22"/>
        </w:rPr>
      </w:pPr>
    </w:p>
    <w:p w14:paraId="0FC8FADB" w14:textId="77777777" w:rsidR="00DA561C" w:rsidRPr="00E01239" w:rsidRDefault="00DA561C" w:rsidP="00DA561C">
      <w:pPr>
        <w:jc w:val="center"/>
        <w:rPr>
          <w:rFonts w:asciiTheme="minorHAnsi" w:hAnsiTheme="minorHAnsi" w:cstheme="minorHAnsi"/>
          <w:b/>
          <w:sz w:val="22"/>
          <w:szCs w:val="22"/>
        </w:rPr>
      </w:pPr>
    </w:p>
    <w:p w14:paraId="2C4C57A3" w14:textId="77777777" w:rsidR="00DA561C" w:rsidRPr="00E01239" w:rsidRDefault="00DA561C" w:rsidP="00DA561C">
      <w:pPr>
        <w:rPr>
          <w:rFonts w:asciiTheme="minorHAnsi" w:hAnsiTheme="minorHAnsi" w:cstheme="minorHAnsi"/>
          <w:b/>
          <w:sz w:val="22"/>
          <w:szCs w:val="22"/>
        </w:rPr>
      </w:pPr>
    </w:p>
    <w:p w14:paraId="07CAC4E9" w14:textId="39612761" w:rsidR="00DA561C" w:rsidRPr="00E01239" w:rsidRDefault="00807483" w:rsidP="00DA561C">
      <w:pPr>
        <w:jc w:val="center"/>
        <w:rPr>
          <w:rFonts w:asciiTheme="minorHAnsi" w:hAnsiTheme="minorHAnsi" w:cstheme="minorHAnsi"/>
          <w:b/>
          <w:sz w:val="22"/>
          <w:szCs w:val="22"/>
        </w:rPr>
      </w:pPr>
      <w:r w:rsidRPr="00E01239">
        <w:rPr>
          <w:rFonts w:asciiTheme="minorHAnsi" w:hAnsiTheme="minorHAnsi" w:cstheme="minorHAnsi"/>
          <w:b/>
          <w:noProof/>
          <w:sz w:val="22"/>
          <w:szCs w:val="22"/>
        </w:rPr>
        <w:drawing>
          <wp:inline distT="0" distB="0" distL="0" distR="0" wp14:anchorId="5F3097AB" wp14:editId="0EA59A13">
            <wp:extent cx="3060000" cy="289464"/>
            <wp:effectExtent l="0" t="0" r="0" b="0"/>
            <wp:docPr id="1617205360" name="Picture 161720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05360" name="Image 1617205360"/>
                    <pic:cNvPicPr/>
                  </pic:nvPicPr>
                  <pic:blipFill>
                    <a:blip r:embed="rId13">
                      <a:extLst>
                        <a:ext uri="{28A0092B-C50C-407E-A947-70E740481C1C}">
                          <a14:useLocalDpi xmlns:a14="http://schemas.microsoft.com/office/drawing/2010/main" val="0"/>
                        </a:ext>
                      </a:extLst>
                    </a:blip>
                    <a:stretch>
                      <a:fillRect/>
                    </a:stretch>
                  </pic:blipFill>
                  <pic:spPr>
                    <a:xfrm>
                      <a:off x="0" y="0"/>
                      <a:ext cx="3060000" cy="289464"/>
                    </a:xfrm>
                    <a:prstGeom prst="rect">
                      <a:avLst/>
                    </a:prstGeom>
                  </pic:spPr>
                </pic:pic>
              </a:graphicData>
            </a:graphic>
          </wp:inline>
        </w:drawing>
      </w:r>
    </w:p>
    <w:p w14:paraId="08F0D712" w14:textId="77777777" w:rsidR="00DA561C" w:rsidRPr="00E01239" w:rsidRDefault="00DA561C" w:rsidP="00DA561C">
      <w:pPr>
        <w:jc w:val="center"/>
        <w:rPr>
          <w:rFonts w:asciiTheme="minorHAnsi" w:hAnsiTheme="minorHAnsi" w:cstheme="minorHAnsi"/>
          <w:b/>
          <w:sz w:val="22"/>
          <w:szCs w:val="22"/>
        </w:rPr>
      </w:pPr>
    </w:p>
    <w:tbl>
      <w:tblPr>
        <w:tblStyle w:val="Grilledutableau"/>
        <w:tblW w:w="0" w:type="auto"/>
        <w:tblLook w:val="04A0" w:firstRow="1" w:lastRow="0" w:firstColumn="1" w:lastColumn="0" w:noHBand="0" w:noVBand="1"/>
      </w:tblPr>
      <w:tblGrid>
        <w:gridCol w:w="4530"/>
        <w:gridCol w:w="4531"/>
      </w:tblGrid>
      <w:tr w:rsidR="00807483" w:rsidRPr="00E01239" w14:paraId="5A5F4F54" w14:textId="77777777" w:rsidTr="00807483">
        <w:tc>
          <w:tcPr>
            <w:tcW w:w="4530" w:type="dxa"/>
            <w:vAlign w:val="center"/>
          </w:tcPr>
          <w:p w14:paraId="493BD96C" w14:textId="77777777" w:rsidR="00807483" w:rsidRPr="00E01239" w:rsidRDefault="00807483" w:rsidP="00807483">
            <w:pPr>
              <w:jc w:val="center"/>
              <w:rPr>
                <w:rFonts w:asciiTheme="minorHAnsi" w:hAnsiTheme="minorHAnsi" w:cstheme="minorHAnsi"/>
                <w:b/>
                <w:sz w:val="22"/>
                <w:szCs w:val="22"/>
              </w:rPr>
            </w:pPr>
            <w:r w:rsidRPr="00E01239">
              <w:rPr>
                <w:rFonts w:asciiTheme="minorHAnsi" w:hAnsiTheme="minorHAnsi" w:cstheme="minorHAnsi"/>
                <w:b/>
                <w:sz w:val="22"/>
                <w:szCs w:val="22"/>
              </w:rPr>
              <w:t>MINISTERE DE L'ELEVAGE ET DES PRODUCTIONS ANIMALES</w:t>
            </w:r>
          </w:p>
          <w:p w14:paraId="6CCBD8DB" w14:textId="77777777" w:rsidR="00807483" w:rsidRPr="00E01239" w:rsidRDefault="00807483" w:rsidP="00807483">
            <w:pPr>
              <w:jc w:val="center"/>
              <w:rPr>
                <w:rFonts w:asciiTheme="minorHAnsi" w:hAnsiTheme="minorHAnsi" w:cstheme="minorHAnsi"/>
                <w:b/>
                <w:sz w:val="22"/>
                <w:szCs w:val="22"/>
              </w:rPr>
            </w:pPr>
          </w:p>
        </w:tc>
        <w:tc>
          <w:tcPr>
            <w:tcW w:w="4531" w:type="dxa"/>
            <w:vAlign w:val="center"/>
          </w:tcPr>
          <w:p w14:paraId="634B49E9" w14:textId="7A91FA55" w:rsidR="00807483" w:rsidRPr="00E01239" w:rsidRDefault="00807483" w:rsidP="00807483">
            <w:pPr>
              <w:jc w:val="center"/>
              <w:rPr>
                <w:rFonts w:asciiTheme="minorHAnsi" w:hAnsiTheme="minorHAnsi" w:cstheme="minorHAnsi"/>
                <w:b/>
                <w:sz w:val="22"/>
                <w:szCs w:val="22"/>
              </w:rPr>
            </w:pPr>
            <w:r w:rsidRPr="00E01239">
              <w:rPr>
                <w:rFonts w:asciiTheme="minorHAnsi" w:hAnsiTheme="minorHAnsi" w:cstheme="minorHAnsi"/>
                <w:b/>
                <w:sz w:val="22"/>
                <w:szCs w:val="22"/>
              </w:rPr>
              <w:t>MINISTERE DE L'AGRICULTURE, DE L'EQUIPEMENT RURAL ET DE LA SOUVERAINETE ALIMENTAIRE</w:t>
            </w:r>
          </w:p>
        </w:tc>
      </w:tr>
      <w:tr w:rsidR="00807483" w:rsidRPr="00E01239" w14:paraId="6DE6FAD6" w14:textId="77777777" w:rsidTr="00807483">
        <w:trPr>
          <w:trHeight w:val="1701"/>
        </w:trPr>
        <w:tc>
          <w:tcPr>
            <w:tcW w:w="4530" w:type="dxa"/>
          </w:tcPr>
          <w:p w14:paraId="157321A2" w14:textId="4A0F13C2" w:rsidR="00807483" w:rsidRPr="00E01239" w:rsidRDefault="00807483" w:rsidP="00807483">
            <w:pPr>
              <w:jc w:val="center"/>
              <w:rPr>
                <w:rFonts w:asciiTheme="minorHAnsi" w:hAnsiTheme="minorHAnsi" w:cstheme="minorHAnsi"/>
                <w:b/>
                <w:sz w:val="22"/>
                <w:szCs w:val="22"/>
              </w:rPr>
            </w:pPr>
            <w:r w:rsidRPr="00E01239">
              <w:rPr>
                <w:rFonts w:asciiTheme="minorHAnsi" w:hAnsiTheme="minorHAnsi" w:cstheme="minorHAnsi"/>
                <w:b/>
                <w:noProof/>
                <w:sz w:val="22"/>
                <w:szCs w:val="22"/>
              </w:rPr>
              <w:drawing>
                <wp:inline distT="0" distB="0" distL="0" distR="0" wp14:anchorId="3F75E839" wp14:editId="399D7434">
                  <wp:extent cx="1044000" cy="738092"/>
                  <wp:effectExtent l="0" t="0" r="0" b="5080"/>
                  <wp:docPr id="908232981" name="Picture 908232981" descr="Une image contenant texte, graphism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32981" name="Image 2" descr="Une image contenant texte, graphisme, Graphique, Polic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4000" cy="738092"/>
                          </a:xfrm>
                          <a:prstGeom prst="rect">
                            <a:avLst/>
                          </a:prstGeom>
                        </pic:spPr>
                      </pic:pic>
                    </a:graphicData>
                  </a:graphic>
                </wp:inline>
              </w:drawing>
            </w:r>
          </w:p>
        </w:tc>
        <w:tc>
          <w:tcPr>
            <w:tcW w:w="4531" w:type="dxa"/>
          </w:tcPr>
          <w:p w14:paraId="7CDE0EB4" w14:textId="7EF41BC7" w:rsidR="00807483" w:rsidRPr="00E01239" w:rsidRDefault="00807483" w:rsidP="00807483">
            <w:pPr>
              <w:jc w:val="center"/>
              <w:rPr>
                <w:rFonts w:asciiTheme="minorHAnsi" w:hAnsiTheme="minorHAnsi" w:cstheme="minorHAnsi"/>
                <w:b/>
                <w:sz w:val="22"/>
                <w:szCs w:val="22"/>
              </w:rPr>
            </w:pPr>
            <w:r w:rsidRPr="00E01239">
              <w:rPr>
                <w:rFonts w:asciiTheme="minorHAnsi" w:hAnsiTheme="minorHAnsi" w:cstheme="minorHAnsi"/>
                <w:b/>
                <w:noProof/>
                <w:sz w:val="22"/>
                <w:szCs w:val="22"/>
              </w:rPr>
              <w:drawing>
                <wp:inline distT="0" distB="0" distL="0" distR="0" wp14:anchorId="75DAAD7B" wp14:editId="18E2387B">
                  <wp:extent cx="1079500" cy="882650"/>
                  <wp:effectExtent l="0" t="0" r="6350" b="0"/>
                  <wp:docPr id="866404152" name="Picture 866404152" descr="Une image contenant text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04152" name="Image 3" descr="Une image contenant texte, logo, conception&#10;&#10;Description générée automatiquement"/>
                          <pic:cNvPicPr/>
                        </pic:nvPicPr>
                        <pic:blipFill rotWithShape="1">
                          <a:blip r:embed="rId15" cstate="print">
                            <a:extLst>
                              <a:ext uri="{28A0092B-C50C-407E-A947-70E740481C1C}">
                                <a14:useLocalDpi xmlns:a14="http://schemas.microsoft.com/office/drawing/2010/main" val="0"/>
                              </a:ext>
                            </a:extLst>
                          </a:blip>
                          <a:srcRect b="18235"/>
                          <a:stretch/>
                        </pic:blipFill>
                        <pic:spPr bwMode="auto">
                          <a:xfrm>
                            <a:off x="0" y="0"/>
                            <a:ext cx="1080000" cy="8830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CE0506" w14:textId="77777777" w:rsidR="00807483" w:rsidRPr="00E01239" w:rsidRDefault="00807483" w:rsidP="0080252A">
      <w:pPr>
        <w:jc w:val="center"/>
        <w:rPr>
          <w:rFonts w:asciiTheme="minorHAnsi" w:hAnsiTheme="minorHAnsi" w:cstheme="minorHAnsi"/>
          <w:b/>
          <w:sz w:val="22"/>
          <w:szCs w:val="22"/>
        </w:rPr>
      </w:pPr>
    </w:p>
    <w:p w14:paraId="4251D983" w14:textId="77777777" w:rsidR="00DA561C" w:rsidRPr="00E01239" w:rsidRDefault="00AD4E2F" w:rsidP="00DA561C">
      <w:pPr>
        <w:jc w:val="center"/>
        <w:rPr>
          <w:rFonts w:asciiTheme="minorHAnsi" w:hAnsiTheme="minorHAnsi" w:cstheme="minorHAnsi"/>
          <w:b/>
          <w:sz w:val="22"/>
          <w:szCs w:val="22"/>
        </w:rPr>
      </w:pPr>
      <w:r w:rsidRPr="00E01239">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0D50A490" wp14:editId="69C5CD8D">
                <wp:simplePos x="0" y="0"/>
                <wp:positionH relativeFrom="margin">
                  <wp:posOffset>643890</wp:posOffset>
                </wp:positionH>
                <wp:positionV relativeFrom="paragraph">
                  <wp:posOffset>146685</wp:posOffset>
                </wp:positionV>
                <wp:extent cx="4846955" cy="38100"/>
                <wp:effectExtent l="19050" t="19050" r="10795"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6955" cy="38100"/>
                        </a:xfrm>
                        <a:prstGeom prst="line">
                          <a:avLst/>
                        </a:prstGeom>
                        <a:noFill/>
                        <a:ln w="38100">
                          <a:solidFill>
                            <a:srgbClr val="4F81BD"/>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12EA88B7"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7pt,11.55pt" to="432.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" strokecolor="#4f81bd" strokeweight="3pt">
                <v:stroke joinstyle="miter"/>
                <w10:wrap anchorx="margin"/>
              </v:line>
            </w:pict>
          </mc:Fallback>
        </mc:AlternateContent>
      </w:r>
    </w:p>
    <w:p w14:paraId="59123F45" w14:textId="17BAA2EF" w:rsidR="00DA561C" w:rsidRPr="00E01239" w:rsidRDefault="00DA561C" w:rsidP="00DA561C">
      <w:pPr>
        <w:spacing w:line="200" w:lineRule="exact"/>
        <w:rPr>
          <w:rFonts w:asciiTheme="minorHAnsi" w:hAnsiTheme="minorHAnsi" w:cstheme="minorHAnsi"/>
          <w:sz w:val="22"/>
          <w:szCs w:val="22"/>
        </w:rPr>
      </w:pPr>
    </w:p>
    <w:p w14:paraId="6E097586" w14:textId="7BEE998D" w:rsidR="0080252A" w:rsidRPr="00E01239" w:rsidRDefault="0080252A" w:rsidP="00DA561C">
      <w:pPr>
        <w:spacing w:line="200" w:lineRule="exact"/>
        <w:rPr>
          <w:rFonts w:asciiTheme="minorHAnsi" w:hAnsiTheme="minorHAnsi" w:cstheme="minorHAnsi"/>
          <w:sz w:val="22"/>
          <w:szCs w:val="22"/>
        </w:rPr>
      </w:pPr>
    </w:p>
    <w:p w14:paraId="0B85AA71" w14:textId="21E85A0A" w:rsidR="0080252A" w:rsidRPr="00E01239" w:rsidRDefault="0080252A" w:rsidP="00DA561C">
      <w:pPr>
        <w:spacing w:line="200" w:lineRule="exact"/>
        <w:rPr>
          <w:rFonts w:asciiTheme="minorHAnsi" w:hAnsiTheme="minorHAnsi" w:cstheme="minorHAnsi"/>
          <w:sz w:val="22"/>
          <w:szCs w:val="22"/>
        </w:rPr>
      </w:pPr>
    </w:p>
    <w:p w14:paraId="5CBA3D2D" w14:textId="0C5FD85C" w:rsidR="0080252A" w:rsidRPr="00E01239" w:rsidRDefault="0080252A" w:rsidP="00582C4E">
      <w:pPr>
        <w:jc w:val="center"/>
        <w:rPr>
          <w:rFonts w:asciiTheme="minorHAnsi" w:hAnsiTheme="minorHAnsi" w:cstheme="minorHAnsi"/>
          <w:b/>
          <w:bCs/>
          <w:smallCaps/>
          <w:color w:val="0070C0"/>
          <w:sz w:val="22"/>
          <w:szCs w:val="22"/>
          <w:lang w:eastAsia="en-US"/>
        </w:rPr>
      </w:pPr>
      <w:r w:rsidRPr="00E01239">
        <w:rPr>
          <w:rFonts w:asciiTheme="minorHAnsi" w:hAnsiTheme="minorHAnsi" w:cstheme="minorHAnsi"/>
          <w:b/>
          <w:bCs/>
          <w:smallCaps/>
          <w:color w:val="0070C0"/>
          <w:sz w:val="22"/>
          <w:szCs w:val="22"/>
          <w:lang w:eastAsia="en-US"/>
        </w:rPr>
        <w:t xml:space="preserve">PROGRAMME DE RÉSILIENCE DU SYSTÈME ALIMENTAIRE EN AFRIQUE DE L'OUEST </w:t>
      </w:r>
      <w:r w:rsidR="00806A39" w:rsidRPr="00E01239">
        <w:rPr>
          <w:rFonts w:asciiTheme="minorHAnsi" w:hAnsiTheme="minorHAnsi" w:cstheme="minorHAnsi"/>
          <w:b/>
          <w:bCs/>
          <w:smallCaps/>
          <w:color w:val="0070C0"/>
          <w:sz w:val="22"/>
          <w:szCs w:val="22"/>
          <w:lang w:eastAsia="en-US"/>
        </w:rPr>
        <w:t xml:space="preserve">POUR LE SÉNÉGAL </w:t>
      </w:r>
      <w:r w:rsidRPr="00E01239">
        <w:rPr>
          <w:rFonts w:asciiTheme="minorHAnsi" w:hAnsiTheme="minorHAnsi" w:cstheme="minorHAnsi"/>
          <w:b/>
          <w:bCs/>
          <w:smallCaps/>
          <w:color w:val="0070C0"/>
          <w:sz w:val="22"/>
          <w:szCs w:val="22"/>
          <w:lang w:eastAsia="en-US"/>
        </w:rPr>
        <w:t>(FSRP</w:t>
      </w:r>
      <w:r w:rsidR="00806A39" w:rsidRPr="00E01239">
        <w:rPr>
          <w:rFonts w:asciiTheme="minorHAnsi" w:hAnsiTheme="minorHAnsi" w:cstheme="minorHAnsi"/>
          <w:b/>
          <w:bCs/>
          <w:smallCaps/>
          <w:color w:val="0070C0"/>
          <w:sz w:val="22"/>
          <w:szCs w:val="22"/>
          <w:lang w:eastAsia="en-US"/>
        </w:rPr>
        <w:t>-SN</w:t>
      </w:r>
      <w:r w:rsidRPr="00E01239">
        <w:rPr>
          <w:rFonts w:asciiTheme="minorHAnsi" w:hAnsiTheme="minorHAnsi" w:cstheme="minorHAnsi"/>
          <w:b/>
          <w:bCs/>
          <w:smallCaps/>
          <w:color w:val="0070C0"/>
          <w:sz w:val="22"/>
          <w:szCs w:val="22"/>
          <w:lang w:eastAsia="en-US"/>
        </w:rPr>
        <w:t xml:space="preserve">) </w:t>
      </w:r>
    </w:p>
    <w:p w14:paraId="69D2F2D1" w14:textId="77777777" w:rsidR="0080252A" w:rsidRPr="00E01239" w:rsidRDefault="0080252A" w:rsidP="00DA561C">
      <w:pPr>
        <w:spacing w:line="200" w:lineRule="exact"/>
        <w:rPr>
          <w:rFonts w:asciiTheme="minorHAnsi" w:hAnsiTheme="minorHAnsi" w:cstheme="minorHAnsi"/>
          <w:sz w:val="22"/>
          <w:szCs w:val="22"/>
        </w:rPr>
      </w:pPr>
    </w:p>
    <w:p w14:paraId="5D839300" w14:textId="568CB4F2" w:rsidR="00DA561C" w:rsidRPr="00E01239" w:rsidRDefault="00DA561C" w:rsidP="00DA561C">
      <w:pPr>
        <w:jc w:val="center"/>
        <w:rPr>
          <w:rFonts w:asciiTheme="minorHAnsi" w:eastAsia="MS Gothic" w:hAnsiTheme="minorHAnsi" w:cstheme="minorHAnsi"/>
          <w:b/>
          <w:bCs/>
          <w:color w:val="0070C0"/>
          <w:sz w:val="22"/>
          <w:szCs w:val="22"/>
          <w:lang w:bidi="hi-IN"/>
        </w:rPr>
      </w:pPr>
      <w:r w:rsidRPr="00E01239">
        <w:rPr>
          <w:rFonts w:asciiTheme="minorHAnsi" w:eastAsia="MS Gothic" w:hAnsiTheme="minorHAnsi" w:cstheme="minorHAnsi"/>
          <w:b/>
          <w:bCs/>
          <w:color w:val="0070C0"/>
          <w:sz w:val="22"/>
          <w:szCs w:val="22"/>
          <w:lang w:bidi="hi-IN"/>
        </w:rPr>
        <w:t>(</w:t>
      </w:r>
      <w:r w:rsidR="0005542D" w:rsidRPr="00E01239">
        <w:rPr>
          <w:rFonts w:asciiTheme="minorHAnsi" w:eastAsia="MS Gothic" w:hAnsiTheme="minorHAnsi" w:cstheme="minorHAnsi"/>
          <w:b/>
          <w:bCs/>
          <w:color w:val="0070C0"/>
          <w:sz w:val="22"/>
          <w:szCs w:val="22"/>
          <w:lang w:bidi="hi-IN"/>
        </w:rPr>
        <w:t>P180244</w:t>
      </w:r>
      <w:r w:rsidRPr="00E01239">
        <w:rPr>
          <w:rFonts w:asciiTheme="minorHAnsi" w:eastAsia="MS Gothic" w:hAnsiTheme="minorHAnsi" w:cstheme="minorHAnsi"/>
          <w:b/>
          <w:bCs/>
          <w:color w:val="0070C0"/>
          <w:sz w:val="22"/>
          <w:szCs w:val="22"/>
          <w:lang w:bidi="hi-IN"/>
        </w:rPr>
        <w:t>)</w:t>
      </w:r>
    </w:p>
    <w:p w14:paraId="7F3D0909" w14:textId="77777777" w:rsidR="00DA561C" w:rsidRPr="00E01239" w:rsidRDefault="00DA561C" w:rsidP="00DA561C">
      <w:pPr>
        <w:jc w:val="center"/>
        <w:rPr>
          <w:rFonts w:asciiTheme="minorHAnsi" w:eastAsia="MS Gothic" w:hAnsiTheme="minorHAnsi" w:cstheme="minorHAnsi"/>
          <w:b/>
          <w:bCs/>
          <w:color w:val="0070C0"/>
          <w:sz w:val="22"/>
          <w:szCs w:val="22"/>
          <w:lang w:bidi="hi-IN"/>
        </w:rPr>
      </w:pPr>
    </w:p>
    <w:p w14:paraId="639099E6" w14:textId="0911D018" w:rsidR="00DA561C" w:rsidRPr="00E01239" w:rsidRDefault="00DA561C" w:rsidP="00DA561C">
      <w:pPr>
        <w:jc w:val="center"/>
        <w:rPr>
          <w:rFonts w:asciiTheme="minorHAnsi" w:eastAsia="MS Gothic" w:hAnsiTheme="minorHAnsi" w:cstheme="minorHAnsi"/>
          <w:b/>
          <w:bCs/>
          <w:color w:val="0070C0"/>
          <w:sz w:val="22"/>
          <w:szCs w:val="22"/>
          <w:lang w:bidi="hi-IN"/>
        </w:rPr>
      </w:pPr>
    </w:p>
    <w:p w14:paraId="14FBD03B" w14:textId="77777777" w:rsidR="00202CE9" w:rsidRPr="00E01239" w:rsidRDefault="00202CE9" w:rsidP="00DA561C">
      <w:pPr>
        <w:jc w:val="center"/>
        <w:rPr>
          <w:rFonts w:asciiTheme="minorHAnsi" w:eastAsia="MS Gothic" w:hAnsiTheme="minorHAnsi" w:cstheme="minorHAnsi"/>
          <w:b/>
          <w:bCs/>
          <w:color w:val="0070C0"/>
          <w:sz w:val="22"/>
          <w:szCs w:val="22"/>
          <w:lang w:bidi="hi-IN"/>
        </w:rPr>
      </w:pPr>
    </w:p>
    <w:p w14:paraId="7201A842" w14:textId="77777777" w:rsidR="00CB46F4" w:rsidRPr="00E01239" w:rsidRDefault="00CB46F4" w:rsidP="00807483">
      <w:pPr>
        <w:shd w:val="clear" w:color="auto" w:fill="BDD6EE" w:themeFill="accent1" w:themeFillTint="66"/>
        <w:tabs>
          <w:tab w:val="center" w:pos="4680"/>
          <w:tab w:val="right" w:pos="9781"/>
        </w:tabs>
        <w:jc w:val="center"/>
        <w:rPr>
          <w:rFonts w:asciiTheme="minorHAnsi" w:hAnsiTheme="minorHAnsi" w:cstheme="minorHAnsi"/>
          <w:b/>
          <w:bCs/>
          <w:smallCaps/>
          <w:sz w:val="22"/>
          <w:szCs w:val="22"/>
        </w:rPr>
      </w:pPr>
    </w:p>
    <w:p w14:paraId="34BB1683" w14:textId="77777777" w:rsidR="00CB46F4" w:rsidRPr="00E01239" w:rsidRDefault="00DA561C" w:rsidP="00807483">
      <w:pPr>
        <w:shd w:val="clear" w:color="auto" w:fill="BDD6EE" w:themeFill="accent1" w:themeFillTint="66"/>
        <w:tabs>
          <w:tab w:val="center" w:pos="4680"/>
          <w:tab w:val="right" w:pos="9781"/>
        </w:tabs>
        <w:jc w:val="center"/>
        <w:rPr>
          <w:rFonts w:asciiTheme="minorHAnsi" w:hAnsiTheme="minorHAnsi" w:cstheme="minorHAnsi"/>
          <w:b/>
          <w:bCs/>
          <w:smallCaps/>
          <w:sz w:val="56"/>
          <w:szCs w:val="28"/>
        </w:rPr>
      </w:pPr>
      <w:r w:rsidRPr="00E01239">
        <w:rPr>
          <w:rFonts w:asciiTheme="minorHAnsi" w:hAnsiTheme="minorHAnsi" w:cstheme="minorHAnsi"/>
          <w:b/>
          <w:bCs/>
          <w:smallCaps/>
          <w:sz w:val="56"/>
          <w:szCs w:val="28"/>
        </w:rPr>
        <w:t>CADRE DE GESTION ENVIRONNEMENTALE ET SOCIALE</w:t>
      </w:r>
      <w:r w:rsidR="002D32A1" w:rsidRPr="00E01239">
        <w:rPr>
          <w:rFonts w:asciiTheme="minorHAnsi" w:hAnsiTheme="minorHAnsi" w:cstheme="minorHAnsi"/>
          <w:b/>
          <w:bCs/>
          <w:smallCaps/>
          <w:sz w:val="56"/>
          <w:szCs w:val="28"/>
        </w:rPr>
        <w:t xml:space="preserve"> </w:t>
      </w:r>
    </w:p>
    <w:p w14:paraId="3D6D01AB" w14:textId="654C21D7" w:rsidR="00DA561C" w:rsidRPr="00E01239" w:rsidRDefault="002D32A1" w:rsidP="00807483">
      <w:pPr>
        <w:shd w:val="clear" w:color="auto" w:fill="BDD6EE" w:themeFill="accent1" w:themeFillTint="66"/>
        <w:tabs>
          <w:tab w:val="center" w:pos="4680"/>
          <w:tab w:val="right" w:pos="9781"/>
        </w:tabs>
        <w:jc w:val="center"/>
        <w:rPr>
          <w:rFonts w:asciiTheme="minorHAnsi" w:hAnsiTheme="minorHAnsi" w:cstheme="minorHAnsi"/>
          <w:b/>
          <w:bCs/>
          <w:color w:val="000000"/>
          <w:sz w:val="22"/>
          <w:szCs w:val="22"/>
        </w:rPr>
      </w:pPr>
      <w:r w:rsidRPr="00E01239">
        <w:rPr>
          <w:rFonts w:asciiTheme="minorHAnsi" w:hAnsiTheme="minorHAnsi" w:cstheme="minorHAnsi"/>
          <w:b/>
          <w:bCs/>
          <w:smallCaps/>
          <w:sz w:val="56"/>
          <w:szCs w:val="28"/>
        </w:rPr>
        <w:t>(CGES)</w:t>
      </w:r>
      <w:r w:rsidR="00DA561C" w:rsidRPr="00E01239">
        <w:rPr>
          <w:rFonts w:asciiTheme="minorHAnsi" w:hAnsiTheme="minorHAnsi" w:cstheme="minorHAnsi"/>
          <w:b/>
          <w:bCs/>
          <w:smallCaps/>
          <w:sz w:val="56"/>
          <w:szCs w:val="28"/>
        </w:rPr>
        <w:t xml:space="preserve"> </w:t>
      </w:r>
      <w:r w:rsidR="00DA561C" w:rsidRPr="00E01239">
        <w:rPr>
          <w:rFonts w:asciiTheme="minorHAnsi" w:hAnsiTheme="minorHAnsi" w:cstheme="minorHAnsi"/>
          <w:b/>
          <w:bCs/>
          <w:smallCaps/>
          <w:sz w:val="22"/>
          <w:szCs w:val="22"/>
        </w:rPr>
        <w:br/>
      </w:r>
    </w:p>
    <w:p w14:paraId="19E5D34B" w14:textId="77777777" w:rsidR="00DA561C" w:rsidRPr="00E01239" w:rsidRDefault="00DA561C" w:rsidP="00DA561C">
      <w:pPr>
        <w:tabs>
          <w:tab w:val="center" w:pos="4680"/>
          <w:tab w:val="right" w:pos="9781"/>
        </w:tabs>
        <w:jc w:val="center"/>
        <w:rPr>
          <w:rFonts w:asciiTheme="minorHAnsi" w:hAnsiTheme="minorHAnsi" w:cstheme="minorHAnsi"/>
          <w:b/>
          <w:bCs/>
          <w:color w:val="000000"/>
          <w:sz w:val="22"/>
          <w:szCs w:val="22"/>
        </w:rPr>
      </w:pPr>
    </w:p>
    <w:p w14:paraId="070B6877" w14:textId="77777777" w:rsidR="00DA561C" w:rsidRPr="00E01239" w:rsidRDefault="00DA561C" w:rsidP="7CB1727A">
      <w:pPr>
        <w:tabs>
          <w:tab w:val="center" w:pos="4680"/>
          <w:tab w:val="right" w:pos="9781"/>
        </w:tabs>
        <w:jc w:val="center"/>
        <w:rPr>
          <w:rFonts w:asciiTheme="minorHAnsi" w:hAnsiTheme="minorHAnsi" w:cstheme="minorBidi"/>
          <w:b/>
          <w:bCs/>
          <w:color w:val="000000"/>
          <w:sz w:val="22"/>
          <w:szCs w:val="22"/>
        </w:rPr>
      </w:pPr>
    </w:p>
    <w:p w14:paraId="6F730C37" w14:textId="6E17CA50" w:rsidR="7CB1727A" w:rsidRPr="00E01239" w:rsidRDefault="7CB1727A" w:rsidP="7CB1727A">
      <w:pPr>
        <w:tabs>
          <w:tab w:val="center" w:pos="4680"/>
          <w:tab w:val="right" w:pos="9781"/>
        </w:tabs>
        <w:jc w:val="center"/>
        <w:rPr>
          <w:rFonts w:asciiTheme="minorHAnsi" w:hAnsiTheme="minorHAnsi" w:cstheme="minorBidi"/>
          <w:b/>
          <w:bCs/>
          <w:color w:val="000000" w:themeColor="text1"/>
          <w:sz w:val="22"/>
          <w:szCs w:val="22"/>
        </w:rPr>
      </w:pPr>
    </w:p>
    <w:p w14:paraId="5BB35A72" w14:textId="77777777" w:rsidR="00DA561C" w:rsidRPr="00E01239" w:rsidRDefault="00DA561C" w:rsidP="00DA561C">
      <w:pPr>
        <w:tabs>
          <w:tab w:val="center" w:pos="4680"/>
          <w:tab w:val="right" w:pos="9781"/>
        </w:tabs>
        <w:jc w:val="center"/>
        <w:rPr>
          <w:rFonts w:asciiTheme="minorHAnsi" w:hAnsiTheme="minorHAnsi" w:cstheme="minorHAnsi"/>
          <w:b/>
          <w:bCs/>
          <w:color w:val="000000"/>
          <w:sz w:val="22"/>
          <w:szCs w:val="22"/>
        </w:rPr>
      </w:pPr>
    </w:p>
    <w:p w14:paraId="0AA1B09E" w14:textId="77777777" w:rsidR="00DA561C" w:rsidRPr="00E01239" w:rsidRDefault="00DA561C" w:rsidP="00DA561C">
      <w:pPr>
        <w:autoSpaceDE w:val="0"/>
        <w:autoSpaceDN w:val="0"/>
        <w:adjustRightInd w:val="0"/>
        <w:spacing w:line="240" w:lineRule="atLeast"/>
        <w:jc w:val="center"/>
        <w:rPr>
          <w:rFonts w:asciiTheme="minorHAnsi" w:hAnsiTheme="minorHAnsi" w:cstheme="minorHAnsi"/>
          <w:b/>
          <w:bCs/>
          <w:color w:val="000000"/>
          <w:sz w:val="22"/>
          <w:szCs w:val="22"/>
        </w:rPr>
      </w:pPr>
    </w:p>
    <w:p w14:paraId="780151C5" w14:textId="2042BBF3" w:rsidR="00DA561C" w:rsidRPr="00E01239" w:rsidRDefault="007D5EE4" w:rsidP="00DA561C">
      <w:pPr>
        <w:jc w:val="center"/>
        <w:rPr>
          <w:rFonts w:asciiTheme="minorHAnsi" w:hAnsiTheme="minorHAnsi" w:cstheme="minorHAnsi"/>
          <w:b/>
          <w:sz w:val="22"/>
          <w:szCs w:val="22"/>
        </w:rPr>
      </w:pPr>
      <w:r w:rsidRPr="00E01239">
        <w:rPr>
          <w:rFonts w:asciiTheme="minorHAnsi" w:hAnsiTheme="minorHAnsi" w:cstheme="minorHAnsi"/>
          <w:b/>
          <w:bCs/>
          <w:noProof/>
          <w:sz w:val="22"/>
          <w:szCs w:val="22"/>
        </w:rPr>
        <mc:AlternateContent>
          <mc:Choice Requires="wps">
            <w:drawing>
              <wp:anchor distT="0" distB="0" distL="114300" distR="114300" simplePos="0" relativeHeight="251658243" behindDoc="0" locked="0" layoutInCell="1" allowOverlap="1" wp14:anchorId="31B2D721" wp14:editId="34F3CFC0">
                <wp:simplePos x="0" y="0"/>
                <wp:positionH relativeFrom="column">
                  <wp:posOffset>4169410</wp:posOffset>
                </wp:positionH>
                <wp:positionV relativeFrom="paragraph">
                  <wp:posOffset>9136380</wp:posOffset>
                </wp:positionV>
                <wp:extent cx="2261235" cy="37782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377825"/>
                        </a:xfrm>
                        <a:prstGeom prst="rect">
                          <a:avLst/>
                        </a:prstGeom>
                        <a:noFill/>
                        <a:ln>
                          <a:noFill/>
                        </a:ln>
                      </wps:spPr>
                      <wps:txbx>
                        <w:txbxContent>
                          <w:p w14:paraId="6FB24A46" w14:textId="77777777" w:rsidR="007D5EE4" w:rsidRPr="0057044B" w:rsidRDefault="007D5EE4" w:rsidP="00DA561C">
                            <w:pPr>
                              <w:jc w:val="right"/>
                              <w:rPr>
                                <w:sz w:val="18"/>
                                <w:szCs w:val="18"/>
                              </w:rPr>
                            </w:pPr>
                            <w:r>
                              <w:rPr>
                                <w:rFonts w:ascii="Arial" w:eastAsia="Arial" w:hAnsi="Arial" w:cs="Arial"/>
                                <w:b/>
                                <w:color w:val="FFFFFF"/>
                                <w:sz w:val="32"/>
                                <w:szCs w:val="18"/>
                              </w:rPr>
                              <w:t>Novembre</w:t>
                            </w:r>
                            <w:r w:rsidRPr="0057044B">
                              <w:rPr>
                                <w:rFonts w:ascii="Arial" w:eastAsia="Arial" w:hAnsi="Arial" w:cs="Arial"/>
                                <w:b/>
                                <w:color w:val="FFFFFF"/>
                                <w:sz w:val="32"/>
                                <w:szCs w:val="18"/>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2D721" id="Rectangle 4" o:spid="_x0000_s1026" style="position:absolute;left:0;text-align:left;margin-left:328.3pt;margin-top:719.4pt;width:178.05pt;height:2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" filled="f" stroked="f">
                <v:textbox inset="0,0,0,0">
                  <w:txbxContent>
                    <w:p w14:paraId="6FB24A46" w14:textId="77777777" w:rsidR="007D5EE4" w:rsidRPr="0057044B" w:rsidRDefault="007D5EE4" w:rsidP="00DA561C">
                      <w:pPr>
                        <w:jc w:val="right"/>
                        <w:rPr>
                          <w:sz w:val="18"/>
                          <w:szCs w:val="18"/>
                        </w:rPr>
                      </w:pPr>
                      <w:r>
                        <w:rPr>
                          <w:rFonts w:ascii="Arial" w:eastAsia="Arial" w:hAnsi="Arial" w:cs="Arial"/>
                          <w:b/>
                          <w:color w:val="FFFFFF"/>
                          <w:sz w:val="32"/>
                          <w:szCs w:val="18"/>
                        </w:rPr>
                        <w:t>Novembre</w:t>
                      </w:r>
                      <w:r w:rsidRPr="0057044B">
                        <w:rPr>
                          <w:rFonts w:ascii="Arial" w:eastAsia="Arial" w:hAnsi="Arial" w:cs="Arial"/>
                          <w:b/>
                          <w:color w:val="FFFFFF"/>
                          <w:sz w:val="32"/>
                          <w:szCs w:val="18"/>
                        </w:rPr>
                        <w:t xml:space="preserve"> 2021</w:t>
                      </w:r>
                    </w:p>
                  </w:txbxContent>
                </v:textbox>
              </v:rect>
            </w:pict>
          </mc:Fallback>
        </mc:AlternateContent>
      </w:r>
      <w:r w:rsidRPr="00E01239">
        <w:rPr>
          <w:rFonts w:asciiTheme="minorHAnsi" w:hAnsiTheme="minorHAnsi" w:cstheme="minorHAnsi"/>
          <w:b/>
          <w:bCs/>
          <w:noProof/>
          <w:sz w:val="22"/>
          <w:szCs w:val="22"/>
        </w:rPr>
        <w:t xml:space="preserve">Septembre </w:t>
      </w:r>
      <w:r w:rsidR="00DA561C" w:rsidRPr="00E01239">
        <w:rPr>
          <w:rFonts w:asciiTheme="minorHAnsi" w:hAnsiTheme="minorHAnsi" w:cstheme="minorHAnsi"/>
          <w:b/>
          <w:sz w:val="22"/>
          <w:szCs w:val="22"/>
        </w:rPr>
        <w:t>2023</w:t>
      </w:r>
    </w:p>
    <w:p w14:paraId="65AAF17E" w14:textId="77777777" w:rsidR="00DA561C" w:rsidRPr="00E01239" w:rsidRDefault="00DA561C" w:rsidP="00DA561C">
      <w:pPr>
        <w:jc w:val="center"/>
        <w:rPr>
          <w:rFonts w:asciiTheme="minorHAnsi" w:hAnsiTheme="minorHAnsi" w:cstheme="minorHAnsi"/>
          <w:b/>
          <w:sz w:val="22"/>
          <w:szCs w:val="22"/>
        </w:rPr>
        <w:sectPr w:rsidR="00DA561C" w:rsidRPr="00E01239" w:rsidSect="00DA561C">
          <w:footerReference w:type="default" r:id="rId16"/>
          <w:footerReference w:type="first" r:id="rId17"/>
          <w:pgSz w:w="11907" w:h="16840" w:code="9"/>
          <w:pgMar w:top="1418" w:right="1418" w:bottom="1418" w:left="1418" w:header="720" w:footer="720" w:gutter="0"/>
          <w:pgNumType w:fmt="lowerRoman"/>
          <w:cols w:space="60"/>
          <w:noEndnote/>
          <w:docGrid w:linePitch="326"/>
        </w:sectPr>
      </w:pPr>
    </w:p>
    <w:p w14:paraId="69FF6396" w14:textId="77777777" w:rsidR="002E7C34" w:rsidRPr="00E01239" w:rsidRDefault="002E7C34" w:rsidP="006E26C5">
      <w:pPr>
        <w:pStyle w:val="Titre1"/>
        <w:shd w:val="clear" w:color="auto" w:fill="002060"/>
        <w:spacing w:before="0"/>
        <w:ind w:right="-1"/>
        <w:jc w:val="center"/>
        <w:rPr>
          <w:rFonts w:asciiTheme="minorHAnsi" w:hAnsiTheme="minorHAnsi" w:cstheme="minorHAnsi"/>
          <w:color w:val="auto"/>
          <w:sz w:val="44"/>
          <w:szCs w:val="44"/>
          <w:lang w:eastAsia="x-none"/>
        </w:rPr>
      </w:pPr>
      <w:bookmarkStart w:id="1" w:name="_Toc38448923"/>
      <w:bookmarkStart w:id="2" w:name="_Toc70002883"/>
      <w:bookmarkStart w:id="3" w:name="_Toc130714048"/>
      <w:bookmarkStart w:id="4" w:name="_Toc142377660"/>
      <w:bookmarkStart w:id="5" w:name="_Toc144654044"/>
      <w:r w:rsidRPr="00E01239">
        <w:rPr>
          <w:rFonts w:asciiTheme="minorHAnsi" w:hAnsiTheme="minorHAnsi" w:cstheme="minorHAnsi"/>
          <w:color w:val="auto"/>
          <w:sz w:val="44"/>
          <w:szCs w:val="44"/>
          <w:lang w:eastAsia="x-none"/>
        </w:rPr>
        <w:lastRenderedPageBreak/>
        <w:t>T</w:t>
      </w:r>
      <w:r w:rsidR="005667DE" w:rsidRPr="00E01239">
        <w:rPr>
          <w:rFonts w:asciiTheme="minorHAnsi" w:hAnsiTheme="minorHAnsi" w:cstheme="minorHAnsi"/>
          <w:color w:val="auto"/>
          <w:sz w:val="44"/>
          <w:szCs w:val="44"/>
          <w:lang w:eastAsia="x-none"/>
        </w:rPr>
        <w:t>ABLE DES MATIERES</w:t>
      </w:r>
      <w:bookmarkEnd w:id="1"/>
      <w:bookmarkEnd w:id="2"/>
      <w:bookmarkEnd w:id="3"/>
      <w:bookmarkEnd w:id="4"/>
      <w:bookmarkEnd w:id="5"/>
    </w:p>
    <w:p w14:paraId="228E94A2" w14:textId="6DFB71B4" w:rsidR="007243AA" w:rsidRPr="00E01239" w:rsidRDefault="00FB2CB1" w:rsidP="008019AE">
      <w:pPr>
        <w:pStyle w:val="TM1"/>
        <w:rPr>
          <w:rFonts w:asciiTheme="minorHAnsi" w:eastAsiaTheme="minorEastAsia" w:hAnsiTheme="minorHAnsi" w:cstheme="minorBidi"/>
          <w:noProof/>
          <w:sz w:val="22"/>
          <w:szCs w:val="22"/>
        </w:rPr>
      </w:pP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TOC \o "1-4" \h \z \u </w:instrText>
      </w:r>
      <w:r w:rsidRPr="00E01239">
        <w:rPr>
          <w:rFonts w:asciiTheme="minorHAnsi" w:hAnsiTheme="minorHAnsi" w:cstheme="minorHAnsi"/>
          <w:sz w:val="22"/>
          <w:szCs w:val="22"/>
        </w:rPr>
        <w:fldChar w:fldCharType="separate"/>
      </w:r>
      <w:hyperlink w:anchor="_Toc144654044" w:history="1">
        <w:r w:rsidR="007243AA" w:rsidRPr="00E01239">
          <w:rPr>
            <w:rStyle w:val="Lienhypertexte"/>
            <w:rFonts w:cstheme="minorHAnsi"/>
            <w:noProof/>
            <w:lang w:eastAsia="x-none"/>
          </w:rPr>
          <w:t>TABLE DES MATIERES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_Toc144654044 \h </w:instrText>
        </w:r>
        <w:r w:rsidR="007243AA" w:rsidRPr="00E01239">
          <w:rPr>
            <w:noProof/>
            <w:webHidden/>
          </w:rPr>
        </w:r>
        <w:r w:rsidR="007243AA" w:rsidRPr="00E01239">
          <w:rPr>
            <w:noProof/>
            <w:webHidden/>
          </w:rPr>
          <w:fldChar w:fldCharType="separate"/>
        </w:r>
        <w:r w:rsidR="007243AA" w:rsidRPr="00E01239">
          <w:rPr>
            <w:noProof/>
            <w:webHidden/>
          </w:rPr>
          <w:t>i</w:t>
        </w:r>
        <w:r w:rsidR="007243AA" w:rsidRPr="00E01239">
          <w:rPr>
            <w:noProof/>
            <w:webHidden/>
          </w:rPr>
          <w:fldChar w:fldCharType="end"/>
        </w:r>
      </w:hyperlink>
    </w:p>
    <w:p w14:paraId="52E8C67E" w14:textId="1925E309" w:rsidR="007243AA" w:rsidRPr="00E01239" w:rsidRDefault="00000000" w:rsidP="008019AE">
      <w:pPr>
        <w:pStyle w:val="TM1"/>
        <w:rPr>
          <w:rFonts w:asciiTheme="minorHAnsi" w:eastAsiaTheme="minorEastAsia" w:hAnsiTheme="minorHAnsi" w:cstheme="minorBidi"/>
          <w:noProof/>
          <w:sz w:val="22"/>
          <w:szCs w:val="22"/>
        </w:rPr>
      </w:pPr>
      <w:hyperlink w:anchor="_Toc144654045" w:history="1">
        <w:r w:rsidR="007243AA" w:rsidRPr="00E01239">
          <w:rPr>
            <w:rStyle w:val="Lienhypertexte"/>
            <w:rFonts w:cstheme="minorHAnsi"/>
            <w:noProof/>
            <w:lang w:eastAsia="x-none"/>
          </w:rPr>
          <w:t>LISTE DES TABLEAUX</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_Toc144654045 \h </w:instrText>
        </w:r>
        <w:r w:rsidR="007243AA" w:rsidRPr="00E01239">
          <w:rPr>
            <w:noProof/>
            <w:webHidden/>
          </w:rPr>
        </w:r>
        <w:r w:rsidR="007243AA" w:rsidRPr="00E01239">
          <w:rPr>
            <w:noProof/>
            <w:webHidden/>
          </w:rPr>
          <w:fldChar w:fldCharType="separate"/>
        </w:r>
        <w:r w:rsidR="007243AA" w:rsidRPr="00E01239">
          <w:rPr>
            <w:noProof/>
            <w:webHidden/>
          </w:rPr>
          <w:t>iv</w:t>
        </w:r>
        <w:r w:rsidR="007243AA" w:rsidRPr="00E01239">
          <w:rPr>
            <w:noProof/>
            <w:webHidden/>
          </w:rPr>
          <w:fldChar w:fldCharType="end"/>
        </w:r>
      </w:hyperlink>
    </w:p>
    <w:p w14:paraId="4713C017" w14:textId="0406119A" w:rsidR="007243AA" w:rsidRPr="00E01239" w:rsidRDefault="00000000" w:rsidP="008019AE">
      <w:pPr>
        <w:pStyle w:val="TM1"/>
        <w:rPr>
          <w:rFonts w:asciiTheme="minorHAnsi" w:eastAsiaTheme="minorEastAsia" w:hAnsiTheme="minorHAnsi" w:cstheme="minorBidi"/>
          <w:noProof/>
          <w:sz w:val="22"/>
          <w:szCs w:val="22"/>
        </w:rPr>
      </w:pPr>
      <w:hyperlink w:anchor="_Toc144654046" w:history="1">
        <w:r w:rsidR="007243AA" w:rsidRPr="00E01239">
          <w:rPr>
            <w:rStyle w:val="Lienhypertexte"/>
            <w:rFonts w:cstheme="minorHAnsi"/>
            <w:noProof/>
            <w:lang w:eastAsia="x-none"/>
          </w:rPr>
          <w:t>LISTE DES FIGURES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_Toc144654046 \h </w:instrText>
        </w:r>
        <w:r w:rsidR="007243AA" w:rsidRPr="00E01239">
          <w:rPr>
            <w:noProof/>
            <w:webHidden/>
          </w:rPr>
        </w:r>
        <w:r w:rsidR="007243AA" w:rsidRPr="00E01239">
          <w:rPr>
            <w:noProof/>
            <w:webHidden/>
          </w:rPr>
          <w:fldChar w:fldCharType="separate"/>
        </w:r>
        <w:r w:rsidR="007243AA" w:rsidRPr="00E01239">
          <w:rPr>
            <w:noProof/>
            <w:webHidden/>
          </w:rPr>
          <w:t>v</w:t>
        </w:r>
        <w:r w:rsidR="007243AA" w:rsidRPr="00E01239">
          <w:rPr>
            <w:noProof/>
            <w:webHidden/>
          </w:rPr>
          <w:fldChar w:fldCharType="end"/>
        </w:r>
      </w:hyperlink>
    </w:p>
    <w:p w14:paraId="5BBD16E8" w14:textId="74DC2F5B" w:rsidR="007243AA" w:rsidRPr="00E01239" w:rsidRDefault="00000000" w:rsidP="008019AE">
      <w:pPr>
        <w:pStyle w:val="TM1"/>
        <w:rPr>
          <w:rFonts w:asciiTheme="minorHAnsi" w:eastAsiaTheme="minorEastAsia" w:hAnsiTheme="minorHAnsi" w:cstheme="minorBidi"/>
          <w:noProof/>
          <w:sz w:val="22"/>
          <w:szCs w:val="22"/>
        </w:rPr>
      </w:pPr>
      <w:hyperlink w:anchor="_Toc144654047" w:history="1">
        <w:r w:rsidR="007243AA" w:rsidRPr="00E01239">
          <w:rPr>
            <w:rStyle w:val="Lienhypertexte"/>
            <w:rFonts w:cstheme="minorHAnsi"/>
            <w:noProof/>
            <w:lang w:eastAsia="x-none"/>
          </w:rPr>
          <w:t>LISTE DES ANNEXES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_Toc144654047 \h </w:instrText>
        </w:r>
        <w:r w:rsidR="007243AA" w:rsidRPr="00E01239">
          <w:rPr>
            <w:noProof/>
            <w:webHidden/>
          </w:rPr>
        </w:r>
        <w:r w:rsidR="007243AA" w:rsidRPr="00E01239">
          <w:rPr>
            <w:noProof/>
            <w:webHidden/>
          </w:rPr>
          <w:fldChar w:fldCharType="separate"/>
        </w:r>
        <w:r w:rsidR="007243AA" w:rsidRPr="00E01239">
          <w:rPr>
            <w:noProof/>
            <w:webHidden/>
          </w:rPr>
          <w:t>v</w:t>
        </w:r>
        <w:r w:rsidR="007243AA" w:rsidRPr="00E01239">
          <w:rPr>
            <w:noProof/>
            <w:webHidden/>
          </w:rPr>
          <w:fldChar w:fldCharType="end"/>
        </w:r>
      </w:hyperlink>
    </w:p>
    <w:p w14:paraId="0024B959" w14:textId="6FB79615" w:rsidR="007243AA" w:rsidRPr="00E01239" w:rsidRDefault="00000000" w:rsidP="008019AE">
      <w:pPr>
        <w:pStyle w:val="TM1"/>
        <w:rPr>
          <w:rFonts w:asciiTheme="minorHAnsi" w:eastAsiaTheme="minorEastAsia" w:hAnsiTheme="minorHAnsi" w:cstheme="minorBidi"/>
          <w:noProof/>
          <w:sz w:val="22"/>
          <w:szCs w:val="22"/>
        </w:rPr>
      </w:pPr>
      <w:hyperlink w:anchor="_Toc144654048" w:history="1">
        <w:r w:rsidR="007243AA" w:rsidRPr="00E01239">
          <w:rPr>
            <w:rStyle w:val="Lienhypertexte"/>
            <w:rFonts w:cstheme="minorHAnsi"/>
            <w:noProof/>
            <w:lang w:eastAsia="x-none"/>
          </w:rPr>
          <w:t>SIGLES ET ACRONYMES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_Toc144654048 \h </w:instrText>
        </w:r>
        <w:r w:rsidR="007243AA" w:rsidRPr="00E01239">
          <w:rPr>
            <w:noProof/>
            <w:webHidden/>
          </w:rPr>
        </w:r>
        <w:r w:rsidR="007243AA" w:rsidRPr="00E01239">
          <w:rPr>
            <w:noProof/>
            <w:webHidden/>
          </w:rPr>
          <w:fldChar w:fldCharType="separate"/>
        </w:r>
        <w:r w:rsidR="007243AA" w:rsidRPr="00E01239">
          <w:rPr>
            <w:noProof/>
            <w:webHidden/>
          </w:rPr>
          <w:t>vi</w:t>
        </w:r>
        <w:r w:rsidR="007243AA" w:rsidRPr="00E01239">
          <w:rPr>
            <w:noProof/>
            <w:webHidden/>
          </w:rPr>
          <w:fldChar w:fldCharType="end"/>
        </w:r>
      </w:hyperlink>
    </w:p>
    <w:p w14:paraId="1BE73080" w14:textId="6F316995" w:rsidR="007243AA" w:rsidRPr="00E01239" w:rsidRDefault="00000000" w:rsidP="008019AE">
      <w:pPr>
        <w:pStyle w:val="TM1"/>
        <w:rPr>
          <w:rFonts w:asciiTheme="minorHAnsi" w:eastAsiaTheme="minorEastAsia" w:hAnsiTheme="minorHAnsi" w:cstheme="minorBidi"/>
          <w:noProof/>
          <w:sz w:val="22"/>
          <w:szCs w:val="22"/>
        </w:rPr>
      </w:pPr>
      <w:hyperlink w:anchor="_Toc144654049" w:history="1">
        <w:r w:rsidR="007243AA" w:rsidRPr="00E01239">
          <w:rPr>
            <w:rStyle w:val="Lienhypertexte"/>
            <w:rFonts w:cstheme="minorHAnsi"/>
            <w:noProof/>
            <w:lang w:eastAsia="x-none"/>
          </w:rPr>
          <w:t>RESUME EXECUTIF</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_Toc144654049 \h </w:instrText>
        </w:r>
        <w:r w:rsidR="007243AA" w:rsidRPr="00E01239">
          <w:rPr>
            <w:noProof/>
            <w:webHidden/>
          </w:rPr>
        </w:r>
        <w:r w:rsidR="007243AA" w:rsidRPr="00E01239">
          <w:rPr>
            <w:noProof/>
            <w:webHidden/>
          </w:rPr>
          <w:fldChar w:fldCharType="separate"/>
        </w:r>
        <w:r w:rsidR="007243AA" w:rsidRPr="00E01239">
          <w:rPr>
            <w:noProof/>
            <w:webHidden/>
          </w:rPr>
          <w:t>a</w:t>
        </w:r>
        <w:r w:rsidR="007243AA" w:rsidRPr="00E01239">
          <w:rPr>
            <w:noProof/>
            <w:webHidden/>
          </w:rPr>
          <w:fldChar w:fldCharType="end"/>
        </w:r>
      </w:hyperlink>
    </w:p>
    <w:p w14:paraId="0F3C5594" w14:textId="13D568EA" w:rsidR="007243AA" w:rsidRPr="00E01239" w:rsidRDefault="00000000" w:rsidP="008019AE">
      <w:pPr>
        <w:pStyle w:val="TM1"/>
        <w:rPr>
          <w:rFonts w:asciiTheme="minorHAnsi" w:eastAsiaTheme="minorEastAsia" w:hAnsiTheme="minorHAnsi" w:cstheme="minorBidi"/>
          <w:noProof/>
          <w:sz w:val="22"/>
          <w:szCs w:val="22"/>
        </w:rPr>
      </w:pPr>
      <w:hyperlink w:anchor="_Toc144654050" w:history="1">
        <w:r w:rsidR="007243AA" w:rsidRPr="00E01239">
          <w:rPr>
            <w:rStyle w:val="Lienhypertexte"/>
            <w:rFonts w:cstheme="minorHAnsi"/>
            <w:noProof/>
            <w:lang w:eastAsia="x-none"/>
          </w:rPr>
          <w:t>EXECUTIVE SUMMARY</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_Toc144654050 \h </w:instrText>
        </w:r>
        <w:r w:rsidR="007243AA" w:rsidRPr="00E01239">
          <w:rPr>
            <w:noProof/>
            <w:webHidden/>
          </w:rPr>
        </w:r>
        <w:r w:rsidR="007243AA" w:rsidRPr="00E01239">
          <w:rPr>
            <w:noProof/>
            <w:webHidden/>
          </w:rPr>
          <w:fldChar w:fldCharType="separate"/>
        </w:r>
        <w:r w:rsidR="007243AA" w:rsidRPr="00E01239">
          <w:rPr>
            <w:noProof/>
            <w:webHidden/>
          </w:rPr>
          <w:t>a</w:t>
        </w:r>
        <w:r w:rsidR="007243AA" w:rsidRPr="00E01239">
          <w:rPr>
            <w:noProof/>
            <w:webHidden/>
          </w:rPr>
          <w:fldChar w:fldCharType="end"/>
        </w:r>
      </w:hyperlink>
    </w:p>
    <w:p w14:paraId="18ABBDAC" w14:textId="76DB3DAA" w:rsidR="007243AA" w:rsidRPr="00E01239" w:rsidRDefault="00000000" w:rsidP="008019AE">
      <w:pPr>
        <w:pStyle w:val="TM1"/>
        <w:rPr>
          <w:rFonts w:asciiTheme="minorHAnsi" w:eastAsiaTheme="minorEastAsia" w:hAnsiTheme="minorHAnsi" w:cstheme="minorBidi"/>
          <w:noProof/>
          <w:sz w:val="22"/>
          <w:szCs w:val="22"/>
        </w:rPr>
      </w:pPr>
      <w:hyperlink w:anchor="_Toc144654051" w:history="1">
        <w:r w:rsidR="007243AA" w:rsidRPr="00E01239">
          <w:rPr>
            <w:rStyle w:val="Lienhypertexte"/>
            <w:rFonts w:cstheme="minorHAnsi"/>
            <w:noProof/>
            <w:lang w:eastAsia="x-none"/>
          </w:rPr>
          <w:t>I.</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lang w:eastAsia="x-none"/>
          </w:rPr>
          <w:t>CONTEXTE GENERAL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_Toc144654051 \h </w:instrText>
        </w:r>
        <w:r w:rsidR="007243AA" w:rsidRPr="00E01239">
          <w:rPr>
            <w:noProof/>
            <w:webHidden/>
          </w:rPr>
        </w:r>
        <w:r w:rsidR="007243AA" w:rsidRPr="00E01239">
          <w:rPr>
            <w:noProof/>
            <w:webHidden/>
          </w:rPr>
          <w:fldChar w:fldCharType="separate"/>
        </w:r>
        <w:r w:rsidR="007243AA" w:rsidRPr="00E01239">
          <w:rPr>
            <w:noProof/>
            <w:webHidden/>
          </w:rPr>
          <w:t>1</w:t>
        </w:r>
        <w:r w:rsidR="007243AA" w:rsidRPr="00E01239">
          <w:rPr>
            <w:noProof/>
            <w:webHidden/>
          </w:rPr>
          <w:fldChar w:fldCharType="end"/>
        </w:r>
      </w:hyperlink>
    </w:p>
    <w:p w14:paraId="0F983E16" w14:textId="3B853E1C"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52" w:history="1">
        <w:r w:rsidR="007243AA" w:rsidRPr="00E01239">
          <w:rPr>
            <w:rStyle w:val="Lienhypertexte"/>
            <w:rFonts w:cstheme="minorHAnsi"/>
            <w:noProof/>
          </w:rPr>
          <w:t>1.1.</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CONTEXTE DU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_Toc144654052 \h </w:instrText>
        </w:r>
        <w:r w:rsidR="007243AA" w:rsidRPr="00E01239">
          <w:rPr>
            <w:noProof/>
            <w:webHidden/>
          </w:rPr>
        </w:r>
        <w:r w:rsidR="007243AA" w:rsidRPr="00E01239">
          <w:rPr>
            <w:noProof/>
            <w:webHidden/>
          </w:rPr>
          <w:fldChar w:fldCharType="separate"/>
        </w:r>
        <w:r w:rsidR="007243AA" w:rsidRPr="00E01239">
          <w:rPr>
            <w:noProof/>
            <w:webHidden/>
          </w:rPr>
          <w:t>1</w:t>
        </w:r>
        <w:r w:rsidR="007243AA" w:rsidRPr="00E01239">
          <w:rPr>
            <w:noProof/>
            <w:webHidden/>
          </w:rPr>
          <w:fldChar w:fldCharType="end"/>
        </w:r>
      </w:hyperlink>
    </w:p>
    <w:p w14:paraId="5E929A39" w14:textId="36AE648D"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53" w:history="1">
        <w:r w:rsidR="007243AA" w:rsidRPr="00E01239">
          <w:rPr>
            <w:rStyle w:val="Lienhypertexte"/>
            <w:rFonts w:cstheme="minorHAnsi"/>
            <w:noProof/>
          </w:rPr>
          <w:t>1.2.</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OBJECTIFS DU CADRE DE GESTION ENVIRONNEMENTALE ET SOCIALE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_Toc144654053 \h </w:instrText>
        </w:r>
        <w:r w:rsidR="007243AA" w:rsidRPr="00E01239">
          <w:rPr>
            <w:noProof/>
            <w:webHidden/>
          </w:rPr>
        </w:r>
        <w:r w:rsidR="007243AA" w:rsidRPr="00E01239">
          <w:rPr>
            <w:noProof/>
            <w:webHidden/>
          </w:rPr>
          <w:fldChar w:fldCharType="separate"/>
        </w:r>
        <w:r w:rsidR="007243AA" w:rsidRPr="00E01239">
          <w:rPr>
            <w:noProof/>
            <w:webHidden/>
          </w:rPr>
          <w:t>1</w:t>
        </w:r>
        <w:r w:rsidR="007243AA" w:rsidRPr="00E01239">
          <w:rPr>
            <w:noProof/>
            <w:webHidden/>
          </w:rPr>
          <w:fldChar w:fldCharType="end"/>
        </w:r>
      </w:hyperlink>
    </w:p>
    <w:p w14:paraId="39335A71" w14:textId="3D5BE015"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54" w:history="1">
        <w:r w:rsidR="007243AA" w:rsidRPr="00E01239">
          <w:rPr>
            <w:rStyle w:val="Lienhypertexte"/>
            <w:rFonts w:cstheme="minorHAnsi"/>
            <w:noProof/>
          </w:rPr>
          <w:t>1.3.</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DEMARCHE METHODOLOGIQUE ADOPTEE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_Toc144654054 \h </w:instrText>
        </w:r>
        <w:r w:rsidR="007243AA" w:rsidRPr="00E01239">
          <w:rPr>
            <w:noProof/>
            <w:webHidden/>
          </w:rPr>
        </w:r>
        <w:r w:rsidR="007243AA" w:rsidRPr="00E01239">
          <w:rPr>
            <w:noProof/>
            <w:webHidden/>
          </w:rPr>
          <w:fldChar w:fldCharType="separate"/>
        </w:r>
        <w:r w:rsidR="007243AA" w:rsidRPr="00E01239">
          <w:rPr>
            <w:noProof/>
            <w:webHidden/>
          </w:rPr>
          <w:t>3</w:t>
        </w:r>
        <w:r w:rsidR="007243AA" w:rsidRPr="00E01239">
          <w:rPr>
            <w:noProof/>
            <w:webHidden/>
          </w:rPr>
          <w:fldChar w:fldCharType="end"/>
        </w:r>
      </w:hyperlink>
    </w:p>
    <w:p w14:paraId="022183CF" w14:textId="63FCEAAC" w:rsidR="007243AA" w:rsidRPr="00E01239" w:rsidRDefault="00000000" w:rsidP="008019AE">
      <w:pPr>
        <w:pStyle w:val="TM1"/>
        <w:rPr>
          <w:rFonts w:asciiTheme="minorHAnsi" w:eastAsiaTheme="minorEastAsia" w:hAnsiTheme="minorHAnsi" w:cstheme="minorBidi"/>
          <w:noProof/>
          <w:sz w:val="22"/>
          <w:szCs w:val="22"/>
        </w:rPr>
      </w:pPr>
      <w:hyperlink w:anchor="_Toc144654055" w:history="1">
        <w:r w:rsidR="007243AA" w:rsidRPr="00E01239">
          <w:rPr>
            <w:rStyle w:val="Lienhypertexte"/>
            <w:rFonts w:cstheme="minorHAnsi"/>
            <w:noProof/>
            <w:lang w:eastAsia="x-none"/>
          </w:rPr>
          <w:t>II.</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lang w:eastAsia="x-none"/>
          </w:rPr>
          <w:t>DESCRIPTION ET ETENDUE DU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_Toc144654055 \h </w:instrText>
        </w:r>
        <w:r w:rsidR="007243AA" w:rsidRPr="00E01239">
          <w:rPr>
            <w:noProof/>
            <w:webHidden/>
          </w:rPr>
        </w:r>
        <w:r w:rsidR="007243AA" w:rsidRPr="00E01239">
          <w:rPr>
            <w:noProof/>
            <w:webHidden/>
          </w:rPr>
          <w:fldChar w:fldCharType="separate"/>
        </w:r>
        <w:r w:rsidR="007243AA" w:rsidRPr="00E01239">
          <w:rPr>
            <w:noProof/>
            <w:webHidden/>
          </w:rPr>
          <w:t>5</w:t>
        </w:r>
        <w:r w:rsidR="007243AA" w:rsidRPr="00E01239">
          <w:rPr>
            <w:noProof/>
            <w:webHidden/>
          </w:rPr>
          <w:fldChar w:fldCharType="end"/>
        </w:r>
      </w:hyperlink>
    </w:p>
    <w:p w14:paraId="5ACA5F1C" w14:textId="5AE2F90C"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56" w:history="1">
        <w:r w:rsidR="007243AA" w:rsidRPr="00E01239">
          <w:rPr>
            <w:rStyle w:val="Lienhypertexte"/>
            <w:rFonts w:cstheme="minorHAnsi"/>
            <w:noProof/>
          </w:rPr>
          <w:t>2.1.</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OBJECTIF DE DEVELOPPEMENT DU PROGRAMME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_Toc144654056 \h </w:instrText>
        </w:r>
        <w:r w:rsidR="007243AA" w:rsidRPr="00E01239">
          <w:rPr>
            <w:noProof/>
            <w:webHidden/>
          </w:rPr>
        </w:r>
        <w:r w:rsidR="007243AA" w:rsidRPr="00E01239">
          <w:rPr>
            <w:noProof/>
            <w:webHidden/>
          </w:rPr>
          <w:fldChar w:fldCharType="separate"/>
        </w:r>
        <w:r w:rsidR="007243AA" w:rsidRPr="00E01239">
          <w:rPr>
            <w:noProof/>
            <w:webHidden/>
          </w:rPr>
          <w:t>5</w:t>
        </w:r>
        <w:r w:rsidR="007243AA" w:rsidRPr="00E01239">
          <w:rPr>
            <w:noProof/>
            <w:webHidden/>
          </w:rPr>
          <w:fldChar w:fldCharType="end"/>
        </w:r>
      </w:hyperlink>
    </w:p>
    <w:p w14:paraId="20AF96E2" w14:textId="126FC844"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57" w:history="1">
        <w:r w:rsidR="007243AA" w:rsidRPr="00E01239">
          <w:rPr>
            <w:rStyle w:val="Lienhypertexte"/>
            <w:rFonts w:cstheme="minorHAnsi"/>
            <w:noProof/>
          </w:rPr>
          <w:t>2.2.</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ZONES D’INTERVENTION DU FSRP</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_Toc144654057 \h </w:instrText>
        </w:r>
        <w:r w:rsidR="007243AA" w:rsidRPr="00E01239">
          <w:rPr>
            <w:noProof/>
            <w:webHidden/>
          </w:rPr>
        </w:r>
        <w:r w:rsidR="007243AA" w:rsidRPr="00E01239">
          <w:rPr>
            <w:noProof/>
            <w:webHidden/>
          </w:rPr>
          <w:fldChar w:fldCharType="separate"/>
        </w:r>
        <w:r w:rsidR="007243AA" w:rsidRPr="00E01239">
          <w:rPr>
            <w:noProof/>
            <w:webHidden/>
          </w:rPr>
          <w:t>5</w:t>
        </w:r>
        <w:r w:rsidR="007243AA" w:rsidRPr="00E01239">
          <w:rPr>
            <w:noProof/>
            <w:webHidden/>
          </w:rPr>
          <w:fldChar w:fldCharType="end"/>
        </w:r>
      </w:hyperlink>
    </w:p>
    <w:p w14:paraId="0B3C2130" w14:textId="0FC36328"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58" w:history="1">
        <w:r w:rsidR="007243AA" w:rsidRPr="00E01239">
          <w:rPr>
            <w:rStyle w:val="Lienhypertexte"/>
            <w:rFonts w:cstheme="minorHAnsi"/>
            <w:noProof/>
          </w:rPr>
          <w:t>2.3.</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COMPOSANTES ET SOUS COMPOSANTES DU PROGRAMME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_Toc144654058 \h </w:instrText>
        </w:r>
        <w:r w:rsidR="007243AA" w:rsidRPr="00E01239">
          <w:rPr>
            <w:noProof/>
            <w:webHidden/>
          </w:rPr>
        </w:r>
        <w:r w:rsidR="007243AA" w:rsidRPr="00E01239">
          <w:rPr>
            <w:noProof/>
            <w:webHidden/>
          </w:rPr>
          <w:fldChar w:fldCharType="separate"/>
        </w:r>
        <w:r w:rsidR="007243AA" w:rsidRPr="00E01239">
          <w:rPr>
            <w:noProof/>
            <w:webHidden/>
          </w:rPr>
          <w:t>1</w:t>
        </w:r>
        <w:r w:rsidR="007243AA" w:rsidRPr="00E01239">
          <w:rPr>
            <w:noProof/>
            <w:webHidden/>
          </w:rPr>
          <w:fldChar w:fldCharType="end"/>
        </w:r>
      </w:hyperlink>
    </w:p>
    <w:p w14:paraId="1CD1F40C" w14:textId="1ACDF6AE" w:rsidR="007243AA" w:rsidRPr="00E01239" w:rsidRDefault="00000000" w:rsidP="008019AE">
      <w:pPr>
        <w:pStyle w:val="TM1"/>
        <w:rPr>
          <w:rFonts w:asciiTheme="minorHAnsi" w:eastAsiaTheme="minorEastAsia" w:hAnsiTheme="minorHAnsi" w:cstheme="minorBidi"/>
          <w:noProof/>
          <w:sz w:val="22"/>
          <w:szCs w:val="22"/>
        </w:rPr>
      </w:pPr>
      <w:hyperlink w:anchor="_Toc144654059" w:history="1">
        <w:r w:rsidR="007243AA" w:rsidRPr="00E01239">
          <w:rPr>
            <w:rStyle w:val="Lienhypertexte"/>
            <w:rFonts w:cstheme="minorHAnsi"/>
            <w:noProof/>
            <w:lang w:eastAsia="x-none"/>
          </w:rPr>
          <w:t>III.</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lang w:eastAsia="x-none"/>
          </w:rPr>
          <w:t>CADRE POLITIQUE, REGLEMENTAIRE ET INSTITUTIONNEL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_Toc144654059 \h </w:instrText>
        </w:r>
        <w:r w:rsidR="007243AA" w:rsidRPr="00E01239">
          <w:rPr>
            <w:noProof/>
            <w:webHidden/>
          </w:rPr>
        </w:r>
        <w:r w:rsidR="007243AA" w:rsidRPr="00E01239">
          <w:rPr>
            <w:noProof/>
            <w:webHidden/>
          </w:rPr>
          <w:fldChar w:fldCharType="separate"/>
        </w:r>
        <w:r w:rsidR="007243AA" w:rsidRPr="00E01239">
          <w:rPr>
            <w:noProof/>
            <w:webHidden/>
          </w:rPr>
          <w:t>15</w:t>
        </w:r>
        <w:r w:rsidR="007243AA" w:rsidRPr="00E01239">
          <w:rPr>
            <w:noProof/>
            <w:webHidden/>
          </w:rPr>
          <w:fldChar w:fldCharType="end"/>
        </w:r>
      </w:hyperlink>
    </w:p>
    <w:p w14:paraId="3D8C4062" w14:textId="20DE7D11"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60" w:history="1">
        <w:r w:rsidR="007243AA" w:rsidRPr="00E01239">
          <w:rPr>
            <w:rStyle w:val="Lienhypertexte"/>
            <w:rFonts w:cstheme="minorHAnsi"/>
            <w:noProof/>
          </w:rPr>
          <w:t>3.1.</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DOCUMENTS DE POLITIQUE ENVIRONNEMENTALE ET SOCIALE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_Toc144654060 \h </w:instrText>
        </w:r>
        <w:r w:rsidR="007243AA" w:rsidRPr="00E01239">
          <w:rPr>
            <w:noProof/>
            <w:webHidden/>
          </w:rPr>
        </w:r>
        <w:r w:rsidR="007243AA" w:rsidRPr="00E01239">
          <w:rPr>
            <w:noProof/>
            <w:webHidden/>
          </w:rPr>
          <w:fldChar w:fldCharType="separate"/>
        </w:r>
        <w:r w:rsidR="007243AA" w:rsidRPr="00E01239">
          <w:rPr>
            <w:noProof/>
            <w:webHidden/>
          </w:rPr>
          <w:t>15</w:t>
        </w:r>
        <w:r w:rsidR="007243AA" w:rsidRPr="00E01239">
          <w:rPr>
            <w:noProof/>
            <w:webHidden/>
          </w:rPr>
          <w:fldChar w:fldCharType="end"/>
        </w:r>
      </w:hyperlink>
    </w:p>
    <w:p w14:paraId="488EC924" w14:textId="6EF6264F"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61" w:history="1">
        <w:r w:rsidR="007243AA" w:rsidRPr="00E01239">
          <w:rPr>
            <w:rStyle w:val="Lienhypertexte"/>
            <w:rFonts w:cstheme="minorHAnsi"/>
            <w:noProof/>
          </w:rPr>
          <w:t>3.2.</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CADRE JURIDIQUE NATIONAL DE GESTION ENVIRONNEMENTALE ET SOCIALE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_Toc144654061 \h </w:instrText>
        </w:r>
        <w:r w:rsidR="007243AA" w:rsidRPr="00E01239">
          <w:rPr>
            <w:noProof/>
            <w:webHidden/>
          </w:rPr>
        </w:r>
        <w:r w:rsidR="007243AA" w:rsidRPr="00E01239">
          <w:rPr>
            <w:noProof/>
            <w:webHidden/>
          </w:rPr>
          <w:fldChar w:fldCharType="separate"/>
        </w:r>
        <w:r w:rsidR="007243AA" w:rsidRPr="00E01239">
          <w:rPr>
            <w:noProof/>
            <w:webHidden/>
          </w:rPr>
          <w:t>19</w:t>
        </w:r>
        <w:r w:rsidR="007243AA" w:rsidRPr="00E01239">
          <w:rPr>
            <w:noProof/>
            <w:webHidden/>
          </w:rPr>
          <w:fldChar w:fldCharType="end"/>
        </w:r>
      </w:hyperlink>
    </w:p>
    <w:p w14:paraId="28C7463E" w14:textId="2A9F375D"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62" w:history="1">
        <w:r w:rsidR="007243AA" w:rsidRPr="00E01239">
          <w:rPr>
            <w:rStyle w:val="Lienhypertexte"/>
            <w:rFonts w:cstheme="minorHAnsi"/>
            <w:noProof/>
          </w:rPr>
          <w:t>3.2.1.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Cadre législatif et réglementaire de gestion environnementale et sociale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_Toc144654062 \h </w:instrText>
        </w:r>
        <w:r w:rsidR="007243AA" w:rsidRPr="00E01239">
          <w:rPr>
            <w:noProof/>
            <w:webHidden/>
          </w:rPr>
        </w:r>
        <w:r w:rsidR="007243AA" w:rsidRPr="00E01239">
          <w:rPr>
            <w:noProof/>
            <w:webHidden/>
          </w:rPr>
          <w:fldChar w:fldCharType="separate"/>
        </w:r>
        <w:r w:rsidR="007243AA" w:rsidRPr="00E01239">
          <w:rPr>
            <w:noProof/>
            <w:webHidden/>
          </w:rPr>
          <w:t>19</w:t>
        </w:r>
        <w:r w:rsidR="007243AA" w:rsidRPr="00E01239">
          <w:rPr>
            <w:noProof/>
            <w:webHidden/>
          </w:rPr>
          <w:fldChar w:fldCharType="end"/>
        </w:r>
      </w:hyperlink>
    </w:p>
    <w:p w14:paraId="7FDE7C08" w14:textId="714629E8"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63" w:history="1">
        <w:r w:rsidR="007243AA" w:rsidRPr="00E01239">
          <w:rPr>
            <w:rStyle w:val="Lienhypertexte"/>
            <w:rFonts w:cstheme="minorHAnsi"/>
            <w:noProof/>
          </w:rPr>
          <w:t>3.2.2.</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Dispositions légales et réglementaires régissant les conditions de travail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_Toc144654063 \h </w:instrText>
        </w:r>
        <w:r w:rsidR="007243AA" w:rsidRPr="00E01239">
          <w:rPr>
            <w:noProof/>
            <w:webHidden/>
          </w:rPr>
        </w:r>
        <w:r w:rsidR="007243AA" w:rsidRPr="00E01239">
          <w:rPr>
            <w:noProof/>
            <w:webHidden/>
          </w:rPr>
          <w:fldChar w:fldCharType="separate"/>
        </w:r>
        <w:r w:rsidR="007243AA" w:rsidRPr="00E01239">
          <w:rPr>
            <w:noProof/>
            <w:webHidden/>
          </w:rPr>
          <w:t>23</w:t>
        </w:r>
        <w:r w:rsidR="007243AA" w:rsidRPr="00E01239">
          <w:rPr>
            <w:noProof/>
            <w:webHidden/>
          </w:rPr>
          <w:fldChar w:fldCharType="end"/>
        </w:r>
      </w:hyperlink>
    </w:p>
    <w:p w14:paraId="15493200" w14:textId="450D25B1"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64" w:history="1">
        <w:r w:rsidR="007243AA" w:rsidRPr="00E01239">
          <w:rPr>
            <w:rStyle w:val="Lienhypertexte"/>
            <w:rFonts w:cstheme="minorHAnsi"/>
            <w:noProof/>
          </w:rPr>
          <w:t>3.2.3.</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Dispositions réglementaires en matière de lutte contre les pollutions et nuisances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_Toc144654064 \h </w:instrText>
        </w:r>
        <w:r w:rsidR="007243AA" w:rsidRPr="00E01239">
          <w:rPr>
            <w:noProof/>
            <w:webHidden/>
          </w:rPr>
        </w:r>
        <w:r w:rsidR="007243AA" w:rsidRPr="00E01239">
          <w:rPr>
            <w:noProof/>
            <w:webHidden/>
          </w:rPr>
          <w:fldChar w:fldCharType="separate"/>
        </w:r>
        <w:r w:rsidR="007243AA" w:rsidRPr="00E01239">
          <w:rPr>
            <w:noProof/>
            <w:webHidden/>
          </w:rPr>
          <w:t>26</w:t>
        </w:r>
        <w:r w:rsidR="007243AA" w:rsidRPr="00E01239">
          <w:rPr>
            <w:noProof/>
            <w:webHidden/>
          </w:rPr>
          <w:fldChar w:fldCharType="end"/>
        </w:r>
      </w:hyperlink>
    </w:p>
    <w:p w14:paraId="340FDD7A" w14:textId="02B2430F"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65" w:history="1">
        <w:r w:rsidR="007243AA" w:rsidRPr="00E01239">
          <w:rPr>
            <w:rStyle w:val="Lienhypertexte"/>
            <w:rFonts w:cstheme="minorHAnsi"/>
            <w:noProof/>
          </w:rPr>
          <w:t>3.3.</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CONVENTIONS INTERNATIONALES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_Toc144654065 \h </w:instrText>
        </w:r>
        <w:r w:rsidR="007243AA" w:rsidRPr="00E01239">
          <w:rPr>
            <w:noProof/>
            <w:webHidden/>
          </w:rPr>
        </w:r>
        <w:r w:rsidR="007243AA" w:rsidRPr="00E01239">
          <w:rPr>
            <w:noProof/>
            <w:webHidden/>
          </w:rPr>
          <w:fldChar w:fldCharType="separate"/>
        </w:r>
        <w:r w:rsidR="007243AA" w:rsidRPr="00E01239">
          <w:rPr>
            <w:noProof/>
            <w:webHidden/>
          </w:rPr>
          <w:t>27</w:t>
        </w:r>
        <w:r w:rsidR="007243AA" w:rsidRPr="00E01239">
          <w:rPr>
            <w:noProof/>
            <w:webHidden/>
          </w:rPr>
          <w:fldChar w:fldCharType="end"/>
        </w:r>
      </w:hyperlink>
    </w:p>
    <w:p w14:paraId="5FB062FE" w14:textId="59A50A80"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66" w:history="1">
        <w:r w:rsidR="007243AA" w:rsidRPr="00E01239">
          <w:rPr>
            <w:rStyle w:val="Lienhypertexte"/>
            <w:rFonts w:cstheme="minorHAnsi"/>
            <w:noProof/>
          </w:rPr>
          <w:t>3.4.</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CADRE INSTITUTIONNEL NATIONAL DE GESTION ENVIRONNEMENTALE ET SOCIALE DU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_Toc144654066 \h </w:instrText>
        </w:r>
        <w:r w:rsidR="007243AA" w:rsidRPr="00E01239">
          <w:rPr>
            <w:noProof/>
            <w:webHidden/>
          </w:rPr>
        </w:r>
        <w:r w:rsidR="007243AA" w:rsidRPr="00E01239">
          <w:rPr>
            <w:noProof/>
            <w:webHidden/>
          </w:rPr>
          <w:fldChar w:fldCharType="separate"/>
        </w:r>
        <w:r w:rsidR="007243AA" w:rsidRPr="00E01239">
          <w:rPr>
            <w:noProof/>
            <w:webHidden/>
          </w:rPr>
          <w:t>30</w:t>
        </w:r>
        <w:r w:rsidR="007243AA" w:rsidRPr="00E01239">
          <w:rPr>
            <w:noProof/>
            <w:webHidden/>
          </w:rPr>
          <w:fldChar w:fldCharType="end"/>
        </w:r>
      </w:hyperlink>
    </w:p>
    <w:p w14:paraId="0CD283AB" w14:textId="62C3608D"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67" w:history="1">
        <w:r w:rsidR="007243AA" w:rsidRPr="00E01239">
          <w:rPr>
            <w:rStyle w:val="Lienhypertexte"/>
            <w:rFonts w:cstheme="minorHAnsi"/>
            <w:noProof/>
          </w:rPr>
          <w:t>3.5.</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DIRECTIVES ENVIRONNEMENTALES, SANITAIRES ET SECURITAIRES (DIRECTIVES EHS) DU GROUPE DE LA BANQUE MONDIALE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_Toc144654067 \h </w:instrText>
        </w:r>
        <w:r w:rsidR="007243AA" w:rsidRPr="00E01239">
          <w:rPr>
            <w:noProof/>
            <w:webHidden/>
          </w:rPr>
        </w:r>
        <w:r w:rsidR="007243AA" w:rsidRPr="00E01239">
          <w:rPr>
            <w:noProof/>
            <w:webHidden/>
          </w:rPr>
          <w:fldChar w:fldCharType="separate"/>
        </w:r>
        <w:r w:rsidR="007243AA" w:rsidRPr="00E01239">
          <w:rPr>
            <w:noProof/>
            <w:webHidden/>
          </w:rPr>
          <w:t>35</w:t>
        </w:r>
        <w:r w:rsidR="007243AA" w:rsidRPr="00E01239">
          <w:rPr>
            <w:noProof/>
            <w:webHidden/>
          </w:rPr>
          <w:fldChar w:fldCharType="end"/>
        </w:r>
      </w:hyperlink>
    </w:p>
    <w:p w14:paraId="0311DEFD" w14:textId="2E7A63E0"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68" w:history="1">
        <w:r w:rsidR="007243AA" w:rsidRPr="00E01239">
          <w:rPr>
            <w:rStyle w:val="Lienhypertexte"/>
            <w:rFonts w:cstheme="minorHAnsi"/>
            <w:noProof/>
          </w:rPr>
          <w:t>3.6.</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NORMES ENVIRONNEMENTALES ET SOCIALES DE LA BANQUE MONDIALE PERTINENTES POUR LE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_Toc144654068 \h </w:instrText>
        </w:r>
        <w:r w:rsidR="007243AA" w:rsidRPr="00E01239">
          <w:rPr>
            <w:noProof/>
            <w:webHidden/>
          </w:rPr>
        </w:r>
        <w:r w:rsidR="007243AA" w:rsidRPr="00E01239">
          <w:rPr>
            <w:noProof/>
            <w:webHidden/>
          </w:rPr>
          <w:fldChar w:fldCharType="separate"/>
        </w:r>
        <w:r w:rsidR="007243AA" w:rsidRPr="00E01239">
          <w:rPr>
            <w:noProof/>
            <w:webHidden/>
          </w:rPr>
          <w:t>35</w:t>
        </w:r>
        <w:r w:rsidR="007243AA" w:rsidRPr="00E01239">
          <w:rPr>
            <w:noProof/>
            <w:webHidden/>
          </w:rPr>
          <w:fldChar w:fldCharType="end"/>
        </w:r>
      </w:hyperlink>
    </w:p>
    <w:p w14:paraId="5FA4354C" w14:textId="313664C8" w:rsidR="007243AA" w:rsidRPr="00E01239" w:rsidRDefault="00000000" w:rsidP="008019AE">
      <w:pPr>
        <w:pStyle w:val="TM1"/>
        <w:rPr>
          <w:rFonts w:asciiTheme="minorHAnsi" w:eastAsiaTheme="minorEastAsia" w:hAnsiTheme="minorHAnsi" w:cstheme="minorBidi"/>
          <w:noProof/>
          <w:sz w:val="22"/>
          <w:szCs w:val="22"/>
        </w:rPr>
      </w:pPr>
      <w:hyperlink w:anchor="_Toc144654069" w:history="1">
        <w:r w:rsidR="007243AA" w:rsidRPr="00E01239">
          <w:rPr>
            <w:rStyle w:val="Lienhypertexte"/>
            <w:rFonts w:cstheme="minorHAnsi"/>
            <w:noProof/>
            <w:lang w:eastAsia="x-none"/>
          </w:rPr>
          <w:t>IV.</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lang w:eastAsia="x-none"/>
          </w:rPr>
          <w:t>DONNEES ENVIRONNEMENTALES ET SOCIALES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_Toc144654069 \h </w:instrText>
        </w:r>
        <w:r w:rsidR="007243AA" w:rsidRPr="00E01239">
          <w:rPr>
            <w:noProof/>
            <w:webHidden/>
          </w:rPr>
        </w:r>
        <w:r w:rsidR="007243AA" w:rsidRPr="00E01239">
          <w:rPr>
            <w:noProof/>
            <w:webHidden/>
          </w:rPr>
          <w:fldChar w:fldCharType="separate"/>
        </w:r>
        <w:r w:rsidR="007243AA" w:rsidRPr="00E01239">
          <w:rPr>
            <w:noProof/>
            <w:webHidden/>
          </w:rPr>
          <w:t>40</w:t>
        </w:r>
        <w:r w:rsidR="007243AA" w:rsidRPr="00E01239">
          <w:rPr>
            <w:noProof/>
            <w:webHidden/>
          </w:rPr>
          <w:fldChar w:fldCharType="end"/>
        </w:r>
      </w:hyperlink>
    </w:p>
    <w:p w14:paraId="399D96F4" w14:textId="74E1D875"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70" w:history="1">
        <w:r w:rsidR="007243AA" w:rsidRPr="00E01239">
          <w:rPr>
            <w:rStyle w:val="Lienhypertexte"/>
            <w:rFonts w:cstheme="minorHAnsi"/>
            <w:noProof/>
          </w:rPr>
          <w:t>4.1.</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DESCRIPTIF BIOPHYSIQUE DE LA ZONE DES NIAYES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_Toc144654070 \h </w:instrText>
        </w:r>
        <w:r w:rsidR="007243AA" w:rsidRPr="00E01239">
          <w:rPr>
            <w:noProof/>
            <w:webHidden/>
          </w:rPr>
        </w:r>
        <w:r w:rsidR="007243AA" w:rsidRPr="00E01239">
          <w:rPr>
            <w:noProof/>
            <w:webHidden/>
          </w:rPr>
          <w:fldChar w:fldCharType="separate"/>
        </w:r>
        <w:r w:rsidR="007243AA" w:rsidRPr="00E01239">
          <w:rPr>
            <w:noProof/>
            <w:webHidden/>
          </w:rPr>
          <w:t>40</w:t>
        </w:r>
        <w:r w:rsidR="007243AA" w:rsidRPr="00E01239">
          <w:rPr>
            <w:noProof/>
            <w:webHidden/>
          </w:rPr>
          <w:fldChar w:fldCharType="end"/>
        </w:r>
      </w:hyperlink>
    </w:p>
    <w:p w14:paraId="6DB4E029" w14:textId="13AB56C3"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74" w:history="1">
        <w:r w:rsidR="007243AA" w:rsidRPr="00E01239">
          <w:rPr>
            <w:rStyle w:val="Lienhypertexte"/>
            <w:rFonts w:cstheme="minorHAnsi"/>
            <w:noProof/>
          </w:rPr>
          <w:t>4.2.1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Environnement physique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_Toc144654074 \h </w:instrText>
        </w:r>
        <w:r w:rsidR="007243AA" w:rsidRPr="00E01239">
          <w:rPr>
            <w:noProof/>
            <w:webHidden/>
          </w:rPr>
        </w:r>
        <w:r w:rsidR="007243AA" w:rsidRPr="00E01239">
          <w:rPr>
            <w:noProof/>
            <w:webHidden/>
          </w:rPr>
          <w:fldChar w:fldCharType="separate"/>
        </w:r>
        <w:r w:rsidR="007243AA" w:rsidRPr="00E01239">
          <w:rPr>
            <w:noProof/>
            <w:webHidden/>
          </w:rPr>
          <w:t>41</w:t>
        </w:r>
        <w:r w:rsidR="007243AA" w:rsidRPr="00E01239">
          <w:rPr>
            <w:noProof/>
            <w:webHidden/>
          </w:rPr>
          <w:fldChar w:fldCharType="end"/>
        </w:r>
      </w:hyperlink>
    </w:p>
    <w:p w14:paraId="4F0876B6" w14:textId="237F5967"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75" w:history="1">
        <w:r w:rsidR="007243AA" w:rsidRPr="00E01239">
          <w:rPr>
            <w:rStyle w:val="Lienhypertexte"/>
            <w:rFonts w:cstheme="minorHAnsi"/>
            <w:noProof/>
          </w:rPr>
          <w:t>4.1.1.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Environnement biologique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_Toc144654075 \h </w:instrText>
        </w:r>
        <w:r w:rsidR="007243AA" w:rsidRPr="00E01239">
          <w:rPr>
            <w:noProof/>
            <w:webHidden/>
          </w:rPr>
        </w:r>
        <w:r w:rsidR="007243AA" w:rsidRPr="00E01239">
          <w:rPr>
            <w:noProof/>
            <w:webHidden/>
          </w:rPr>
          <w:fldChar w:fldCharType="separate"/>
        </w:r>
        <w:r w:rsidR="007243AA" w:rsidRPr="00E01239">
          <w:rPr>
            <w:noProof/>
            <w:webHidden/>
          </w:rPr>
          <w:t>41</w:t>
        </w:r>
        <w:r w:rsidR="007243AA" w:rsidRPr="00E01239">
          <w:rPr>
            <w:noProof/>
            <w:webHidden/>
          </w:rPr>
          <w:fldChar w:fldCharType="end"/>
        </w:r>
      </w:hyperlink>
    </w:p>
    <w:p w14:paraId="12BEFAAA" w14:textId="58BC8098"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76" w:history="1">
        <w:r w:rsidR="007243AA" w:rsidRPr="00E01239">
          <w:rPr>
            <w:rStyle w:val="Lienhypertexte"/>
            <w:rFonts w:cstheme="minorHAnsi"/>
            <w:noProof/>
          </w:rPr>
          <w:t>4.1.2.</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Occupation du sol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_Toc144654076 \h </w:instrText>
        </w:r>
        <w:r w:rsidR="007243AA" w:rsidRPr="00E01239">
          <w:rPr>
            <w:noProof/>
            <w:webHidden/>
          </w:rPr>
        </w:r>
        <w:r w:rsidR="007243AA" w:rsidRPr="00E01239">
          <w:rPr>
            <w:noProof/>
            <w:webHidden/>
          </w:rPr>
          <w:fldChar w:fldCharType="separate"/>
        </w:r>
        <w:r w:rsidR="007243AA" w:rsidRPr="00E01239">
          <w:rPr>
            <w:noProof/>
            <w:webHidden/>
          </w:rPr>
          <w:t>42</w:t>
        </w:r>
        <w:r w:rsidR="007243AA" w:rsidRPr="00E01239">
          <w:rPr>
            <w:noProof/>
            <w:webHidden/>
          </w:rPr>
          <w:fldChar w:fldCharType="end"/>
        </w:r>
      </w:hyperlink>
    </w:p>
    <w:p w14:paraId="43A2F75E" w14:textId="5F3272D7"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77" w:history="1">
        <w:r w:rsidR="007243AA" w:rsidRPr="00E01239">
          <w:rPr>
            <w:rStyle w:val="Lienhypertexte"/>
            <w:rFonts w:cstheme="minorHAnsi"/>
            <w:noProof/>
          </w:rPr>
          <w:t>4.4.</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DESCRIPTIF BIOPHYSIQUE DU BASSIN ARACHIDIER</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_Toc144654077 \h </w:instrText>
        </w:r>
        <w:r w:rsidR="007243AA" w:rsidRPr="00E01239">
          <w:rPr>
            <w:noProof/>
            <w:webHidden/>
          </w:rPr>
        </w:r>
        <w:r w:rsidR="007243AA" w:rsidRPr="00E01239">
          <w:rPr>
            <w:noProof/>
            <w:webHidden/>
          </w:rPr>
          <w:fldChar w:fldCharType="separate"/>
        </w:r>
        <w:r w:rsidR="007243AA" w:rsidRPr="00E01239">
          <w:rPr>
            <w:noProof/>
            <w:webHidden/>
          </w:rPr>
          <w:t>42</w:t>
        </w:r>
        <w:r w:rsidR="007243AA" w:rsidRPr="00E01239">
          <w:rPr>
            <w:noProof/>
            <w:webHidden/>
          </w:rPr>
          <w:fldChar w:fldCharType="end"/>
        </w:r>
      </w:hyperlink>
    </w:p>
    <w:p w14:paraId="5DF8A00C" w14:textId="6E63B560"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78" w:history="1">
        <w:r w:rsidR="007243AA" w:rsidRPr="00E01239">
          <w:rPr>
            <w:rStyle w:val="Lienhypertexte"/>
            <w:rFonts w:cstheme="minorHAnsi"/>
            <w:noProof/>
          </w:rPr>
          <w:t>4.1.3.</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Environnement physique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_Toc144654078 \h </w:instrText>
        </w:r>
        <w:r w:rsidR="007243AA" w:rsidRPr="00E01239">
          <w:rPr>
            <w:noProof/>
            <w:webHidden/>
          </w:rPr>
        </w:r>
        <w:r w:rsidR="007243AA" w:rsidRPr="00E01239">
          <w:rPr>
            <w:noProof/>
            <w:webHidden/>
          </w:rPr>
          <w:fldChar w:fldCharType="separate"/>
        </w:r>
        <w:r w:rsidR="007243AA" w:rsidRPr="00E01239">
          <w:rPr>
            <w:noProof/>
            <w:webHidden/>
          </w:rPr>
          <w:t>42</w:t>
        </w:r>
        <w:r w:rsidR="007243AA" w:rsidRPr="00E01239">
          <w:rPr>
            <w:noProof/>
            <w:webHidden/>
          </w:rPr>
          <w:fldChar w:fldCharType="end"/>
        </w:r>
      </w:hyperlink>
    </w:p>
    <w:p w14:paraId="2620D077" w14:textId="1B15EC30"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79" w:history="1">
        <w:r w:rsidR="007243AA" w:rsidRPr="00E01239">
          <w:rPr>
            <w:rStyle w:val="Lienhypertexte"/>
            <w:rFonts w:cstheme="minorHAnsi"/>
            <w:noProof/>
          </w:rPr>
          <w:t>4.1.4.</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Environnement biologique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_Toc144654079 \h </w:instrText>
        </w:r>
        <w:r w:rsidR="007243AA" w:rsidRPr="00E01239">
          <w:rPr>
            <w:noProof/>
            <w:webHidden/>
          </w:rPr>
        </w:r>
        <w:r w:rsidR="007243AA" w:rsidRPr="00E01239">
          <w:rPr>
            <w:noProof/>
            <w:webHidden/>
          </w:rPr>
          <w:fldChar w:fldCharType="separate"/>
        </w:r>
        <w:r w:rsidR="007243AA" w:rsidRPr="00E01239">
          <w:rPr>
            <w:noProof/>
            <w:webHidden/>
          </w:rPr>
          <w:t>43</w:t>
        </w:r>
        <w:r w:rsidR="007243AA" w:rsidRPr="00E01239">
          <w:rPr>
            <w:noProof/>
            <w:webHidden/>
          </w:rPr>
          <w:fldChar w:fldCharType="end"/>
        </w:r>
      </w:hyperlink>
    </w:p>
    <w:p w14:paraId="53EA327B" w14:textId="7543A8DF"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80" w:history="1">
        <w:r w:rsidR="007243AA" w:rsidRPr="00E01239">
          <w:rPr>
            <w:rStyle w:val="Lienhypertexte"/>
            <w:rFonts w:cstheme="minorHAnsi"/>
            <w:noProof/>
          </w:rPr>
          <w:t>4.1.5.</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Occupation du sol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_Toc144654080 \h </w:instrText>
        </w:r>
        <w:r w:rsidR="007243AA" w:rsidRPr="00E01239">
          <w:rPr>
            <w:noProof/>
            <w:webHidden/>
          </w:rPr>
        </w:r>
        <w:r w:rsidR="007243AA" w:rsidRPr="00E01239">
          <w:rPr>
            <w:noProof/>
            <w:webHidden/>
          </w:rPr>
          <w:fldChar w:fldCharType="separate"/>
        </w:r>
        <w:r w:rsidR="007243AA" w:rsidRPr="00E01239">
          <w:rPr>
            <w:noProof/>
            <w:webHidden/>
          </w:rPr>
          <w:t>44</w:t>
        </w:r>
        <w:r w:rsidR="007243AA" w:rsidRPr="00E01239">
          <w:rPr>
            <w:noProof/>
            <w:webHidden/>
          </w:rPr>
          <w:fldChar w:fldCharType="end"/>
        </w:r>
      </w:hyperlink>
    </w:p>
    <w:p w14:paraId="5A9F7CF0" w14:textId="7B160824"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81" w:history="1">
        <w:r w:rsidR="007243AA" w:rsidRPr="00E01239">
          <w:rPr>
            <w:rStyle w:val="Lienhypertexte"/>
            <w:rFonts w:cstheme="minorHAnsi"/>
            <w:noProof/>
          </w:rPr>
          <w:t>4.5.</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DESCRIPTIF BIOPHYSIQUE DE LA ZONE SYLVOPASTORALE (FERLO)</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_Toc144654081 \h </w:instrText>
        </w:r>
        <w:r w:rsidR="007243AA" w:rsidRPr="00E01239">
          <w:rPr>
            <w:noProof/>
            <w:webHidden/>
          </w:rPr>
        </w:r>
        <w:r w:rsidR="007243AA" w:rsidRPr="00E01239">
          <w:rPr>
            <w:noProof/>
            <w:webHidden/>
          </w:rPr>
          <w:fldChar w:fldCharType="separate"/>
        </w:r>
        <w:r w:rsidR="007243AA" w:rsidRPr="00E01239">
          <w:rPr>
            <w:noProof/>
            <w:webHidden/>
          </w:rPr>
          <w:t>44</w:t>
        </w:r>
        <w:r w:rsidR="007243AA" w:rsidRPr="00E01239">
          <w:rPr>
            <w:noProof/>
            <w:webHidden/>
          </w:rPr>
          <w:fldChar w:fldCharType="end"/>
        </w:r>
      </w:hyperlink>
    </w:p>
    <w:p w14:paraId="3388DE60" w14:textId="57BBA20C"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82" w:history="1">
        <w:r w:rsidR="007243AA" w:rsidRPr="00E01239">
          <w:rPr>
            <w:rStyle w:val="Lienhypertexte"/>
            <w:rFonts w:cstheme="minorHAnsi"/>
            <w:noProof/>
          </w:rPr>
          <w:t>4.1.6.</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Environnement physique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_Toc144654082 \h </w:instrText>
        </w:r>
        <w:r w:rsidR="007243AA" w:rsidRPr="00E01239">
          <w:rPr>
            <w:noProof/>
            <w:webHidden/>
          </w:rPr>
        </w:r>
        <w:r w:rsidR="007243AA" w:rsidRPr="00E01239">
          <w:rPr>
            <w:noProof/>
            <w:webHidden/>
          </w:rPr>
          <w:fldChar w:fldCharType="separate"/>
        </w:r>
        <w:r w:rsidR="007243AA" w:rsidRPr="00E01239">
          <w:rPr>
            <w:noProof/>
            <w:webHidden/>
          </w:rPr>
          <w:t>44</w:t>
        </w:r>
        <w:r w:rsidR="007243AA" w:rsidRPr="00E01239">
          <w:rPr>
            <w:noProof/>
            <w:webHidden/>
          </w:rPr>
          <w:fldChar w:fldCharType="end"/>
        </w:r>
      </w:hyperlink>
    </w:p>
    <w:p w14:paraId="24C7E4E4" w14:textId="33638ADC"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83" w:history="1">
        <w:r w:rsidR="007243AA" w:rsidRPr="00E01239">
          <w:rPr>
            <w:rStyle w:val="Lienhypertexte"/>
            <w:rFonts w:cstheme="minorHAnsi"/>
            <w:noProof/>
          </w:rPr>
          <w:t>4.1.7.</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Environnement biologique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_Toc144654083 \h </w:instrText>
        </w:r>
        <w:r w:rsidR="007243AA" w:rsidRPr="00E01239">
          <w:rPr>
            <w:noProof/>
            <w:webHidden/>
          </w:rPr>
        </w:r>
        <w:r w:rsidR="007243AA" w:rsidRPr="00E01239">
          <w:rPr>
            <w:noProof/>
            <w:webHidden/>
          </w:rPr>
          <w:fldChar w:fldCharType="separate"/>
        </w:r>
        <w:r w:rsidR="007243AA" w:rsidRPr="00E01239">
          <w:rPr>
            <w:noProof/>
            <w:webHidden/>
          </w:rPr>
          <w:t>45</w:t>
        </w:r>
        <w:r w:rsidR="007243AA" w:rsidRPr="00E01239">
          <w:rPr>
            <w:noProof/>
            <w:webHidden/>
          </w:rPr>
          <w:fldChar w:fldCharType="end"/>
        </w:r>
      </w:hyperlink>
    </w:p>
    <w:p w14:paraId="23A4B467" w14:textId="4221DD17"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84" w:history="1">
        <w:r w:rsidR="007243AA" w:rsidRPr="00E01239">
          <w:rPr>
            <w:rStyle w:val="Lienhypertexte"/>
            <w:rFonts w:cstheme="minorHAnsi"/>
            <w:noProof/>
          </w:rPr>
          <w:t>4.1.8.</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Occupation du sol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_Toc144654084 \h </w:instrText>
        </w:r>
        <w:r w:rsidR="007243AA" w:rsidRPr="00E01239">
          <w:rPr>
            <w:noProof/>
            <w:webHidden/>
          </w:rPr>
        </w:r>
        <w:r w:rsidR="007243AA" w:rsidRPr="00E01239">
          <w:rPr>
            <w:noProof/>
            <w:webHidden/>
          </w:rPr>
          <w:fldChar w:fldCharType="separate"/>
        </w:r>
        <w:r w:rsidR="007243AA" w:rsidRPr="00E01239">
          <w:rPr>
            <w:noProof/>
            <w:webHidden/>
          </w:rPr>
          <w:t>46</w:t>
        </w:r>
        <w:r w:rsidR="007243AA" w:rsidRPr="00E01239">
          <w:rPr>
            <w:noProof/>
            <w:webHidden/>
          </w:rPr>
          <w:fldChar w:fldCharType="end"/>
        </w:r>
      </w:hyperlink>
    </w:p>
    <w:p w14:paraId="00A9A864" w14:textId="77551ED7"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85" w:history="1">
        <w:r w:rsidR="007243AA" w:rsidRPr="00E01239">
          <w:rPr>
            <w:rStyle w:val="Lienhypertexte"/>
            <w:rFonts w:cstheme="minorHAnsi"/>
            <w:noProof/>
          </w:rPr>
          <w:t>4.6.</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DESCRIPTIF BIOPHYSIQUE DE LA CASAMANCE NATURELLE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_Toc144654085 \h </w:instrText>
        </w:r>
        <w:r w:rsidR="007243AA" w:rsidRPr="00E01239">
          <w:rPr>
            <w:noProof/>
            <w:webHidden/>
          </w:rPr>
        </w:r>
        <w:r w:rsidR="007243AA" w:rsidRPr="00E01239">
          <w:rPr>
            <w:noProof/>
            <w:webHidden/>
          </w:rPr>
          <w:fldChar w:fldCharType="separate"/>
        </w:r>
        <w:r w:rsidR="007243AA" w:rsidRPr="00E01239">
          <w:rPr>
            <w:noProof/>
            <w:webHidden/>
          </w:rPr>
          <w:t>47</w:t>
        </w:r>
        <w:r w:rsidR="007243AA" w:rsidRPr="00E01239">
          <w:rPr>
            <w:noProof/>
            <w:webHidden/>
          </w:rPr>
          <w:fldChar w:fldCharType="end"/>
        </w:r>
      </w:hyperlink>
    </w:p>
    <w:p w14:paraId="07ADB70F" w14:textId="08BAE9BA"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86" w:history="1">
        <w:r w:rsidR="007243AA" w:rsidRPr="00E01239">
          <w:rPr>
            <w:rStyle w:val="Lienhypertexte"/>
            <w:rFonts w:cstheme="minorHAnsi"/>
            <w:noProof/>
          </w:rPr>
          <w:t>4.6.1.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Environnement physique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_Toc144654086 \h </w:instrText>
        </w:r>
        <w:r w:rsidR="007243AA" w:rsidRPr="00E01239">
          <w:rPr>
            <w:noProof/>
            <w:webHidden/>
          </w:rPr>
        </w:r>
        <w:r w:rsidR="007243AA" w:rsidRPr="00E01239">
          <w:rPr>
            <w:noProof/>
            <w:webHidden/>
          </w:rPr>
          <w:fldChar w:fldCharType="separate"/>
        </w:r>
        <w:r w:rsidR="007243AA" w:rsidRPr="00E01239">
          <w:rPr>
            <w:noProof/>
            <w:webHidden/>
          </w:rPr>
          <w:t>47</w:t>
        </w:r>
        <w:r w:rsidR="007243AA" w:rsidRPr="00E01239">
          <w:rPr>
            <w:noProof/>
            <w:webHidden/>
          </w:rPr>
          <w:fldChar w:fldCharType="end"/>
        </w:r>
      </w:hyperlink>
    </w:p>
    <w:p w14:paraId="2E546CCE" w14:textId="6163EC9F"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87" w:history="1">
        <w:r w:rsidR="007243AA" w:rsidRPr="00E01239">
          <w:rPr>
            <w:rStyle w:val="Lienhypertexte"/>
            <w:rFonts w:cstheme="minorHAnsi"/>
            <w:noProof/>
          </w:rPr>
          <w:t>4.6.2.</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Environnement biologique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_Toc144654087 \h </w:instrText>
        </w:r>
        <w:r w:rsidR="007243AA" w:rsidRPr="00E01239">
          <w:rPr>
            <w:noProof/>
            <w:webHidden/>
          </w:rPr>
        </w:r>
        <w:r w:rsidR="007243AA" w:rsidRPr="00E01239">
          <w:rPr>
            <w:noProof/>
            <w:webHidden/>
          </w:rPr>
          <w:fldChar w:fldCharType="separate"/>
        </w:r>
        <w:r w:rsidR="007243AA" w:rsidRPr="00E01239">
          <w:rPr>
            <w:noProof/>
            <w:webHidden/>
          </w:rPr>
          <w:t>48</w:t>
        </w:r>
        <w:r w:rsidR="007243AA" w:rsidRPr="00E01239">
          <w:rPr>
            <w:noProof/>
            <w:webHidden/>
          </w:rPr>
          <w:fldChar w:fldCharType="end"/>
        </w:r>
      </w:hyperlink>
    </w:p>
    <w:p w14:paraId="77DEDC35" w14:textId="64C1FE48"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88" w:history="1">
        <w:r w:rsidR="007243AA" w:rsidRPr="00E01239">
          <w:rPr>
            <w:rStyle w:val="Lienhypertexte"/>
            <w:rFonts w:cstheme="minorHAnsi"/>
            <w:noProof/>
          </w:rPr>
          <w:t>4.6.3.</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Occupation du sol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_Toc144654088 \h </w:instrText>
        </w:r>
        <w:r w:rsidR="007243AA" w:rsidRPr="00E01239">
          <w:rPr>
            <w:noProof/>
            <w:webHidden/>
          </w:rPr>
        </w:r>
        <w:r w:rsidR="007243AA" w:rsidRPr="00E01239">
          <w:rPr>
            <w:noProof/>
            <w:webHidden/>
          </w:rPr>
          <w:fldChar w:fldCharType="separate"/>
        </w:r>
        <w:r w:rsidR="007243AA" w:rsidRPr="00E01239">
          <w:rPr>
            <w:noProof/>
            <w:webHidden/>
          </w:rPr>
          <w:t>49</w:t>
        </w:r>
        <w:r w:rsidR="007243AA" w:rsidRPr="00E01239">
          <w:rPr>
            <w:noProof/>
            <w:webHidden/>
          </w:rPr>
          <w:fldChar w:fldCharType="end"/>
        </w:r>
      </w:hyperlink>
    </w:p>
    <w:p w14:paraId="3BB2DCBF" w14:textId="2419A966"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89" w:history="1">
        <w:r w:rsidR="007243AA" w:rsidRPr="00E01239">
          <w:rPr>
            <w:rStyle w:val="Lienhypertexte"/>
            <w:rFonts w:cstheme="minorHAnsi"/>
            <w:noProof/>
          </w:rPr>
          <w:t>4.7.</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DESCRIPTIF SOCIO-ECONOMIQUE DE LA ZONE DU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_Toc144654089 \h </w:instrText>
        </w:r>
        <w:r w:rsidR="007243AA" w:rsidRPr="00E01239">
          <w:rPr>
            <w:noProof/>
            <w:webHidden/>
          </w:rPr>
        </w:r>
        <w:r w:rsidR="007243AA" w:rsidRPr="00E01239">
          <w:rPr>
            <w:noProof/>
            <w:webHidden/>
          </w:rPr>
          <w:fldChar w:fldCharType="separate"/>
        </w:r>
        <w:r w:rsidR="007243AA" w:rsidRPr="00E01239">
          <w:rPr>
            <w:noProof/>
            <w:webHidden/>
          </w:rPr>
          <w:t>50</w:t>
        </w:r>
        <w:r w:rsidR="007243AA" w:rsidRPr="00E01239">
          <w:rPr>
            <w:noProof/>
            <w:webHidden/>
          </w:rPr>
          <w:fldChar w:fldCharType="end"/>
        </w:r>
      </w:hyperlink>
    </w:p>
    <w:p w14:paraId="57CB5471" w14:textId="3CFAE8CE"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090" w:history="1">
        <w:r w:rsidR="007243AA" w:rsidRPr="00E01239">
          <w:rPr>
            <w:rStyle w:val="Lienhypertexte"/>
            <w:rFonts w:cstheme="minorHAnsi"/>
            <w:noProof/>
          </w:rPr>
          <w:t>4.8.</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SYNTHESE DES ENJEUX ENVIRONNEMENTAUX ET SOCIAUX DU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_Toc144654090 \h </w:instrText>
        </w:r>
        <w:r w:rsidR="007243AA" w:rsidRPr="00E01239">
          <w:rPr>
            <w:noProof/>
            <w:webHidden/>
          </w:rPr>
        </w:r>
        <w:r w:rsidR="007243AA" w:rsidRPr="00E01239">
          <w:rPr>
            <w:noProof/>
            <w:webHidden/>
          </w:rPr>
          <w:fldChar w:fldCharType="separate"/>
        </w:r>
        <w:r w:rsidR="007243AA" w:rsidRPr="00E01239">
          <w:rPr>
            <w:noProof/>
            <w:webHidden/>
          </w:rPr>
          <w:t>51</w:t>
        </w:r>
        <w:r w:rsidR="007243AA" w:rsidRPr="00E01239">
          <w:rPr>
            <w:noProof/>
            <w:webHidden/>
          </w:rPr>
          <w:fldChar w:fldCharType="end"/>
        </w:r>
      </w:hyperlink>
    </w:p>
    <w:p w14:paraId="2E7350B6" w14:textId="6EB5AB11"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91" w:history="1">
        <w:r w:rsidR="007243AA" w:rsidRPr="00E01239">
          <w:rPr>
            <w:rStyle w:val="Lienhypertexte"/>
            <w:rFonts w:cstheme="minorHAnsi"/>
            <w:noProof/>
          </w:rPr>
          <w:t>4.8.1.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Problématique de l’accès à l’eau</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_Toc144654091 \h </w:instrText>
        </w:r>
        <w:r w:rsidR="007243AA" w:rsidRPr="00E01239">
          <w:rPr>
            <w:noProof/>
            <w:webHidden/>
          </w:rPr>
        </w:r>
        <w:r w:rsidR="007243AA" w:rsidRPr="00E01239">
          <w:rPr>
            <w:noProof/>
            <w:webHidden/>
          </w:rPr>
          <w:fldChar w:fldCharType="separate"/>
        </w:r>
        <w:r w:rsidR="007243AA" w:rsidRPr="00E01239">
          <w:rPr>
            <w:noProof/>
            <w:webHidden/>
          </w:rPr>
          <w:t>51</w:t>
        </w:r>
        <w:r w:rsidR="007243AA" w:rsidRPr="00E01239">
          <w:rPr>
            <w:noProof/>
            <w:webHidden/>
          </w:rPr>
          <w:fldChar w:fldCharType="end"/>
        </w:r>
      </w:hyperlink>
    </w:p>
    <w:p w14:paraId="18EC31E8" w14:textId="4A1921AC"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92" w:history="1">
        <w:r w:rsidR="007243AA" w:rsidRPr="00E01239">
          <w:rPr>
            <w:rStyle w:val="Lienhypertexte"/>
            <w:rFonts w:cstheme="minorHAnsi"/>
            <w:noProof/>
          </w:rPr>
          <w:t>4.8.2.</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Vulnérabilités climatiques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_Toc144654092 \h </w:instrText>
        </w:r>
        <w:r w:rsidR="007243AA" w:rsidRPr="00E01239">
          <w:rPr>
            <w:noProof/>
            <w:webHidden/>
          </w:rPr>
        </w:r>
        <w:r w:rsidR="007243AA" w:rsidRPr="00E01239">
          <w:rPr>
            <w:noProof/>
            <w:webHidden/>
          </w:rPr>
          <w:fldChar w:fldCharType="separate"/>
        </w:r>
        <w:r w:rsidR="007243AA" w:rsidRPr="00E01239">
          <w:rPr>
            <w:noProof/>
            <w:webHidden/>
          </w:rPr>
          <w:t>51</w:t>
        </w:r>
        <w:r w:rsidR="007243AA" w:rsidRPr="00E01239">
          <w:rPr>
            <w:noProof/>
            <w:webHidden/>
          </w:rPr>
          <w:fldChar w:fldCharType="end"/>
        </w:r>
      </w:hyperlink>
    </w:p>
    <w:p w14:paraId="38435850" w14:textId="4D9FBB43"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93" w:history="1">
        <w:r w:rsidR="007243AA" w:rsidRPr="00E01239">
          <w:rPr>
            <w:rStyle w:val="Lienhypertexte"/>
            <w:rFonts w:cstheme="minorHAnsi"/>
            <w:noProof/>
          </w:rPr>
          <w:t>4.8.3.</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Problématique des feux de brousse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_Toc144654093 \h </w:instrText>
        </w:r>
        <w:r w:rsidR="007243AA" w:rsidRPr="00E01239">
          <w:rPr>
            <w:noProof/>
            <w:webHidden/>
          </w:rPr>
        </w:r>
        <w:r w:rsidR="007243AA" w:rsidRPr="00E01239">
          <w:rPr>
            <w:noProof/>
            <w:webHidden/>
          </w:rPr>
          <w:fldChar w:fldCharType="separate"/>
        </w:r>
        <w:r w:rsidR="007243AA" w:rsidRPr="00E01239">
          <w:rPr>
            <w:noProof/>
            <w:webHidden/>
          </w:rPr>
          <w:t>52</w:t>
        </w:r>
        <w:r w:rsidR="007243AA" w:rsidRPr="00E01239">
          <w:rPr>
            <w:noProof/>
            <w:webHidden/>
          </w:rPr>
          <w:fldChar w:fldCharType="end"/>
        </w:r>
      </w:hyperlink>
    </w:p>
    <w:p w14:paraId="0A9FD666" w14:textId="1237155B"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94" w:history="1">
        <w:r w:rsidR="007243AA" w:rsidRPr="00E01239">
          <w:rPr>
            <w:rStyle w:val="Lienhypertexte"/>
            <w:rFonts w:cstheme="minorHAnsi"/>
            <w:noProof/>
          </w:rPr>
          <w:t>4.8.4.</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Salinisation des terres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_Toc144654094 \h </w:instrText>
        </w:r>
        <w:r w:rsidR="007243AA" w:rsidRPr="00E01239">
          <w:rPr>
            <w:noProof/>
            <w:webHidden/>
          </w:rPr>
        </w:r>
        <w:r w:rsidR="007243AA" w:rsidRPr="00E01239">
          <w:rPr>
            <w:noProof/>
            <w:webHidden/>
          </w:rPr>
          <w:fldChar w:fldCharType="separate"/>
        </w:r>
        <w:r w:rsidR="007243AA" w:rsidRPr="00E01239">
          <w:rPr>
            <w:noProof/>
            <w:webHidden/>
          </w:rPr>
          <w:t>52</w:t>
        </w:r>
        <w:r w:rsidR="007243AA" w:rsidRPr="00E01239">
          <w:rPr>
            <w:noProof/>
            <w:webHidden/>
          </w:rPr>
          <w:fldChar w:fldCharType="end"/>
        </w:r>
      </w:hyperlink>
    </w:p>
    <w:p w14:paraId="30F0B8A9" w14:textId="1F1A374E"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95" w:history="1">
        <w:r w:rsidR="007243AA" w:rsidRPr="00E01239">
          <w:rPr>
            <w:rStyle w:val="Lienhypertexte"/>
            <w:rFonts w:cstheme="minorHAnsi"/>
            <w:noProof/>
          </w:rPr>
          <w:t>4.8.5.</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Problématique de la compétition foncière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_Toc144654095 \h </w:instrText>
        </w:r>
        <w:r w:rsidR="007243AA" w:rsidRPr="00E01239">
          <w:rPr>
            <w:noProof/>
            <w:webHidden/>
          </w:rPr>
        </w:r>
        <w:r w:rsidR="007243AA" w:rsidRPr="00E01239">
          <w:rPr>
            <w:noProof/>
            <w:webHidden/>
          </w:rPr>
          <w:fldChar w:fldCharType="separate"/>
        </w:r>
        <w:r w:rsidR="007243AA" w:rsidRPr="00E01239">
          <w:rPr>
            <w:noProof/>
            <w:webHidden/>
          </w:rPr>
          <w:t>54</w:t>
        </w:r>
        <w:r w:rsidR="007243AA" w:rsidRPr="00E01239">
          <w:rPr>
            <w:noProof/>
            <w:webHidden/>
          </w:rPr>
          <w:fldChar w:fldCharType="end"/>
        </w:r>
      </w:hyperlink>
    </w:p>
    <w:p w14:paraId="1DE8E850" w14:textId="15D94F12"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96" w:history="1">
        <w:r w:rsidR="007243AA" w:rsidRPr="00E01239">
          <w:rPr>
            <w:rStyle w:val="Lienhypertexte"/>
            <w:rFonts w:cstheme="minorHAnsi"/>
            <w:noProof/>
          </w:rPr>
          <w:t>4.8.6.</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Surpâturage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_Toc144654096 \h </w:instrText>
        </w:r>
        <w:r w:rsidR="007243AA" w:rsidRPr="00E01239">
          <w:rPr>
            <w:noProof/>
            <w:webHidden/>
          </w:rPr>
        </w:r>
        <w:r w:rsidR="007243AA" w:rsidRPr="00E01239">
          <w:rPr>
            <w:noProof/>
            <w:webHidden/>
          </w:rPr>
          <w:fldChar w:fldCharType="separate"/>
        </w:r>
        <w:r w:rsidR="007243AA" w:rsidRPr="00E01239">
          <w:rPr>
            <w:noProof/>
            <w:webHidden/>
          </w:rPr>
          <w:t>54</w:t>
        </w:r>
        <w:r w:rsidR="007243AA" w:rsidRPr="00E01239">
          <w:rPr>
            <w:noProof/>
            <w:webHidden/>
          </w:rPr>
          <w:fldChar w:fldCharType="end"/>
        </w:r>
      </w:hyperlink>
    </w:p>
    <w:p w14:paraId="0B251264" w14:textId="443FD269"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97" w:history="1">
        <w:r w:rsidR="007243AA" w:rsidRPr="00E01239">
          <w:rPr>
            <w:rStyle w:val="Lienhypertexte"/>
            <w:rFonts w:cstheme="minorHAnsi"/>
            <w:noProof/>
          </w:rPr>
          <w:t>4.8.7.</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Pression sur les ressources forestières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_Toc144654097 \h </w:instrText>
        </w:r>
        <w:r w:rsidR="007243AA" w:rsidRPr="00E01239">
          <w:rPr>
            <w:noProof/>
            <w:webHidden/>
          </w:rPr>
        </w:r>
        <w:r w:rsidR="007243AA" w:rsidRPr="00E01239">
          <w:rPr>
            <w:noProof/>
            <w:webHidden/>
          </w:rPr>
          <w:fldChar w:fldCharType="separate"/>
        </w:r>
        <w:r w:rsidR="007243AA" w:rsidRPr="00E01239">
          <w:rPr>
            <w:noProof/>
            <w:webHidden/>
          </w:rPr>
          <w:t>54</w:t>
        </w:r>
        <w:r w:rsidR="007243AA" w:rsidRPr="00E01239">
          <w:rPr>
            <w:noProof/>
            <w:webHidden/>
          </w:rPr>
          <w:fldChar w:fldCharType="end"/>
        </w:r>
      </w:hyperlink>
    </w:p>
    <w:p w14:paraId="283F4B30" w14:textId="45DEB4E4"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98" w:history="1">
        <w:r w:rsidR="007243AA" w:rsidRPr="00E01239">
          <w:rPr>
            <w:rStyle w:val="Lienhypertexte"/>
            <w:rFonts w:cstheme="minorHAnsi"/>
            <w:noProof/>
          </w:rPr>
          <w:t>4.8.8.</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Problématiques liées aux abus sexuels et harcèlements sexuels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_Toc144654098 \h </w:instrText>
        </w:r>
        <w:r w:rsidR="007243AA" w:rsidRPr="00E01239">
          <w:rPr>
            <w:noProof/>
            <w:webHidden/>
          </w:rPr>
        </w:r>
        <w:r w:rsidR="007243AA" w:rsidRPr="00E01239">
          <w:rPr>
            <w:noProof/>
            <w:webHidden/>
          </w:rPr>
          <w:fldChar w:fldCharType="separate"/>
        </w:r>
        <w:r w:rsidR="007243AA" w:rsidRPr="00E01239">
          <w:rPr>
            <w:noProof/>
            <w:webHidden/>
          </w:rPr>
          <w:t>55</w:t>
        </w:r>
        <w:r w:rsidR="007243AA" w:rsidRPr="00E01239">
          <w:rPr>
            <w:noProof/>
            <w:webHidden/>
          </w:rPr>
          <w:fldChar w:fldCharType="end"/>
        </w:r>
      </w:hyperlink>
    </w:p>
    <w:p w14:paraId="1F344782" w14:textId="7F39C368"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099" w:history="1">
        <w:r w:rsidR="007243AA" w:rsidRPr="00E01239">
          <w:rPr>
            <w:rStyle w:val="Lienhypertexte"/>
            <w:rFonts w:cstheme="minorHAnsi"/>
            <w:noProof/>
          </w:rPr>
          <w:t>4.8.9.</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Enjeux sécuritaires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_Toc144654099 \h </w:instrText>
        </w:r>
        <w:r w:rsidR="007243AA" w:rsidRPr="00E01239">
          <w:rPr>
            <w:noProof/>
            <w:webHidden/>
          </w:rPr>
        </w:r>
        <w:r w:rsidR="007243AA" w:rsidRPr="00E01239">
          <w:rPr>
            <w:noProof/>
            <w:webHidden/>
          </w:rPr>
          <w:fldChar w:fldCharType="separate"/>
        </w:r>
        <w:r w:rsidR="007243AA" w:rsidRPr="00E01239">
          <w:rPr>
            <w:noProof/>
            <w:webHidden/>
          </w:rPr>
          <w:t>55</w:t>
        </w:r>
        <w:r w:rsidR="007243AA" w:rsidRPr="00E01239">
          <w:rPr>
            <w:noProof/>
            <w:webHidden/>
          </w:rPr>
          <w:fldChar w:fldCharType="end"/>
        </w:r>
      </w:hyperlink>
    </w:p>
    <w:p w14:paraId="33A7FC40" w14:textId="5343A11A" w:rsidR="007243AA" w:rsidRPr="00E01239" w:rsidRDefault="00000000" w:rsidP="008019AE">
      <w:pPr>
        <w:pStyle w:val="TM1"/>
        <w:rPr>
          <w:rFonts w:asciiTheme="minorHAnsi" w:eastAsiaTheme="minorEastAsia" w:hAnsiTheme="minorHAnsi" w:cstheme="minorBidi"/>
          <w:noProof/>
          <w:sz w:val="22"/>
          <w:szCs w:val="22"/>
        </w:rPr>
      </w:pPr>
      <w:hyperlink w:anchor="_Toc144654100" w:history="1">
        <w:r w:rsidR="007243AA" w:rsidRPr="00E01239">
          <w:rPr>
            <w:rStyle w:val="Lienhypertexte"/>
            <w:rFonts w:cstheme="minorHAnsi"/>
            <w:noProof/>
            <w:lang w:eastAsia="x-none"/>
          </w:rPr>
          <w:t>V.</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lang w:eastAsia="x-none"/>
          </w:rPr>
          <w:t>ANALYSE DES ALTERNATIVES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_Toc144654100 \h </w:instrText>
        </w:r>
        <w:r w:rsidR="007243AA" w:rsidRPr="00E01239">
          <w:rPr>
            <w:noProof/>
            <w:webHidden/>
          </w:rPr>
        </w:r>
        <w:r w:rsidR="007243AA" w:rsidRPr="00E01239">
          <w:rPr>
            <w:noProof/>
            <w:webHidden/>
          </w:rPr>
          <w:fldChar w:fldCharType="separate"/>
        </w:r>
        <w:r w:rsidR="007243AA" w:rsidRPr="00E01239">
          <w:rPr>
            <w:noProof/>
            <w:webHidden/>
          </w:rPr>
          <w:t>59</w:t>
        </w:r>
        <w:r w:rsidR="007243AA" w:rsidRPr="00E01239">
          <w:rPr>
            <w:noProof/>
            <w:webHidden/>
          </w:rPr>
          <w:fldChar w:fldCharType="end"/>
        </w:r>
      </w:hyperlink>
    </w:p>
    <w:p w14:paraId="4E84FBAA" w14:textId="2D13E988"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01" w:history="1">
        <w:r w:rsidR="007243AA" w:rsidRPr="00E01239">
          <w:rPr>
            <w:rStyle w:val="Lienhypertexte"/>
            <w:rFonts w:cstheme="minorHAnsi"/>
            <w:noProof/>
          </w:rPr>
          <w:t>5.1.</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MUTUALISATION ET APPROCHES INTEGREES DES DIFFERENTS PROGRAMMES SECTORIELS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_Toc144654101 \h </w:instrText>
        </w:r>
        <w:r w:rsidR="007243AA" w:rsidRPr="00E01239">
          <w:rPr>
            <w:noProof/>
            <w:webHidden/>
          </w:rPr>
        </w:r>
        <w:r w:rsidR="007243AA" w:rsidRPr="00E01239">
          <w:rPr>
            <w:noProof/>
            <w:webHidden/>
          </w:rPr>
          <w:fldChar w:fldCharType="separate"/>
        </w:r>
        <w:r w:rsidR="007243AA" w:rsidRPr="00E01239">
          <w:rPr>
            <w:noProof/>
            <w:webHidden/>
          </w:rPr>
          <w:t>59</w:t>
        </w:r>
        <w:r w:rsidR="007243AA" w:rsidRPr="00E01239">
          <w:rPr>
            <w:noProof/>
            <w:webHidden/>
          </w:rPr>
          <w:fldChar w:fldCharType="end"/>
        </w:r>
      </w:hyperlink>
    </w:p>
    <w:p w14:paraId="5EB78F7C" w14:textId="4F5FAB21"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02" w:history="1">
        <w:r w:rsidR="007243AA" w:rsidRPr="00E01239">
          <w:rPr>
            <w:rStyle w:val="Lienhypertexte"/>
            <w:rFonts w:cstheme="minorHAnsi"/>
            <w:noProof/>
          </w:rPr>
          <w:t>5.2.</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ANALYSE DES CRITERES DE CONCEPTION DES ACTIVITES DE REHABILITATION DES PERIMETRES IRRIGUES ET DE RENOUVELLEMENT DES SYSTEMES DE POMPAGE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_Toc144654102 \h </w:instrText>
        </w:r>
        <w:r w:rsidR="007243AA" w:rsidRPr="00E01239">
          <w:rPr>
            <w:noProof/>
            <w:webHidden/>
          </w:rPr>
        </w:r>
        <w:r w:rsidR="007243AA" w:rsidRPr="00E01239">
          <w:rPr>
            <w:noProof/>
            <w:webHidden/>
          </w:rPr>
          <w:fldChar w:fldCharType="separate"/>
        </w:r>
        <w:r w:rsidR="007243AA" w:rsidRPr="00E01239">
          <w:rPr>
            <w:noProof/>
            <w:webHidden/>
          </w:rPr>
          <w:t>60</w:t>
        </w:r>
        <w:r w:rsidR="007243AA" w:rsidRPr="00E01239">
          <w:rPr>
            <w:noProof/>
            <w:webHidden/>
          </w:rPr>
          <w:fldChar w:fldCharType="end"/>
        </w:r>
      </w:hyperlink>
    </w:p>
    <w:p w14:paraId="43086303" w14:textId="1C734DCA"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03" w:history="1">
        <w:r w:rsidR="007243AA" w:rsidRPr="00E01239">
          <w:rPr>
            <w:rStyle w:val="Lienhypertexte"/>
            <w:rFonts w:cstheme="minorHAnsi"/>
            <w:noProof/>
          </w:rPr>
          <w:t>5.2.1.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Composante aménagements hydroagricoles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_Toc144654103 \h </w:instrText>
        </w:r>
        <w:r w:rsidR="007243AA" w:rsidRPr="00E01239">
          <w:rPr>
            <w:noProof/>
            <w:webHidden/>
          </w:rPr>
        </w:r>
        <w:r w:rsidR="007243AA" w:rsidRPr="00E01239">
          <w:rPr>
            <w:noProof/>
            <w:webHidden/>
          </w:rPr>
          <w:fldChar w:fldCharType="separate"/>
        </w:r>
        <w:r w:rsidR="007243AA" w:rsidRPr="00E01239">
          <w:rPr>
            <w:noProof/>
            <w:webHidden/>
          </w:rPr>
          <w:t>60</w:t>
        </w:r>
        <w:r w:rsidR="007243AA" w:rsidRPr="00E01239">
          <w:rPr>
            <w:noProof/>
            <w:webHidden/>
          </w:rPr>
          <w:fldChar w:fldCharType="end"/>
        </w:r>
      </w:hyperlink>
    </w:p>
    <w:p w14:paraId="33CB3133" w14:textId="5ACF0B39"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04" w:history="1">
        <w:r w:rsidR="007243AA" w:rsidRPr="00E01239">
          <w:rPr>
            <w:rStyle w:val="Lienhypertexte"/>
            <w:rFonts w:cstheme="minorHAnsi"/>
            <w:noProof/>
          </w:rPr>
          <w:t>5.2.2.</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Conception des équipements hydro et électromécaniques des stations de pompage et des mini-forages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_Toc144654104 \h </w:instrText>
        </w:r>
        <w:r w:rsidR="007243AA" w:rsidRPr="00E01239">
          <w:rPr>
            <w:noProof/>
            <w:webHidden/>
          </w:rPr>
        </w:r>
        <w:r w:rsidR="007243AA" w:rsidRPr="00E01239">
          <w:rPr>
            <w:noProof/>
            <w:webHidden/>
          </w:rPr>
          <w:fldChar w:fldCharType="separate"/>
        </w:r>
        <w:r w:rsidR="007243AA" w:rsidRPr="00E01239">
          <w:rPr>
            <w:noProof/>
            <w:webHidden/>
          </w:rPr>
          <w:t>63</w:t>
        </w:r>
        <w:r w:rsidR="007243AA" w:rsidRPr="00E01239">
          <w:rPr>
            <w:noProof/>
            <w:webHidden/>
          </w:rPr>
          <w:fldChar w:fldCharType="end"/>
        </w:r>
      </w:hyperlink>
    </w:p>
    <w:p w14:paraId="152B3378" w14:textId="3CF115F4"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05" w:history="1">
        <w:r w:rsidR="007243AA" w:rsidRPr="00E01239">
          <w:rPr>
            <w:rStyle w:val="Lienhypertexte"/>
            <w:rFonts w:cstheme="minorHAnsi"/>
            <w:noProof/>
          </w:rPr>
          <w:t>5.2.3.</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Analyse des variantes fertilisant chimique/ fertilisant organique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_Toc144654105 \h </w:instrText>
        </w:r>
        <w:r w:rsidR="007243AA" w:rsidRPr="00E01239">
          <w:rPr>
            <w:noProof/>
            <w:webHidden/>
          </w:rPr>
        </w:r>
        <w:r w:rsidR="007243AA" w:rsidRPr="00E01239">
          <w:rPr>
            <w:noProof/>
            <w:webHidden/>
          </w:rPr>
          <w:fldChar w:fldCharType="separate"/>
        </w:r>
        <w:r w:rsidR="007243AA" w:rsidRPr="00E01239">
          <w:rPr>
            <w:noProof/>
            <w:webHidden/>
          </w:rPr>
          <w:t>65</w:t>
        </w:r>
        <w:r w:rsidR="007243AA" w:rsidRPr="00E01239">
          <w:rPr>
            <w:noProof/>
            <w:webHidden/>
          </w:rPr>
          <w:fldChar w:fldCharType="end"/>
        </w:r>
      </w:hyperlink>
    </w:p>
    <w:p w14:paraId="35623014" w14:textId="759E7466" w:rsidR="007243AA" w:rsidRPr="00E01239" w:rsidRDefault="00000000" w:rsidP="008019AE">
      <w:pPr>
        <w:pStyle w:val="TM1"/>
        <w:rPr>
          <w:rFonts w:asciiTheme="minorHAnsi" w:eastAsiaTheme="minorEastAsia" w:hAnsiTheme="minorHAnsi" w:cstheme="minorBidi"/>
          <w:noProof/>
          <w:sz w:val="22"/>
          <w:szCs w:val="22"/>
        </w:rPr>
      </w:pPr>
      <w:hyperlink w:anchor="_Toc144654106" w:history="1">
        <w:r w:rsidR="007243AA" w:rsidRPr="00E01239">
          <w:rPr>
            <w:rStyle w:val="Lienhypertexte"/>
            <w:rFonts w:cstheme="minorHAnsi"/>
            <w:noProof/>
            <w:lang w:eastAsia="x-none"/>
          </w:rPr>
          <w:t>VI.</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lang w:eastAsia="x-none"/>
          </w:rPr>
          <w:t>IMPACTS/RISQUES POTENTIELS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_Toc144654106 \h </w:instrText>
        </w:r>
        <w:r w:rsidR="007243AA" w:rsidRPr="00E01239">
          <w:rPr>
            <w:noProof/>
            <w:webHidden/>
          </w:rPr>
        </w:r>
        <w:r w:rsidR="007243AA" w:rsidRPr="00E01239">
          <w:rPr>
            <w:noProof/>
            <w:webHidden/>
          </w:rPr>
          <w:fldChar w:fldCharType="separate"/>
        </w:r>
        <w:r w:rsidR="007243AA" w:rsidRPr="00E01239">
          <w:rPr>
            <w:noProof/>
            <w:webHidden/>
          </w:rPr>
          <w:t>67</w:t>
        </w:r>
        <w:r w:rsidR="007243AA" w:rsidRPr="00E01239">
          <w:rPr>
            <w:noProof/>
            <w:webHidden/>
          </w:rPr>
          <w:fldChar w:fldCharType="end"/>
        </w:r>
      </w:hyperlink>
    </w:p>
    <w:p w14:paraId="12DB2C8F" w14:textId="7E535940"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07" w:history="1">
        <w:r w:rsidR="007243AA" w:rsidRPr="00E01239">
          <w:rPr>
            <w:rStyle w:val="Lienhypertexte"/>
            <w:rFonts w:cstheme="minorHAnsi"/>
            <w:noProof/>
          </w:rPr>
          <w:t>6.1.</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IDENTIFICATION DES DIFFERENTS ENJEUX E&amp;S INHERENTS AU FSRP-SN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_Toc144654107 \h </w:instrText>
        </w:r>
        <w:r w:rsidR="007243AA" w:rsidRPr="00E01239">
          <w:rPr>
            <w:noProof/>
            <w:webHidden/>
          </w:rPr>
        </w:r>
        <w:r w:rsidR="007243AA" w:rsidRPr="00E01239">
          <w:rPr>
            <w:noProof/>
            <w:webHidden/>
          </w:rPr>
          <w:fldChar w:fldCharType="separate"/>
        </w:r>
        <w:r w:rsidR="007243AA" w:rsidRPr="00E01239">
          <w:rPr>
            <w:noProof/>
            <w:webHidden/>
          </w:rPr>
          <w:t>67</w:t>
        </w:r>
        <w:r w:rsidR="007243AA" w:rsidRPr="00E01239">
          <w:rPr>
            <w:noProof/>
            <w:webHidden/>
          </w:rPr>
          <w:fldChar w:fldCharType="end"/>
        </w:r>
      </w:hyperlink>
    </w:p>
    <w:p w14:paraId="7D4933C0" w14:textId="386493B9"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08" w:history="1">
        <w:r w:rsidR="007243AA" w:rsidRPr="00E01239">
          <w:rPr>
            <w:rStyle w:val="Lienhypertexte"/>
            <w:rFonts w:cstheme="minorHAnsi"/>
            <w:noProof/>
          </w:rPr>
          <w:t>6.2.</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IMPACTS ENVIRONNEMENTAUX ET SOCIAUX POSITIFS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_Toc144654108 \h </w:instrText>
        </w:r>
        <w:r w:rsidR="007243AA" w:rsidRPr="00E01239">
          <w:rPr>
            <w:noProof/>
            <w:webHidden/>
          </w:rPr>
        </w:r>
        <w:r w:rsidR="007243AA" w:rsidRPr="00E01239">
          <w:rPr>
            <w:noProof/>
            <w:webHidden/>
          </w:rPr>
          <w:fldChar w:fldCharType="separate"/>
        </w:r>
        <w:r w:rsidR="007243AA" w:rsidRPr="00E01239">
          <w:rPr>
            <w:noProof/>
            <w:webHidden/>
          </w:rPr>
          <w:t>70</w:t>
        </w:r>
        <w:r w:rsidR="007243AA" w:rsidRPr="00E01239">
          <w:rPr>
            <w:noProof/>
            <w:webHidden/>
          </w:rPr>
          <w:fldChar w:fldCharType="end"/>
        </w:r>
      </w:hyperlink>
    </w:p>
    <w:p w14:paraId="7C5349BA" w14:textId="248B20DE"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09" w:history="1">
        <w:r w:rsidR="007243AA" w:rsidRPr="00E01239">
          <w:rPr>
            <w:rStyle w:val="Lienhypertexte"/>
            <w:rFonts w:cstheme="minorHAnsi"/>
            <w:noProof/>
          </w:rPr>
          <w:t>6.3.</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IMPACTS ENVIRONNEMENTAUX ET SOCIAUX NEGATIFS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_Toc144654109 \h </w:instrText>
        </w:r>
        <w:r w:rsidR="007243AA" w:rsidRPr="00E01239">
          <w:rPr>
            <w:noProof/>
            <w:webHidden/>
          </w:rPr>
        </w:r>
        <w:r w:rsidR="007243AA" w:rsidRPr="00E01239">
          <w:rPr>
            <w:noProof/>
            <w:webHidden/>
          </w:rPr>
          <w:fldChar w:fldCharType="separate"/>
        </w:r>
        <w:r w:rsidR="007243AA" w:rsidRPr="00E01239">
          <w:rPr>
            <w:noProof/>
            <w:webHidden/>
          </w:rPr>
          <w:t>71</w:t>
        </w:r>
        <w:r w:rsidR="007243AA" w:rsidRPr="00E01239">
          <w:rPr>
            <w:noProof/>
            <w:webHidden/>
          </w:rPr>
          <w:fldChar w:fldCharType="end"/>
        </w:r>
      </w:hyperlink>
    </w:p>
    <w:p w14:paraId="224063E0" w14:textId="5DB8E42C"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10" w:history="1">
        <w:r w:rsidR="007243AA" w:rsidRPr="00E01239">
          <w:rPr>
            <w:rStyle w:val="Lienhypertexte"/>
            <w:rFonts w:cstheme="minorHAnsi"/>
            <w:noProof/>
          </w:rPr>
          <w:t>6.3.1.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Identification des activités sources d’impacts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_Toc144654110 \h </w:instrText>
        </w:r>
        <w:r w:rsidR="007243AA" w:rsidRPr="00E01239">
          <w:rPr>
            <w:noProof/>
            <w:webHidden/>
          </w:rPr>
        </w:r>
        <w:r w:rsidR="007243AA" w:rsidRPr="00E01239">
          <w:rPr>
            <w:noProof/>
            <w:webHidden/>
          </w:rPr>
          <w:fldChar w:fldCharType="separate"/>
        </w:r>
        <w:r w:rsidR="007243AA" w:rsidRPr="00E01239">
          <w:rPr>
            <w:noProof/>
            <w:webHidden/>
          </w:rPr>
          <w:t>71</w:t>
        </w:r>
        <w:r w:rsidR="007243AA" w:rsidRPr="00E01239">
          <w:rPr>
            <w:noProof/>
            <w:webHidden/>
          </w:rPr>
          <w:fldChar w:fldCharType="end"/>
        </w:r>
      </w:hyperlink>
    </w:p>
    <w:p w14:paraId="1B44533B" w14:textId="610BC883"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11" w:history="1">
        <w:r w:rsidR="007243AA" w:rsidRPr="00E01239">
          <w:rPr>
            <w:rStyle w:val="Lienhypertexte"/>
            <w:rFonts w:cstheme="minorHAnsi"/>
            <w:noProof/>
          </w:rPr>
          <w:t>6.3.2.</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Identification des effets négatifs inhérents aux travaux de construction/réhabilitation et/ou aménagements d’infrastructures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_Toc144654111 \h </w:instrText>
        </w:r>
        <w:r w:rsidR="007243AA" w:rsidRPr="00E01239">
          <w:rPr>
            <w:noProof/>
            <w:webHidden/>
          </w:rPr>
        </w:r>
        <w:r w:rsidR="007243AA" w:rsidRPr="00E01239">
          <w:rPr>
            <w:noProof/>
            <w:webHidden/>
          </w:rPr>
          <w:fldChar w:fldCharType="separate"/>
        </w:r>
        <w:r w:rsidR="007243AA" w:rsidRPr="00E01239">
          <w:rPr>
            <w:noProof/>
            <w:webHidden/>
          </w:rPr>
          <w:t>75</w:t>
        </w:r>
        <w:r w:rsidR="007243AA" w:rsidRPr="00E01239">
          <w:rPr>
            <w:noProof/>
            <w:webHidden/>
          </w:rPr>
          <w:fldChar w:fldCharType="end"/>
        </w:r>
      </w:hyperlink>
    </w:p>
    <w:p w14:paraId="2739C385" w14:textId="62F37ECF"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12" w:history="1">
        <w:r w:rsidR="007243AA" w:rsidRPr="00E01239">
          <w:rPr>
            <w:rStyle w:val="Lienhypertexte"/>
            <w:rFonts w:cstheme="minorHAnsi"/>
            <w:bCs/>
            <w:noProof/>
          </w:rPr>
          <w:t>6.3.2.1.</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Pertes de couvert végétal et perturbation de la faune sur les sites d’installation de chantier et de travaux</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_Toc144654112 \h </w:instrText>
        </w:r>
        <w:r w:rsidR="007243AA" w:rsidRPr="00E01239">
          <w:rPr>
            <w:noProof/>
            <w:webHidden/>
          </w:rPr>
        </w:r>
        <w:r w:rsidR="007243AA" w:rsidRPr="00E01239">
          <w:rPr>
            <w:noProof/>
            <w:webHidden/>
          </w:rPr>
          <w:fldChar w:fldCharType="separate"/>
        </w:r>
        <w:r w:rsidR="007243AA" w:rsidRPr="00E01239">
          <w:rPr>
            <w:noProof/>
            <w:webHidden/>
          </w:rPr>
          <w:t>76</w:t>
        </w:r>
        <w:r w:rsidR="007243AA" w:rsidRPr="00E01239">
          <w:rPr>
            <w:noProof/>
            <w:webHidden/>
          </w:rPr>
          <w:fldChar w:fldCharType="end"/>
        </w:r>
      </w:hyperlink>
    </w:p>
    <w:p w14:paraId="6E0E8AEC" w14:textId="3905CE0C"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13" w:history="1">
        <w:r w:rsidR="007243AA" w:rsidRPr="00E01239">
          <w:rPr>
            <w:rStyle w:val="Lienhypertexte"/>
            <w:rFonts w:cstheme="minorHAnsi"/>
            <w:bCs/>
            <w:noProof/>
          </w:rPr>
          <w:t>6.3.2.2.</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Altération de la qualité de l’air et augmentation des émissions GES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_Toc144654113 \h </w:instrText>
        </w:r>
        <w:r w:rsidR="007243AA" w:rsidRPr="00E01239">
          <w:rPr>
            <w:noProof/>
            <w:webHidden/>
          </w:rPr>
        </w:r>
        <w:r w:rsidR="007243AA" w:rsidRPr="00E01239">
          <w:rPr>
            <w:noProof/>
            <w:webHidden/>
          </w:rPr>
          <w:fldChar w:fldCharType="separate"/>
        </w:r>
        <w:r w:rsidR="007243AA" w:rsidRPr="00E01239">
          <w:rPr>
            <w:noProof/>
            <w:webHidden/>
          </w:rPr>
          <w:t>76</w:t>
        </w:r>
        <w:r w:rsidR="007243AA" w:rsidRPr="00E01239">
          <w:rPr>
            <w:noProof/>
            <w:webHidden/>
          </w:rPr>
          <w:fldChar w:fldCharType="end"/>
        </w:r>
      </w:hyperlink>
    </w:p>
    <w:p w14:paraId="3EF4761F" w14:textId="5AB1D844"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14" w:history="1">
        <w:r w:rsidR="007243AA" w:rsidRPr="00E01239">
          <w:rPr>
            <w:rStyle w:val="Lienhypertexte"/>
            <w:rFonts w:cstheme="minorHAnsi"/>
            <w:bCs/>
            <w:noProof/>
          </w:rPr>
          <w:t>6.3.2.3.</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Pollution des eaux souterraines et des eaux de surface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_Toc144654114 \h </w:instrText>
        </w:r>
        <w:r w:rsidR="007243AA" w:rsidRPr="00E01239">
          <w:rPr>
            <w:noProof/>
            <w:webHidden/>
          </w:rPr>
        </w:r>
        <w:r w:rsidR="007243AA" w:rsidRPr="00E01239">
          <w:rPr>
            <w:noProof/>
            <w:webHidden/>
          </w:rPr>
          <w:fldChar w:fldCharType="separate"/>
        </w:r>
        <w:r w:rsidR="007243AA" w:rsidRPr="00E01239">
          <w:rPr>
            <w:noProof/>
            <w:webHidden/>
          </w:rPr>
          <w:t>76</w:t>
        </w:r>
        <w:r w:rsidR="007243AA" w:rsidRPr="00E01239">
          <w:rPr>
            <w:noProof/>
            <w:webHidden/>
          </w:rPr>
          <w:fldChar w:fldCharType="end"/>
        </w:r>
      </w:hyperlink>
    </w:p>
    <w:p w14:paraId="43645CCD" w14:textId="5E5B7E5D"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15" w:history="1">
        <w:r w:rsidR="007243AA" w:rsidRPr="00E01239">
          <w:rPr>
            <w:rStyle w:val="Lienhypertexte"/>
            <w:rFonts w:cstheme="minorHAnsi"/>
            <w:bCs/>
            <w:noProof/>
          </w:rPr>
          <w:t>6.3.2.4.</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Pollution et dégradation des sols lors des aménagements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_Toc144654115 \h </w:instrText>
        </w:r>
        <w:r w:rsidR="007243AA" w:rsidRPr="00E01239">
          <w:rPr>
            <w:noProof/>
            <w:webHidden/>
          </w:rPr>
        </w:r>
        <w:r w:rsidR="007243AA" w:rsidRPr="00E01239">
          <w:rPr>
            <w:noProof/>
            <w:webHidden/>
          </w:rPr>
          <w:fldChar w:fldCharType="separate"/>
        </w:r>
        <w:r w:rsidR="007243AA" w:rsidRPr="00E01239">
          <w:rPr>
            <w:noProof/>
            <w:webHidden/>
          </w:rPr>
          <w:t>77</w:t>
        </w:r>
        <w:r w:rsidR="007243AA" w:rsidRPr="00E01239">
          <w:rPr>
            <w:noProof/>
            <w:webHidden/>
          </w:rPr>
          <w:fldChar w:fldCharType="end"/>
        </w:r>
      </w:hyperlink>
    </w:p>
    <w:p w14:paraId="7C4900A2" w14:textId="16629F83"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16" w:history="1">
        <w:r w:rsidR="007243AA" w:rsidRPr="00E01239">
          <w:rPr>
            <w:rStyle w:val="Lienhypertexte"/>
            <w:rFonts w:cstheme="minorHAnsi"/>
            <w:bCs/>
            <w:noProof/>
          </w:rPr>
          <w:t>6.3.2.5.</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Perturbation des parcours pastoraux et confits avec les éleveurs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_Toc144654116 \h </w:instrText>
        </w:r>
        <w:r w:rsidR="007243AA" w:rsidRPr="00E01239">
          <w:rPr>
            <w:noProof/>
            <w:webHidden/>
          </w:rPr>
        </w:r>
        <w:r w:rsidR="007243AA" w:rsidRPr="00E01239">
          <w:rPr>
            <w:noProof/>
            <w:webHidden/>
          </w:rPr>
          <w:fldChar w:fldCharType="separate"/>
        </w:r>
        <w:r w:rsidR="007243AA" w:rsidRPr="00E01239">
          <w:rPr>
            <w:noProof/>
            <w:webHidden/>
          </w:rPr>
          <w:t>77</w:t>
        </w:r>
        <w:r w:rsidR="007243AA" w:rsidRPr="00E01239">
          <w:rPr>
            <w:noProof/>
            <w:webHidden/>
          </w:rPr>
          <w:fldChar w:fldCharType="end"/>
        </w:r>
      </w:hyperlink>
    </w:p>
    <w:p w14:paraId="17AA30BA" w14:textId="2F3310DF"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17" w:history="1">
        <w:r w:rsidR="007243AA" w:rsidRPr="00E01239">
          <w:rPr>
            <w:rStyle w:val="Lienhypertexte"/>
            <w:rFonts w:cstheme="minorHAnsi"/>
            <w:bCs/>
            <w:noProof/>
          </w:rPr>
          <w:t>6.3.2.6.</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Impacts sur la mobilité et gêne pour les populations riveraines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_Toc144654117 \h </w:instrText>
        </w:r>
        <w:r w:rsidR="007243AA" w:rsidRPr="00E01239">
          <w:rPr>
            <w:noProof/>
            <w:webHidden/>
          </w:rPr>
        </w:r>
        <w:r w:rsidR="007243AA" w:rsidRPr="00E01239">
          <w:rPr>
            <w:noProof/>
            <w:webHidden/>
          </w:rPr>
          <w:fldChar w:fldCharType="separate"/>
        </w:r>
        <w:r w:rsidR="007243AA" w:rsidRPr="00E01239">
          <w:rPr>
            <w:noProof/>
            <w:webHidden/>
          </w:rPr>
          <w:t>77</w:t>
        </w:r>
        <w:r w:rsidR="007243AA" w:rsidRPr="00E01239">
          <w:rPr>
            <w:noProof/>
            <w:webHidden/>
          </w:rPr>
          <w:fldChar w:fldCharType="end"/>
        </w:r>
      </w:hyperlink>
    </w:p>
    <w:p w14:paraId="771C1C5E" w14:textId="447E1B20"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18" w:history="1">
        <w:r w:rsidR="007243AA" w:rsidRPr="00E01239">
          <w:rPr>
            <w:rStyle w:val="Lienhypertexte"/>
            <w:rFonts w:cstheme="minorHAnsi"/>
            <w:bCs/>
            <w:noProof/>
          </w:rPr>
          <w:t>6.3.2.7.</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Risques de conflits entre les populations et les ouvriers et de violences basées sur le genre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_Toc144654118 \h </w:instrText>
        </w:r>
        <w:r w:rsidR="007243AA" w:rsidRPr="00E01239">
          <w:rPr>
            <w:noProof/>
            <w:webHidden/>
          </w:rPr>
        </w:r>
        <w:r w:rsidR="007243AA" w:rsidRPr="00E01239">
          <w:rPr>
            <w:noProof/>
            <w:webHidden/>
          </w:rPr>
          <w:fldChar w:fldCharType="separate"/>
        </w:r>
        <w:r w:rsidR="007243AA" w:rsidRPr="00E01239">
          <w:rPr>
            <w:noProof/>
            <w:webHidden/>
          </w:rPr>
          <w:t>77</w:t>
        </w:r>
        <w:r w:rsidR="007243AA" w:rsidRPr="00E01239">
          <w:rPr>
            <w:noProof/>
            <w:webHidden/>
          </w:rPr>
          <w:fldChar w:fldCharType="end"/>
        </w:r>
      </w:hyperlink>
    </w:p>
    <w:p w14:paraId="0C794953" w14:textId="1C4FDDEF"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19" w:history="1">
        <w:r w:rsidR="007243AA" w:rsidRPr="00E01239">
          <w:rPr>
            <w:rStyle w:val="Lienhypertexte"/>
            <w:rFonts w:cstheme="minorHAnsi"/>
            <w:bCs/>
            <w:noProof/>
          </w:rPr>
          <w:t>6.3.2.8.</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Dégradation de sites culturels et cultuels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_Toc144654119 \h </w:instrText>
        </w:r>
        <w:r w:rsidR="007243AA" w:rsidRPr="00E01239">
          <w:rPr>
            <w:noProof/>
            <w:webHidden/>
          </w:rPr>
        </w:r>
        <w:r w:rsidR="007243AA" w:rsidRPr="00E01239">
          <w:rPr>
            <w:noProof/>
            <w:webHidden/>
          </w:rPr>
          <w:fldChar w:fldCharType="separate"/>
        </w:r>
        <w:r w:rsidR="007243AA" w:rsidRPr="00E01239">
          <w:rPr>
            <w:noProof/>
            <w:webHidden/>
          </w:rPr>
          <w:t>78</w:t>
        </w:r>
        <w:r w:rsidR="007243AA" w:rsidRPr="00E01239">
          <w:rPr>
            <w:noProof/>
            <w:webHidden/>
          </w:rPr>
          <w:fldChar w:fldCharType="end"/>
        </w:r>
      </w:hyperlink>
    </w:p>
    <w:p w14:paraId="23FE9C58" w14:textId="0F80DA17"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20" w:history="1">
        <w:r w:rsidR="007243AA" w:rsidRPr="00E01239">
          <w:rPr>
            <w:rStyle w:val="Lienhypertexte"/>
            <w:rFonts w:cstheme="minorHAnsi"/>
            <w:bCs/>
            <w:noProof/>
          </w:rPr>
          <w:t>6.3.2.9.</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Pollution du milieu par les déchets de chantier</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_Toc144654120 \h </w:instrText>
        </w:r>
        <w:r w:rsidR="007243AA" w:rsidRPr="00E01239">
          <w:rPr>
            <w:noProof/>
            <w:webHidden/>
          </w:rPr>
        </w:r>
        <w:r w:rsidR="007243AA" w:rsidRPr="00E01239">
          <w:rPr>
            <w:noProof/>
            <w:webHidden/>
          </w:rPr>
          <w:fldChar w:fldCharType="separate"/>
        </w:r>
        <w:r w:rsidR="007243AA" w:rsidRPr="00E01239">
          <w:rPr>
            <w:noProof/>
            <w:webHidden/>
          </w:rPr>
          <w:t>78</w:t>
        </w:r>
        <w:r w:rsidR="007243AA" w:rsidRPr="00E01239">
          <w:rPr>
            <w:noProof/>
            <w:webHidden/>
          </w:rPr>
          <w:fldChar w:fldCharType="end"/>
        </w:r>
      </w:hyperlink>
    </w:p>
    <w:p w14:paraId="79C08F5E" w14:textId="17137647"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21" w:history="1">
        <w:r w:rsidR="007243AA" w:rsidRPr="00E01239">
          <w:rPr>
            <w:rStyle w:val="Lienhypertexte"/>
            <w:rFonts w:cstheme="minorHAnsi"/>
            <w:bCs/>
            <w:noProof/>
          </w:rPr>
          <w:t>6.3.2.10.</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Nuisances sonores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_Toc144654121 \h </w:instrText>
        </w:r>
        <w:r w:rsidR="007243AA" w:rsidRPr="00E01239">
          <w:rPr>
            <w:noProof/>
            <w:webHidden/>
          </w:rPr>
        </w:r>
        <w:r w:rsidR="007243AA" w:rsidRPr="00E01239">
          <w:rPr>
            <w:noProof/>
            <w:webHidden/>
          </w:rPr>
          <w:fldChar w:fldCharType="separate"/>
        </w:r>
        <w:r w:rsidR="007243AA" w:rsidRPr="00E01239">
          <w:rPr>
            <w:noProof/>
            <w:webHidden/>
          </w:rPr>
          <w:t>78</w:t>
        </w:r>
        <w:r w:rsidR="007243AA" w:rsidRPr="00E01239">
          <w:rPr>
            <w:noProof/>
            <w:webHidden/>
          </w:rPr>
          <w:fldChar w:fldCharType="end"/>
        </w:r>
      </w:hyperlink>
    </w:p>
    <w:p w14:paraId="6B48FA37" w14:textId="71FF9C0B"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22" w:history="1">
        <w:r w:rsidR="007243AA" w:rsidRPr="00E01239">
          <w:rPr>
            <w:rStyle w:val="Lienhypertexte"/>
            <w:rFonts w:cstheme="minorHAnsi"/>
            <w:bCs/>
            <w:noProof/>
          </w:rPr>
          <w:t>6.3.2.11.</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Exposition du personnel et des populations riveraines aux MST et aux IRA</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_Toc144654122 \h </w:instrText>
        </w:r>
        <w:r w:rsidR="007243AA" w:rsidRPr="00E01239">
          <w:rPr>
            <w:noProof/>
            <w:webHidden/>
          </w:rPr>
        </w:r>
        <w:r w:rsidR="007243AA" w:rsidRPr="00E01239">
          <w:rPr>
            <w:noProof/>
            <w:webHidden/>
          </w:rPr>
          <w:fldChar w:fldCharType="separate"/>
        </w:r>
        <w:r w:rsidR="007243AA" w:rsidRPr="00E01239">
          <w:rPr>
            <w:noProof/>
            <w:webHidden/>
          </w:rPr>
          <w:t>78</w:t>
        </w:r>
        <w:r w:rsidR="007243AA" w:rsidRPr="00E01239">
          <w:rPr>
            <w:noProof/>
            <w:webHidden/>
          </w:rPr>
          <w:fldChar w:fldCharType="end"/>
        </w:r>
      </w:hyperlink>
    </w:p>
    <w:p w14:paraId="69B3ED90" w14:textId="1E5E1DDB"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23" w:history="1">
        <w:r w:rsidR="007243AA" w:rsidRPr="00E01239">
          <w:rPr>
            <w:rStyle w:val="Lienhypertexte"/>
            <w:rFonts w:cstheme="minorHAnsi"/>
            <w:bCs/>
            <w:noProof/>
          </w:rPr>
          <w:t>6.3.2.12.</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Impacts liés aux risques d’accident de travail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_Toc144654123 \h </w:instrText>
        </w:r>
        <w:r w:rsidR="007243AA" w:rsidRPr="00E01239">
          <w:rPr>
            <w:noProof/>
            <w:webHidden/>
          </w:rPr>
        </w:r>
        <w:r w:rsidR="007243AA" w:rsidRPr="00E01239">
          <w:rPr>
            <w:noProof/>
            <w:webHidden/>
          </w:rPr>
          <w:fldChar w:fldCharType="separate"/>
        </w:r>
        <w:r w:rsidR="007243AA" w:rsidRPr="00E01239">
          <w:rPr>
            <w:noProof/>
            <w:webHidden/>
          </w:rPr>
          <w:t>78</w:t>
        </w:r>
        <w:r w:rsidR="007243AA" w:rsidRPr="00E01239">
          <w:rPr>
            <w:noProof/>
            <w:webHidden/>
          </w:rPr>
          <w:fldChar w:fldCharType="end"/>
        </w:r>
      </w:hyperlink>
    </w:p>
    <w:p w14:paraId="36ADA892" w14:textId="6DED2E33"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25" w:history="1">
        <w:r w:rsidR="007243AA" w:rsidRPr="00E01239">
          <w:rPr>
            <w:rStyle w:val="Lienhypertexte"/>
            <w:rFonts w:cstheme="minorHAnsi"/>
            <w:bCs/>
            <w:noProof/>
          </w:rPr>
          <w:t>6.3.2.13.</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Exposition des travailleurs à des braquages, enlèvements et attaques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_Toc144654125 \h </w:instrText>
        </w:r>
        <w:r w:rsidR="007243AA" w:rsidRPr="00E01239">
          <w:rPr>
            <w:noProof/>
            <w:webHidden/>
          </w:rPr>
        </w:r>
        <w:r w:rsidR="007243AA" w:rsidRPr="00E01239">
          <w:rPr>
            <w:noProof/>
            <w:webHidden/>
          </w:rPr>
          <w:fldChar w:fldCharType="separate"/>
        </w:r>
        <w:r w:rsidR="007243AA" w:rsidRPr="00E01239">
          <w:rPr>
            <w:noProof/>
            <w:webHidden/>
          </w:rPr>
          <w:t>79</w:t>
        </w:r>
        <w:r w:rsidR="007243AA" w:rsidRPr="00E01239">
          <w:rPr>
            <w:noProof/>
            <w:webHidden/>
          </w:rPr>
          <w:fldChar w:fldCharType="end"/>
        </w:r>
      </w:hyperlink>
    </w:p>
    <w:p w14:paraId="3F28BB29" w14:textId="4B9AD8E5"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26" w:history="1">
        <w:r w:rsidR="007243AA" w:rsidRPr="00E01239">
          <w:rPr>
            <w:rStyle w:val="Lienhypertexte"/>
            <w:rFonts w:cstheme="minorHAnsi"/>
            <w:bCs/>
            <w:noProof/>
          </w:rPr>
          <w:t>6.3.2.14.</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Exposition du personnel de chantier et des riverains au COVID-19</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_Toc144654126 \h </w:instrText>
        </w:r>
        <w:r w:rsidR="007243AA" w:rsidRPr="00E01239">
          <w:rPr>
            <w:noProof/>
            <w:webHidden/>
          </w:rPr>
        </w:r>
        <w:r w:rsidR="007243AA" w:rsidRPr="00E01239">
          <w:rPr>
            <w:noProof/>
            <w:webHidden/>
          </w:rPr>
          <w:fldChar w:fldCharType="separate"/>
        </w:r>
        <w:r w:rsidR="007243AA" w:rsidRPr="00E01239">
          <w:rPr>
            <w:noProof/>
            <w:webHidden/>
          </w:rPr>
          <w:t>79</w:t>
        </w:r>
        <w:r w:rsidR="007243AA" w:rsidRPr="00E01239">
          <w:rPr>
            <w:noProof/>
            <w:webHidden/>
          </w:rPr>
          <w:fldChar w:fldCharType="end"/>
        </w:r>
      </w:hyperlink>
    </w:p>
    <w:p w14:paraId="18A0F0BC" w14:textId="23C8E208"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27" w:history="1">
        <w:r w:rsidR="007243AA" w:rsidRPr="00E01239">
          <w:rPr>
            <w:rStyle w:val="Lienhypertexte"/>
            <w:rFonts w:cstheme="minorHAnsi"/>
            <w:bCs/>
            <w:noProof/>
          </w:rPr>
          <w:t>6.3.2.15.</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Pertes temporaires ou permanentes de ressources ou d’accès à des ressources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_Toc144654127 \h </w:instrText>
        </w:r>
        <w:r w:rsidR="007243AA" w:rsidRPr="00E01239">
          <w:rPr>
            <w:noProof/>
            <w:webHidden/>
          </w:rPr>
        </w:r>
        <w:r w:rsidR="007243AA" w:rsidRPr="00E01239">
          <w:rPr>
            <w:noProof/>
            <w:webHidden/>
          </w:rPr>
          <w:fldChar w:fldCharType="separate"/>
        </w:r>
        <w:r w:rsidR="007243AA" w:rsidRPr="00E01239">
          <w:rPr>
            <w:noProof/>
            <w:webHidden/>
          </w:rPr>
          <w:t>79</w:t>
        </w:r>
        <w:r w:rsidR="007243AA" w:rsidRPr="00E01239">
          <w:rPr>
            <w:noProof/>
            <w:webHidden/>
          </w:rPr>
          <w:fldChar w:fldCharType="end"/>
        </w:r>
      </w:hyperlink>
    </w:p>
    <w:p w14:paraId="714011CB" w14:textId="0C93D88F"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28" w:history="1">
        <w:r w:rsidR="007243AA" w:rsidRPr="00E01239">
          <w:rPr>
            <w:rStyle w:val="Lienhypertexte"/>
            <w:rFonts w:cstheme="minorHAnsi"/>
            <w:bCs/>
            <w:noProof/>
          </w:rPr>
          <w:t>6.3.2.16.</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Pertes de terres, de biens et de moyens de subsistance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_Toc144654128 \h </w:instrText>
        </w:r>
        <w:r w:rsidR="007243AA" w:rsidRPr="00E01239">
          <w:rPr>
            <w:noProof/>
            <w:webHidden/>
          </w:rPr>
        </w:r>
        <w:r w:rsidR="007243AA" w:rsidRPr="00E01239">
          <w:rPr>
            <w:noProof/>
            <w:webHidden/>
          </w:rPr>
          <w:fldChar w:fldCharType="separate"/>
        </w:r>
        <w:r w:rsidR="007243AA" w:rsidRPr="00E01239">
          <w:rPr>
            <w:noProof/>
            <w:webHidden/>
          </w:rPr>
          <w:t>79</w:t>
        </w:r>
        <w:r w:rsidR="007243AA" w:rsidRPr="00E01239">
          <w:rPr>
            <w:noProof/>
            <w:webHidden/>
          </w:rPr>
          <w:fldChar w:fldCharType="end"/>
        </w:r>
      </w:hyperlink>
    </w:p>
    <w:p w14:paraId="41F78D1C" w14:textId="1050E198"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29" w:history="1">
        <w:r w:rsidR="007243AA" w:rsidRPr="00E01239">
          <w:rPr>
            <w:rStyle w:val="Lienhypertexte"/>
            <w:rFonts w:cstheme="minorHAnsi"/>
            <w:noProof/>
          </w:rPr>
          <w:t>6.3.3.</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Identification des principaux impacts négatifs transversaux aux secteurs agricoles et pastoraux</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_Toc144654129 \h </w:instrText>
        </w:r>
        <w:r w:rsidR="007243AA" w:rsidRPr="00E01239">
          <w:rPr>
            <w:noProof/>
            <w:webHidden/>
          </w:rPr>
        </w:r>
        <w:r w:rsidR="007243AA" w:rsidRPr="00E01239">
          <w:rPr>
            <w:noProof/>
            <w:webHidden/>
          </w:rPr>
          <w:fldChar w:fldCharType="separate"/>
        </w:r>
        <w:r w:rsidR="007243AA" w:rsidRPr="00E01239">
          <w:rPr>
            <w:noProof/>
            <w:webHidden/>
          </w:rPr>
          <w:t>79</w:t>
        </w:r>
        <w:r w:rsidR="007243AA" w:rsidRPr="00E01239">
          <w:rPr>
            <w:noProof/>
            <w:webHidden/>
          </w:rPr>
          <w:fldChar w:fldCharType="end"/>
        </w:r>
      </w:hyperlink>
    </w:p>
    <w:p w14:paraId="50ED4875" w14:textId="7478BE81"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30" w:history="1">
        <w:r w:rsidR="007243AA" w:rsidRPr="00E01239">
          <w:rPr>
            <w:rStyle w:val="Lienhypertexte"/>
            <w:rFonts w:cstheme="minorHAnsi"/>
            <w:bCs/>
            <w:noProof/>
          </w:rPr>
          <w:t>6.3.3.1.</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Faible portée du processus de digitalisation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_Toc144654130 \h </w:instrText>
        </w:r>
        <w:r w:rsidR="007243AA" w:rsidRPr="00E01239">
          <w:rPr>
            <w:noProof/>
            <w:webHidden/>
          </w:rPr>
        </w:r>
        <w:r w:rsidR="007243AA" w:rsidRPr="00E01239">
          <w:rPr>
            <w:noProof/>
            <w:webHidden/>
          </w:rPr>
          <w:fldChar w:fldCharType="separate"/>
        </w:r>
        <w:r w:rsidR="007243AA" w:rsidRPr="00E01239">
          <w:rPr>
            <w:noProof/>
            <w:webHidden/>
          </w:rPr>
          <w:t>79</w:t>
        </w:r>
        <w:r w:rsidR="007243AA" w:rsidRPr="00E01239">
          <w:rPr>
            <w:noProof/>
            <w:webHidden/>
          </w:rPr>
          <w:fldChar w:fldCharType="end"/>
        </w:r>
      </w:hyperlink>
    </w:p>
    <w:p w14:paraId="3A018FD0" w14:textId="373BE5BA"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31" w:history="1">
        <w:r w:rsidR="007243AA" w:rsidRPr="00E01239">
          <w:rPr>
            <w:rStyle w:val="Lienhypertexte"/>
            <w:rFonts w:cstheme="minorHAnsi"/>
            <w:bCs/>
            <w:noProof/>
          </w:rPr>
          <w:t>6.3.3.1.</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Modification des aires de vocation des terres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_Toc144654131 \h </w:instrText>
        </w:r>
        <w:r w:rsidR="007243AA" w:rsidRPr="00E01239">
          <w:rPr>
            <w:noProof/>
            <w:webHidden/>
          </w:rPr>
        </w:r>
        <w:r w:rsidR="007243AA" w:rsidRPr="00E01239">
          <w:rPr>
            <w:noProof/>
            <w:webHidden/>
          </w:rPr>
          <w:fldChar w:fldCharType="separate"/>
        </w:r>
        <w:r w:rsidR="007243AA" w:rsidRPr="00E01239">
          <w:rPr>
            <w:noProof/>
            <w:webHidden/>
          </w:rPr>
          <w:t>80</w:t>
        </w:r>
        <w:r w:rsidR="007243AA" w:rsidRPr="00E01239">
          <w:rPr>
            <w:noProof/>
            <w:webHidden/>
          </w:rPr>
          <w:fldChar w:fldCharType="end"/>
        </w:r>
      </w:hyperlink>
    </w:p>
    <w:p w14:paraId="68F6FA33" w14:textId="62E653A5"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32" w:history="1">
        <w:r w:rsidR="007243AA" w:rsidRPr="00E01239">
          <w:rPr>
            <w:rStyle w:val="Lienhypertexte"/>
            <w:rFonts w:cstheme="minorHAnsi"/>
            <w:noProof/>
          </w:rPr>
          <w:t>6.3.4.</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Identification des principaux impacts négatifs liés à l’exploitation des infrastructures agricoles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_Toc144654132 \h </w:instrText>
        </w:r>
        <w:r w:rsidR="007243AA" w:rsidRPr="00E01239">
          <w:rPr>
            <w:noProof/>
            <w:webHidden/>
          </w:rPr>
        </w:r>
        <w:r w:rsidR="007243AA" w:rsidRPr="00E01239">
          <w:rPr>
            <w:noProof/>
            <w:webHidden/>
          </w:rPr>
          <w:fldChar w:fldCharType="separate"/>
        </w:r>
        <w:r w:rsidR="007243AA" w:rsidRPr="00E01239">
          <w:rPr>
            <w:noProof/>
            <w:webHidden/>
          </w:rPr>
          <w:t>80</w:t>
        </w:r>
        <w:r w:rsidR="007243AA" w:rsidRPr="00E01239">
          <w:rPr>
            <w:noProof/>
            <w:webHidden/>
          </w:rPr>
          <w:fldChar w:fldCharType="end"/>
        </w:r>
      </w:hyperlink>
    </w:p>
    <w:p w14:paraId="65E955FC" w14:textId="3A0999A1"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33" w:history="1">
        <w:r w:rsidR="007243AA" w:rsidRPr="00E01239">
          <w:rPr>
            <w:rStyle w:val="Lienhypertexte"/>
            <w:rFonts w:cstheme="minorHAnsi"/>
            <w:bCs/>
            <w:noProof/>
          </w:rPr>
          <w:t>6.3.4.1.</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Augmentation de l’empreinte carbone des systèmes alimentaires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_Toc144654133 \h </w:instrText>
        </w:r>
        <w:r w:rsidR="007243AA" w:rsidRPr="00E01239">
          <w:rPr>
            <w:noProof/>
            <w:webHidden/>
          </w:rPr>
        </w:r>
        <w:r w:rsidR="007243AA" w:rsidRPr="00E01239">
          <w:rPr>
            <w:noProof/>
            <w:webHidden/>
          </w:rPr>
          <w:fldChar w:fldCharType="separate"/>
        </w:r>
        <w:r w:rsidR="007243AA" w:rsidRPr="00E01239">
          <w:rPr>
            <w:noProof/>
            <w:webHidden/>
          </w:rPr>
          <w:t>80</w:t>
        </w:r>
        <w:r w:rsidR="007243AA" w:rsidRPr="00E01239">
          <w:rPr>
            <w:noProof/>
            <w:webHidden/>
          </w:rPr>
          <w:fldChar w:fldCharType="end"/>
        </w:r>
      </w:hyperlink>
    </w:p>
    <w:p w14:paraId="43948E1F" w14:textId="62EB5A1C"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34" w:history="1">
        <w:r w:rsidR="007243AA" w:rsidRPr="00E01239">
          <w:rPr>
            <w:rStyle w:val="Lienhypertexte"/>
            <w:rFonts w:cstheme="minorHAnsi"/>
            <w:bCs/>
            <w:noProof/>
          </w:rPr>
          <w:t>6.3.4.2.</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Destruction des écosystèmes naturels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_Toc144654134 \h </w:instrText>
        </w:r>
        <w:r w:rsidR="007243AA" w:rsidRPr="00E01239">
          <w:rPr>
            <w:noProof/>
            <w:webHidden/>
          </w:rPr>
        </w:r>
        <w:r w:rsidR="007243AA" w:rsidRPr="00E01239">
          <w:rPr>
            <w:noProof/>
            <w:webHidden/>
          </w:rPr>
          <w:fldChar w:fldCharType="separate"/>
        </w:r>
        <w:r w:rsidR="007243AA" w:rsidRPr="00E01239">
          <w:rPr>
            <w:noProof/>
            <w:webHidden/>
          </w:rPr>
          <w:t>80</w:t>
        </w:r>
        <w:r w:rsidR="007243AA" w:rsidRPr="00E01239">
          <w:rPr>
            <w:noProof/>
            <w:webHidden/>
          </w:rPr>
          <w:fldChar w:fldCharType="end"/>
        </w:r>
      </w:hyperlink>
    </w:p>
    <w:p w14:paraId="351D127B" w14:textId="6EE28D32"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35" w:history="1">
        <w:r w:rsidR="007243AA" w:rsidRPr="00E01239">
          <w:rPr>
            <w:rStyle w:val="Lienhypertexte"/>
            <w:rFonts w:cstheme="minorHAnsi"/>
            <w:bCs/>
            <w:noProof/>
          </w:rPr>
          <w:t>6.3.4.3.</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Pressions et pollutions sur les ressources en eau</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_Toc144654135 \h </w:instrText>
        </w:r>
        <w:r w:rsidR="007243AA" w:rsidRPr="00E01239">
          <w:rPr>
            <w:noProof/>
            <w:webHidden/>
          </w:rPr>
        </w:r>
        <w:r w:rsidR="007243AA" w:rsidRPr="00E01239">
          <w:rPr>
            <w:noProof/>
            <w:webHidden/>
          </w:rPr>
          <w:fldChar w:fldCharType="separate"/>
        </w:r>
        <w:r w:rsidR="007243AA" w:rsidRPr="00E01239">
          <w:rPr>
            <w:noProof/>
            <w:webHidden/>
          </w:rPr>
          <w:t>81</w:t>
        </w:r>
        <w:r w:rsidR="007243AA" w:rsidRPr="00E01239">
          <w:rPr>
            <w:noProof/>
            <w:webHidden/>
          </w:rPr>
          <w:fldChar w:fldCharType="end"/>
        </w:r>
      </w:hyperlink>
    </w:p>
    <w:p w14:paraId="375ABCA5" w14:textId="6328459A"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36" w:history="1">
        <w:r w:rsidR="007243AA" w:rsidRPr="00E01239">
          <w:rPr>
            <w:rStyle w:val="Lienhypertexte"/>
            <w:rFonts w:cstheme="minorHAnsi"/>
            <w:bCs/>
            <w:noProof/>
          </w:rPr>
          <w:t>6.3.4.4.</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Risque de prolifération de plantes envahissantes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_Toc144654136 \h </w:instrText>
        </w:r>
        <w:r w:rsidR="007243AA" w:rsidRPr="00E01239">
          <w:rPr>
            <w:noProof/>
            <w:webHidden/>
          </w:rPr>
        </w:r>
        <w:r w:rsidR="007243AA" w:rsidRPr="00E01239">
          <w:rPr>
            <w:noProof/>
            <w:webHidden/>
          </w:rPr>
          <w:fldChar w:fldCharType="separate"/>
        </w:r>
        <w:r w:rsidR="007243AA" w:rsidRPr="00E01239">
          <w:rPr>
            <w:noProof/>
            <w:webHidden/>
          </w:rPr>
          <w:t>82</w:t>
        </w:r>
        <w:r w:rsidR="007243AA" w:rsidRPr="00E01239">
          <w:rPr>
            <w:noProof/>
            <w:webHidden/>
          </w:rPr>
          <w:fldChar w:fldCharType="end"/>
        </w:r>
      </w:hyperlink>
    </w:p>
    <w:p w14:paraId="2F03D61E" w14:textId="4878D40C"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37" w:history="1">
        <w:r w:rsidR="007243AA" w:rsidRPr="00E01239">
          <w:rPr>
            <w:rStyle w:val="Lienhypertexte"/>
            <w:rFonts w:cstheme="minorHAnsi"/>
            <w:bCs/>
            <w:noProof/>
          </w:rPr>
          <w:t>6.3.4.5.</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Exposition des producteurs et des riverains aux maladies liées à l’eau</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_Toc144654137 \h </w:instrText>
        </w:r>
        <w:r w:rsidR="007243AA" w:rsidRPr="00E01239">
          <w:rPr>
            <w:noProof/>
            <w:webHidden/>
          </w:rPr>
        </w:r>
        <w:r w:rsidR="007243AA" w:rsidRPr="00E01239">
          <w:rPr>
            <w:noProof/>
            <w:webHidden/>
          </w:rPr>
          <w:fldChar w:fldCharType="separate"/>
        </w:r>
        <w:r w:rsidR="007243AA" w:rsidRPr="00E01239">
          <w:rPr>
            <w:noProof/>
            <w:webHidden/>
          </w:rPr>
          <w:t>82</w:t>
        </w:r>
        <w:r w:rsidR="007243AA" w:rsidRPr="00E01239">
          <w:rPr>
            <w:noProof/>
            <w:webHidden/>
          </w:rPr>
          <w:fldChar w:fldCharType="end"/>
        </w:r>
      </w:hyperlink>
    </w:p>
    <w:p w14:paraId="4139FE03" w14:textId="26732094"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38" w:history="1">
        <w:r w:rsidR="007243AA" w:rsidRPr="00E01239">
          <w:rPr>
            <w:rStyle w:val="Lienhypertexte"/>
            <w:rFonts w:cstheme="minorHAnsi"/>
            <w:bCs/>
            <w:noProof/>
          </w:rPr>
          <w:t>6.3.4.6.</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Augmentation des prélèvements sur les ressources en eau de surface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_Toc144654138 \h </w:instrText>
        </w:r>
        <w:r w:rsidR="007243AA" w:rsidRPr="00E01239">
          <w:rPr>
            <w:noProof/>
            <w:webHidden/>
          </w:rPr>
        </w:r>
        <w:r w:rsidR="007243AA" w:rsidRPr="00E01239">
          <w:rPr>
            <w:noProof/>
            <w:webHidden/>
          </w:rPr>
          <w:fldChar w:fldCharType="separate"/>
        </w:r>
        <w:r w:rsidR="007243AA" w:rsidRPr="00E01239">
          <w:rPr>
            <w:noProof/>
            <w:webHidden/>
          </w:rPr>
          <w:t>82</w:t>
        </w:r>
        <w:r w:rsidR="007243AA" w:rsidRPr="00E01239">
          <w:rPr>
            <w:noProof/>
            <w:webHidden/>
          </w:rPr>
          <w:fldChar w:fldCharType="end"/>
        </w:r>
      </w:hyperlink>
    </w:p>
    <w:p w14:paraId="68D28D02" w14:textId="73789BEE"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39" w:history="1">
        <w:r w:rsidR="007243AA" w:rsidRPr="00E01239">
          <w:rPr>
            <w:rStyle w:val="Lienhypertexte"/>
            <w:rFonts w:cstheme="minorHAnsi"/>
            <w:bCs/>
            <w:noProof/>
          </w:rPr>
          <w:t>6.3.4.7.</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Impacts sur le foncier et la dynamique organisationnelle des producteurs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_Toc144654139 \h </w:instrText>
        </w:r>
        <w:r w:rsidR="007243AA" w:rsidRPr="00E01239">
          <w:rPr>
            <w:noProof/>
            <w:webHidden/>
          </w:rPr>
        </w:r>
        <w:r w:rsidR="007243AA" w:rsidRPr="00E01239">
          <w:rPr>
            <w:noProof/>
            <w:webHidden/>
          </w:rPr>
          <w:fldChar w:fldCharType="separate"/>
        </w:r>
        <w:r w:rsidR="007243AA" w:rsidRPr="00E01239">
          <w:rPr>
            <w:noProof/>
            <w:webHidden/>
          </w:rPr>
          <w:t>83</w:t>
        </w:r>
        <w:r w:rsidR="007243AA" w:rsidRPr="00E01239">
          <w:rPr>
            <w:noProof/>
            <w:webHidden/>
          </w:rPr>
          <w:fldChar w:fldCharType="end"/>
        </w:r>
      </w:hyperlink>
    </w:p>
    <w:p w14:paraId="70787059" w14:textId="067768AD"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40" w:history="1">
        <w:r w:rsidR="007243AA" w:rsidRPr="00E01239">
          <w:rPr>
            <w:rStyle w:val="Lienhypertexte"/>
            <w:rFonts w:cstheme="minorHAnsi"/>
            <w:bCs/>
            <w:noProof/>
          </w:rPr>
          <w:t>6.3.4.8.</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Pollution des eaux de surface et nuisances sonores induites par le fonctionnement et l’entretien des stations de pompage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_Toc144654140 \h </w:instrText>
        </w:r>
        <w:r w:rsidR="007243AA" w:rsidRPr="00E01239">
          <w:rPr>
            <w:noProof/>
            <w:webHidden/>
          </w:rPr>
        </w:r>
        <w:r w:rsidR="007243AA" w:rsidRPr="00E01239">
          <w:rPr>
            <w:noProof/>
            <w:webHidden/>
          </w:rPr>
          <w:fldChar w:fldCharType="separate"/>
        </w:r>
        <w:r w:rsidR="007243AA" w:rsidRPr="00E01239">
          <w:rPr>
            <w:noProof/>
            <w:webHidden/>
          </w:rPr>
          <w:t>83</w:t>
        </w:r>
        <w:r w:rsidR="007243AA" w:rsidRPr="00E01239">
          <w:rPr>
            <w:noProof/>
            <w:webHidden/>
          </w:rPr>
          <w:fldChar w:fldCharType="end"/>
        </w:r>
      </w:hyperlink>
    </w:p>
    <w:p w14:paraId="577AF261" w14:textId="15B685FA"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41" w:history="1">
        <w:r w:rsidR="007243AA" w:rsidRPr="00E01239">
          <w:rPr>
            <w:rStyle w:val="Lienhypertexte"/>
            <w:rFonts w:cstheme="minorHAnsi"/>
            <w:noProof/>
          </w:rPr>
          <w:t>6.3.5.</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Identification des principaux impacts négatifs liés à l’exploitation des infrastructures hydrauliques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_Toc144654141 \h </w:instrText>
        </w:r>
        <w:r w:rsidR="007243AA" w:rsidRPr="00E01239">
          <w:rPr>
            <w:noProof/>
            <w:webHidden/>
          </w:rPr>
        </w:r>
        <w:r w:rsidR="007243AA" w:rsidRPr="00E01239">
          <w:rPr>
            <w:noProof/>
            <w:webHidden/>
          </w:rPr>
          <w:fldChar w:fldCharType="separate"/>
        </w:r>
        <w:r w:rsidR="007243AA" w:rsidRPr="00E01239">
          <w:rPr>
            <w:noProof/>
            <w:webHidden/>
          </w:rPr>
          <w:t>83</w:t>
        </w:r>
        <w:r w:rsidR="007243AA" w:rsidRPr="00E01239">
          <w:rPr>
            <w:noProof/>
            <w:webHidden/>
          </w:rPr>
          <w:fldChar w:fldCharType="end"/>
        </w:r>
      </w:hyperlink>
    </w:p>
    <w:p w14:paraId="22B14A62" w14:textId="01F20E25"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42" w:history="1">
        <w:r w:rsidR="007243AA" w:rsidRPr="00E01239">
          <w:rPr>
            <w:rStyle w:val="Lienhypertexte"/>
            <w:rFonts w:cstheme="minorHAnsi"/>
            <w:bCs/>
            <w:noProof/>
          </w:rPr>
          <w:t>6.3.5.1.</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Conflits sociaux</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_Toc144654142 \h </w:instrText>
        </w:r>
        <w:r w:rsidR="007243AA" w:rsidRPr="00E01239">
          <w:rPr>
            <w:noProof/>
            <w:webHidden/>
          </w:rPr>
        </w:r>
        <w:r w:rsidR="007243AA" w:rsidRPr="00E01239">
          <w:rPr>
            <w:noProof/>
            <w:webHidden/>
          </w:rPr>
          <w:fldChar w:fldCharType="separate"/>
        </w:r>
        <w:r w:rsidR="007243AA" w:rsidRPr="00E01239">
          <w:rPr>
            <w:noProof/>
            <w:webHidden/>
          </w:rPr>
          <w:t>83</w:t>
        </w:r>
        <w:r w:rsidR="007243AA" w:rsidRPr="00E01239">
          <w:rPr>
            <w:noProof/>
            <w:webHidden/>
          </w:rPr>
          <w:fldChar w:fldCharType="end"/>
        </w:r>
      </w:hyperlink>
    </w:p>
    <w:p w14:paraId="067F4E99" w14:textId="7F303378"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43" w:history="1">
        <w:r w:rsidR="007243AA" w:rsidRPr="00E01239">
          <w:rPr>
            <w:rStyle w:val="Lienhypertexte"/>
            <w:rFonts w:cstheme="minorHAnsi"/>
            <w:bCs/>
            <w:noProof/>
          </w:rPr>
          <w:t>6.3.5.2.</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Altération de la qualité de l’eau potable par des phénomènes externes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_Toc144654143 \h </w:instrText>
        </w:r>
        <w:r w:rsidR="007243AA" w:rsidRPr="00E01239">
          <w:rPr>
            <w:noProof/>
            <w:webHidden/>
          </w:rPr>
        </w:r>
        <w:r w:rsidR="007243AA" w:rsidRPr="00E01239">
          <w:rPr>
            <w:noProof/>
            <w:webHidden/>
          </w:rPr>
          <w:fldChar w:fldCharType="separate"/>
        </w:r>
        <w:r w:rsidR="007243AA" w:rsidRPr="00E01239">
          <w:rPr>
            <w:noProof/>
            <w:webHidden/>
          </w:rPr>
          <w:t>83</w:t>
        </w:r>
        <w:r w:rsidR="007243AA" w:rsidRPr="00E01239">
          <w:rPr>
            <w:noProof/>
            <w:webHidden/>
          </w:rPr>
          <w:fldChar w:fldCharType="end"/>
        </w:r>
      </w:hyperlink>
    </w:p>
    <w:p w14:paraId="5CF6F183" w14:textId="4EDD6EF1"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44" w:history="1">
        <w:r w:rsidR="007243AA" w:rsidRPr="00E01239">
          <w:rPr>
            <w:rStyle w:val="Lienhypertexte"/>
            <w:rFonts w:cstheme="minorHAnsi"/>
            <w:noProof/>
          </w:rPr>
          <w:t>6.3.6.</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Identification des principaux impacts négatifs liés à l’exploitation des infrastructures pastorales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_Toc144654144 \h </w:instrText>
        </w:r>
        <w:r w:rsidR="007243AA" w:rsidRPr="00E01239">
          <w:rPr>
            <w:noProof/>
            <w:webHidden/>
          </w:rPr>
        </w:r>
        <w:r w:rsidR="007243AA" w:rsidRPr="00E01239">
          <w:rPr>
            <w:noProof/>
            <w:webHidden/>
          </w:rPr>
          <w:fldChar w:fldCharType="separate"/>
        </w:r>
        <w:r w:rsidR="007243AA" w:rsidRPr="00E01239">
          <w:rPr>
            <w:noProof/>
            <w:webHidden/>
          </w:rPr>
          <w:t>84</w:t>
        </w:r>
        <w:r w:rsidR="007243AA" w:rsidRPr="00E01239">
          <w:rPr>
            <w:noProof/>
            <w:webHidden/>
          </w:rPr>
          <w:fldChar w:fldCharType="end"/>
        </w:r>
      </w:hyperlink>
    </w:p>
    <w:p w14:paraId="089C15B2" w14:textId="1B337980"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45" w:history="1">
        <w:r w:rsidR="007243AA" w:rsidRPr="00E01239">
          <w:rPr>
            <w:rStyle w:val="Lienhypertexte"/>
            <w:rFonts w:cstheme="minorHAnsi"/>
            <w:bCs/>
            <w:noProof/>
          </w:rPr>
          <w:t>6.3.6.1.</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Impacts et risques spécifiques en phase de conception des infrastructures pastorales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_Toc144654145 \h </w:instrText>
        </w:r>
        <w:r w:rsidR="007243AA" w:rsidRPr="00E01239">
          <w:rPr>
            <w:noProof/>
            <w:webHidden/>
          </w:rPr>
        </w:r>
        <w:r w:rsidR="007243AA" w:rsidRPr="00E01239">
          <w:rPr>
            <w:noProof/>
            <w:webHidden/>
          </w:rPr>
          <w:fldChar w:fldCharType="separate"/>
        </w:r>
        <w:r w:rsidR="007243AA" w:rsidRPr="00E01239">
          <w:rPr>
            <w:noProof/>
            <w:webHidden/>
          </w:rPr>
          <w:t>84</w:t>
        </w:r>
        <w:r w:rsidR="007243AA" w:rsidRPr="00E01239">
          <w:rPr>
            <w:noProof/>
            <w:webHidden/>
          </w:rPr>
          <w:fldChar w:fldCharType="end"/>
        </w:r>
      </w:hyperlink>
    </w:p>
    <w:p w14:paraId="66F8FEBD" w14:textId="59088857"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46" w:history="1">
        <w:r w:rsidR="007243AA" w:rsidRPr="00E01239">
          <w:rPr>
            <w:rStyle w:val="Lienhypertexte"/>
            <w:rFonts w:cstheme="minorHAnsi"/>
            <w:bCs/>
            <w:noProof/>
          </w:rPr>
          <w:t>6.3.6.2.</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Augmentation de l’empreinte carbone des systèmes alimentaires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_Toc144654146 \h </w:instrText>
        </w:r>
        <w:r w:rsidR="007243AA" w:rsidRPr="00E01239">
          <w:rPr>
            <w:noProof/>
            <w:webHidden/>
          </w:rPr>
        </w:r>
        <w:r w:rsidR="007243AA" w:rsidRPr="00E01239">
          <w:rPr>
            <w:noProof/>
            <w:webHidden/>
          </w:rPr>
          <w:fldChar w:fldCharType="separate"/>
        </w:r>
        <w:r w:rsidR="007243AA" w:rsidRPr="00E01239">
          <w:rPr>
            <w:noProof/>
            <w:webHidden/>
          </w:rPr>
          <w:t>84</w:t>
        </w:r>
        <w:r w:rsidR="007243AA" w:rsidRPr="00E01239">
          <w:rPr>
            <w:noProof/>
            <w:webHidden/>
          </w:rPr>
          <w:fldChar w:fldCharType="end"/>
        </w:r>
      </w:hyperlink>
    </w:p>
    <w:p w14:paraId="795197E3" w14:textId="4AE8C600"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47" w:history="1">
        <w:r w:rsidR="007243AA" w:rsidRPr="00E01239">
          <w:rPr>
            <w:rStyle w:val="Lienhypertexte"/>
            <w:rFonts w:cstheme="minorHAnsi"/>
            <w:bCs/>
            <w:noProof/>
          </w:rPr>
          <w:t>6.3.6.3.</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Risques chimiques liés aux déchets produits dans le secteur de l’élevage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_Toc144654147 \h </w:instrText>
        </w:r>
        <w:r w:rsidR="007243AA" w:rsidRPr="00E01239">
          <w:rPr>
            <w:noProof/>
            <w:webHidden/>
          </w:rPr>
        </w:r>
        <w:r w:rsidR="007243AA" w:rsidRPr="00E01239">
          <w:rPr>
            <w:noProof/>
            <w:webHidden/>
          </w:rPr>
          <w:fldChar w:fldCharType="separate"/>
        </w:r>
        <w:r w:rsidR="007243AA" w:rsidRPr="00E01239">
          <w:rPr>
            <w:noProof/>
            <w:webHidden/>
          </w:rPr>
          <w:t>84</w:t>
        </w:r>
        <w:r w:rsidR="007243AA" w:rsidRPr="00E01239">
          <w:rPr>
            <w:noProof/>
            <w:webHidden/>
          </w:rPr>
          <w:fldChar w:fldCharType="end"/>
        </w:r>
      </w:hyperlink>
    </w:p>
    <w:p w14:paraId="4A3CC9A3" w14:textId="03407519" w:rsidR="007243AA" w:rsidRPr="00E01239" w:rsidRDefault="00000000">
      <w:pPr>
        <w:pStyle w:val="TM4"/>
        <w:tabs>
          <w:tab w:val="left" w:pos="1680"/>
          <w:tab w:val="right" w:leader="dot" w:pos="9061"/>
        </w:tabs>
        <w:rPr>
          <w:rFonts w:asciiTheme="minorHAnsi" w:eastAsiaTheme="minorEastAsia" w:hAnsiTheme="minorHAnsi" w:cstheme="minorBidi"/>
          <w:noProof/>
          <w:sz w:val="22"/>
          <w:szCs w:val="22"/>
        </w:rPr>
      </w:pPr>
      <w:hyperlink w:anchor="_Toc144654148" w:history="1">
        <w:r w:rsidR="007243AA" w:rsidRPr="00E01239">
          <w:rPr>
            <w:rStyle w:val="Lienhypertexte"/>
            <w:rFonts w:cstheme="minorHAnsi"/>
            <w:bCs/>
            <w:noProof/>
          </w:rPr>
          <w:t>6.3.6.4.</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rPr>
          <w:t>Risques liés aux opérations de vaccination dans les parcs nouvellement construits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_Toc144654148 \h </w:instrText>
        </w:r>
        <w:r w:rsidR="007243AA" w:rsidRPr="00E01239">
          <w:rPr>
            <w:noProof/>
            <w:webHidden/>
          </w:rPr>
        </w:r>
        <w:r w:rsidR="007243AA" w:rsidRPr="00E01239">
          <w:rPr>
            <w:noProof/>
            <w:webHidden/>
          </w:rPr>
          <w:fldChar w:fldCharType="separate"/>
        </w:r>
        <w:r w:rsidR="007243AA" w:rsidRPr="00E01239">
          <w:rPr>
            <w:noProof/>
            <w:webHidden/>
          </w:rPr>
          <w:t>87</w:t>
        </w:r>
        <w:r w:rsidR="007243AA" w:rsidRPr="00E01239">
          <w:rPr>
            <w:noProof/>
            <w:webHidden/>
          </w:rPr>
          <w:fldChar w:fldCharType="end"/>
        </w:r>
      </w:hyperlink>
    </w:p>
    <w:p w14:paraId="19105AE4" w14:textId="548F426F" w:rsidR="007243AA" w:rsidRPr="00E01239" w:rsidRDefault="00000000" w:rsidP="008019AE">
      <w:pPr>
        <w:pStyle w:val="TM1"/>
        <w:rPr>
          <w:rFonts w:asciiTheme="minorHAnsi" w:eastAsiaTheme="minorEastAsia" w:hAnsiTheme="minorHAnsi" w:cstheme="minorBidi"/>
          <w:noProof/>
          <w:sz w:val="22"/>
          <w:szCs w:val="22"/>
        </w:rPr>
      </w:pPr>
      <w:hyperlink w:anchor="_Toc144654149" w:history="1">
        <w:r w:rsidR="007243AA" w:rsidRPr="00E01239">
          <w:rPr>
            <w:rStyle w:val="Lienhypertexte"/>
            <w:rFonts w:cstheme="minorHAnsi"/>
            <w:noProof/>
            <w:lang w:eastAsia="x-none"/>
          </w:rPr>
          <w:t>VII.</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lang w:eastAsia="x-none"/>
          </w:rPr>
          <w:t>PLAN CADRE DE GESTION ENVIRONNEMENTALE ET SOCIALE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_Toc144654149 \h </w:instrText>
        </w:r>
        <w:r w:rsidR="007243AA" w:rsidRPr="00E01239">
          <w:rPr>
            <w:noProof/>
            <w:webHidden/>
          </w:rPr>
        </w:r>
        <w:r w:rsidR="007243AA" w:rsidRPr="00E01239">
          <w:rPr>
            <w:noProof/>
            <w:webHidden/>
          </w:rPr>
          <w:fldChar w:fldCharType="separate"/>
        </w:r>
        <w:r w:rsidR="007243AA" w:rsidRPr="00E01239">
          <w:rPr>
            <w:noProof/>
            <w:webHidden/>
          </w:rPr>
          <w:t>89</w:t>
        </w:r>
        <w:r w:rsidR="007243AA" w:rsidRPr="00E01239">
          <w:rPr>
            <w:noProof/>
            <w:webHidden/>
          </w:rPr>
          <w:fldChar w:fldCharType="end"/>
        </w:r>
      </w:hyperlink>
    </w:p>
    <w:p w14:paraId="237BAD27" w14:textId="445CDE17"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50" w:history="1">
        <w:r w:rsidR="007243AA" w:rsidRPr="00E01239">
          <w:rPr>
            <w:rStyle w:val="Lienhypertexte"/>
            <w:rFonts w:cstheme="minorHAnsi"/>
            <w:noProof/>
          </w:rPr>
          <w:t>7.1.</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PROCEDURE DE GESTION ENVIRONNEMENTALE ET SOCIALE DES SOUS-PROJETS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_Toc144654150 \h </w:instrText>
        </w:r>
        <w:r w:rsidR="007243AA" w:rsidRPr="00E01239">
          <w:rPr>
            <w:noProof/>
            <w:webHidden/>
          </w:rPr>
        </w:r>
        <w:r w:rsidR="007243AA" w:rsidRPr="00E01239">
          <w:rPr>
            <w:noProof/>
            <w:webHidden/>
          </w:rPr>
          <w:fldChar w:fldCharType="separate"/>
        </w:r>
        <w:r w:rsidR="007243AA" w:rsidRPr="00E01239">
          <w:rPr>
            <w:noProof/>
            <w:webHidden/>
          </w:rPr>
          <w:t>89</w:t>
        </w:r>
        <w:r w:rsidR="007243AA" w:rsidRPr="00E01239">
          <w:rPr>
            <w:noProof/>
            <w:webHidden/>
          </w:rPr>
          <w:fldChar w:fldCharType="end"/>
        </w:r>
      </w:hyperlink>
    </w:p>
    <w:p w14:paraId="5AAE8037" w14:textId="46A574B2"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51" w:history="1">
        <w:r w:rsidR="007243AA" w:rsidRPr="00E01239">
          <w:rPr>
            <w:rStyle w:val="Lienhypertexte"/>
            <w:rFonts w:cstheme="minorHAnsi"/>
            <w:noProof/>
          </w:rPr>
          <w:t>7.2.</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MESURES DE GESTION ENVIRONNEMENTALE ET SOCIALE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_Toc144654151 \h </w:instrText>
        </w:r>
        <w:r w:rsidR="007243AA" w:rsidRPr="00E01239">
          <w:rPr>
            <w:noProof/>
            <w:webHidden/>
          </w:rPr>
        </w:r>
        <w:r w:rsidR="007243AA" w:rsidRPr="00E01239">
          <w:rPr>
            <w:noProof/>
            <w:webHidden/>
          </w:rPr>
          <w:fldChar w:fldCharType="separate"/>
        </w:r>
        <w:r w:rsidR="007243AA" w:rsidRPr="00E01239">
          <w:rPr>
            <w:noProof/>
            <w:webHidden/>
          </w:rPr>
          <w:t>95</w:t>
        </w:r>
        <w:r w:rsidR="007243AA" w:rsidRPr="00E01239">
          <w:rPr>
            <w:noProof/>
            <w:webHidden/>
          </w:rPr>
          <w:fldChar w:fldCharType="end"/>
        </w:r>
      </w:hyperlink>
    </w:p>
    <w:p w14:paraId="7379B005" w14:textId="40160F09"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52" w:history="1">
        <w:r w:rsidR="007243AA" w:rsidRPr="00E01239">
          <w:rPr>
            <w:rStyle w:val="Lienhypertexte"/>
            <w:rFonts w:cstheme="minorHAnsi"/>
            <w:noProof/>
          </w:rPr>
          <w:t>7.3.</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CONSULTATION ET INFORMATION DES PARTIES PRENANTES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_Toc144654152 \h </w:instrText>
        </w:r>
        <w:r w:rsidR="007243AA" w:rsidRPr="00E01239">
          <w:rPr>
            <w:noProof/>
            <w:webHidden/>
          </w:rPr>
        </w:r>
        <w:r w:rsidR="007243AA" w:rsidRPr="00E01239">
          <w:rPr>
            <w:noProof/>
            <w:webHidden/>
          </w:rPr>
          <w:fldChar w:fldCharType="separate"/>
        </w:r>
        <w:r w:rsidR="007243AA" w:rsidRPr="00E01239">
          <w:rPr>
            <w:noProof/>
            <w:webHidden/>
          </w:rPr>
          <w:t>103</w:t>
        </w:r>
        <w:r w:rsidR="007243AA" w:rsidRPr="00E01239">
          <w:rPr>
            <w:noProof/>
            <w:webHidden/>
          </w:rPr>
          <w:fldChar w:fldCharType="end"/>
        </w:r>
      </w:hyperlink>
    </w:p>
    <w:p w14:paraId="1E629B31" w14:textId="5EDED990"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53" w:history="1">
        <w:r w:rsidR="007243AA" w:rsidRPr="00E01239">
          <w:rPr>
            <w:rStyle w:val="Lienhypertexte"/>
            <w:rFonts w:cstheme="minorHAnsi"/>
            <w:noProof/>
          </w:rPr>
          <w:t>7.3.1.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Objectifs des consultations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_Toc144654153 \h </w:instrText>
        </w:r>
        <w:r w:rsidR="007243AA" w:rsidRPr="00E01239">
          <w:rPr>
            <w:noProof/>
            <w:webHidden/>
          </w:rPr>
        </w:r>
        <w:r w:rsidR="007243AA" w:rsidRPr="00E01239">
          <w:rPr>
            <w:noProof/>
            <w:webHidden/>
          </w:rPr>
          <w:fldChar w:fldCharType="separate"/>
        </w:r>
        <w:r w:rsidR="007243AA" w:rsidRPr="00E01239">
          <w:rPr>
            <w:noProof/>
            <w:webHidden/>
          </w:rPr>
          <w:t>103</w:t>
        </w:r>
        <w:r w:rsidR="007243AA" w:rsidRPr="00E01239">
          <w:rPr>
            <w:noProof/>
            <w:webHidden/>
          </w:rPr>
          <w:fldChar w:fldCharType="end"/>
        </w:r>
      </w:hyperlink>
    </w:p>
    <w:p w14:paraId="47E86584" w14:textId="2EA4F77C"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54" w:history="1">
        <w:r w:rsidR="007243AA" w:rsidRPr="00E01239">
          <w:rPr>
            <w:rStyle w:val="Lienhypertexte"/>
            <w:rFonts w:cstheme="minorHAnsi"/>
            <w:noProof/>
          </w:rPr>
          <w:t>7.3.2.</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Etendue et calendrier des consultations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_Toc144654154 \h </w:instrText>
        </w:r>
        <w:r w:rsidR="007243AA" w:rsidRPr="00E01239">
          <w:rPr>
            <w:noProof/>
            <w:webHidden/>
          </w:rPr>
        </w:r>
        <w:r w:rsidR="007243AA" w:rsidRPr="00E01239">
          <w:rPr>
            <w:noProof/>
            <w:webHidden/>
          </w:rPr>
          <w:fldChar w:fldCharType="separate"/>
        </w:r>
        <w:r w:rsidR="007243AA" w:rsidRPr="00E01239">
          <w:rPr>
            <w:noProof/>
            <w:webHidden/>
          </w:rPr>
          <w:t>103</w:t>
        </w:r>
        <w:r w:rsidR="007243AA" w:rsidRPr="00E01239">
          <w:rPr>
            <w:noProof/>
            <w:webHidden/>
          </w:rPr>
          <w:fldChar w:fldCharType="end"/>
        </w:r>
      </w:hyperlink>
    </w:p>
    <w:p w14:paraId="398B5411" w14:textId="20108B82"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55" w:history="1">
        <w:r w:rsidR="007243AA" w:rsidRPr="00E01239">
          <w:rPr>
            <w:rStyle w:val="Lienhypertexte"/>
            <w:rFonts w:cstheme="minorHAnsi"/>
            <w:noProof/>
          </w:rPr>
          <w:t>7.3.3.</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Données statistiques des consultations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_Toc144654155 \h </w:instrText>
        </w:r>
        <w:r w:rsidR="007243AA" w:rsidRPr="00E01239">
          <w:rPr>
            <w:noProof/>
            <w:webHidden/>
          </w:rPr>
        </w:r>
        <w:r w:rsidR="007243AA" w:rsidRPr="00E01239">
          <w:rPr>
            <w:noProof/>
            <w:webHidden/>
          </w:rPr>
          <w:fldChar w:fldCharType="separate"/>
        </w:r>
        <w:r w:rsidR="007243AA" w:rsidRPr="00E01239">
          <w:rPr>
            <w:noProof/>
            <w:webHidden/>
          </w:rPr>
          <w:t>109</w:t>
        </w:r>
        <w:r w:rsidR="007243AA" w:rsidRPr="00E01239">
          <w:rPr>
            <w:noProof/>
            <w:webHidden/>
          </w:rPr>
          <w:fldChar w:fldCharType="end"/>
        </w:r>
      </w:hyperlink>
    </w:p>
    <w:p w14:paraId="3124E538" w14:textId="451035A6"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56" w:history="1">
        <w:r w:rsidR="007243AA" w:rsidRPr="00E01239">
          <w:rPr>
            <w:rStyle w:val="Lienhypertexte"/>
            <w:rFonts w:cstheme="minorHAnsi"/>
            <w:noProof/>
          </w:rPr>
          <w:t>7.3.4.</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Points discutés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_Toc144654156 \h </w:instrText>
        </w:r>
        <w:r w:rsidR="007243AA" w:rsidRPr="00E01239">
          <w:rPr>
            <w:noProof/>
            <w:webHidden/>
          </w:rPr>
        </w:r>
        <w:r w:rsidR="007243AA" w:rsidRPr="00E01239">
          <w:rPr>
            <w:noProof/>
            <w:webHidden/>
          </w:rPr>
          <w:fldChar w:fldCharType="separate"/>
        </w:r>
        <w:r w:rsidR="007243AA" w:rsidRPr="00E01239">
          <w:rPr>
            <w:noProof/>
            <w:webHidden/>
          </w:rPr>
          <w:t>112</w:t>
        </w:r>
        <w:r w:rsidR="007243AA" w:rsidRPr="00E01239">
          <w:rPr>
            <w:noProof/>
            <w:webHidden/>
          </w:rPr>
          <w:fldChar w:fldCharType="end"/>
        </w:r>
      </w:hyperlink>
    </w:p>
    <w:p w14:paraId="6F7A7566" w14:textId="4C251D80"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57" w:history="1">
        <w:r w:rsidR="007243AA" w:rsidRPr="00E01239">
          <w:rPr>
            <w:rStyle w:val="Lienhypertexte"/>
            <w:rFonts w:cstheme="minorHAnsi"/>
            <w:noProof/>
          </w:rPr>
          <w:t>7.3.5.</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Synthèse des points de vue exprimés par les parties prenantes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_Toc144654157 \h </w:instrText>
        </w:r>
        <w:r w:rsidR="007243AA" w:rsidRPr="00E01239">
          <w:rPr>
            <w:noProof/>
            <w:webHidden/>
          </w:rPr>
        </w:r>
        <w:r w:rsidR="007243AA" w:rsidRPr="00E01239">
          <w:rPr>
            <w:noProof/>
            <w:webHidden/>
          </w:rPr>
          <w:fldChar w:fldCharType="separate"/>
        </w:r>
        <w:r w:rsidR="007243AA" w:rsidRPr="00E01239">
          <w:rPr>
            <w:noProof/>
            <w:webHidden/>
          </w:rPr>
          <w:t>112</w:t>
        </w:r>
        <w:r w:rsidR="007243AA" w:rsidRPr="00E01239">
          <w:rPr>
            <w:noProof/>
            <w:webHidden/>
          </w:rPr>
          <w:fldChar w:fldCharType="end"/>
        </w:r>
      </w:hyperlink>
    </w:p>
    <w:p w14:paraId="47F6C503" w14:textId="0B013D6C"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58" w:history="1">
        <w:r w:rsidR="007243AA" w:rsidRPr="00E01239">
          <w:rPr>
            <w:rStyle w:val="Lienhypertexte"/>
            <w:rFonts w:cstheme="minorHAnsi"/>
            <w:noProof/>
          </w:rPr>
          <w:t>7.4.</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PROGRAMME DE SURVEILLANCE ET DE SUIVI ENVIRONNEMENTAL ET SOCIAL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_Toc144654158 \h </w:instrText>
        </w:r>
        <w:r w:rsidR="007243AA" w:rsidRPr="00E01239">
          <w:rPr>
            <w:noProof/>
            <w:webHidden/>
          </w:rPr>
        </w:r>
        <w:r w:rsidR="007243AA" w:rsidRPr="00E01239">
          <w:rPr>
            <w:noProof/>
            <w:webHidden/>
          </w:rPr>
          <w:fldChar w:fldCharType="separate"/>
        </w:r>
        <w:r w:rsidR="007243AA" w:rsidRPr="00E01239">
          <w:rPr>
            <w:noProof/>
            <w:webHidden/>
          </w:rPr>
          <w:t>117</w:t>
        </w:r>
        <w:r w:rsidR="007243AA" w:rsidRPr="00E01239">
          <w:rPr>
            <w:noProof/>
            <w:webHidden/>
          </w:rPr>
          <w:fldChar w:fldCharType="end"/>
        </w:r>
      </w:hyperlink>
    </w:p>
    <w:p w14:paraId="60F0E0C6" w14:textId="338FBA25"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59" w:history="1">
        <w:r w:rsidR="007243AA" w:rsidRPr="00E01239">
          <w:rPr>
            <w:rStyle w:val="Lienhypertexte"/>
            <w:rFonts w:cstheme="minorHAnsi"/>
            <w:noProof/>
          </w:rPr>
          <w:t>7.4.1.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Dispositif de Surveillance et Supervision environnementale et sociale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_Toc144654159 \h </w:instrText>
        </w:r>
        <w:r w:rsidR="007243AA" w:rsidRPr="00E01239">
          <w:rPr>
            <w:noProof/>
            <w:webHidden/>
          </w:rPr>
        </w:r>
        <w:r w:rsidR="007243AA" w:rsidRPr="00E01239">
          <w:rPr>
            <w:noProof/>
            <w:webHidden/>
          </w:rPr>
          <w:fldChar w:fldCharType="separate"/>
        </w:r>
        <w:r w:rsidR="007243AA" w:rsidRPr="00E01239">
          <w:rPr>
            <w:noProof/>
            <w:webHidden/>
          </w:rPr>
          <w:t>117</w:t>
        </w:r>
        <w:r w:rsidR="007243AA" w:rsidRPr="00E01239">
          <w:rPr>
            <w:noProof/>
            <w:webHidden/>
          </w:rPr>
          <w:fldChar w:fldCharType="end"/>
        </w:r>
      </w:hyperlink>
    </w:p>
    <w:p w14:paraId="13EC0039" w14:textId="0CE20F11"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60" w:history="1">
        <w:r w:rsidR="007243AA" w:rsidRPr="00E01239">
          <w:rPr>
            <w:rStyle w:val="Lienhypertexte"/>
            <w:rFonts w:cstheme="minorHAnsi"/>
            <w:noProof/>
          </w:rPr>
          <w:t>7.4.2.</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Évaluation et Capitalisation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_Toc144654160 \h </w:instrText>
        </w:r>
        <w:r w:rsidR="007243AA" w:rsidRPr="00E01239">
          <w:rPr>
            <w:noProof/>
            <w:webHidden/>
          </w:rPr>
        </w:r>
        <w:r w:rsidR="007243AA" w:rsidRPr="00E01239">
          <w:rPr>
            <w:noProof/>
            <w:webHidden/>
          </w:rPr>
          <w:fldChar w:fldCharType="separate"/>
        </w:r>
        <w:r w:rsidR="007243AA" w:rsidRPr="00E01239">
          <w:rPr>
            <w:noProof/>
            <w:webHidden/>
          </w:rPr>
          <w:t>119</w:t>
        </w:r>
        <w:r w:rsidR="007243AA" w:rsidRPr="00E01239">
          <w:rPr>
            <w:noProof/>
            <w:webHidden/>
          </w:rPr>
          <w:fldChar w:fldCharType="end"/>
        </w:r>
      </w:hyperlink>
    </w:p>
    <w:p w14:paraId="5FD13A96" w14:textId="332AF553"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61" w:history="1">
        <w:r w:rsidR="007243AA" w:rsidRPr="00E01239">
          <w:rPr>
            <w:rStyle w:val="Lienhypertexte"/>
            <w:rFonts w:cstheme="minorHAnsi"/>
            <w:noProof/>
          </w:rPr>
          <w:t>7.4.3.</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Suivi Environnemental et social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_Toc144654161 \h </w:instrText>
        </w:r>
        <w:r w:rsidR="007243AA" w:rsidRPr="00E01239">
          <w:rPr>
            <w:noProof/>
            <w:webHidden/>
          </w:rPr>
        </w:r>
        <w:r w:rsidR="007243AA" w:rsidRPr="00E01239">
          <w:rPr>
            <w:noProof/>
            <w:webHidden/>
          </w:rPr>
          <w:fldChar w:fldCharType="separate"/>
        </w:r>
        <w:r w:rsidR="007243AA" w:rsidRPr="00E01239">
          <w:rPr>
            <w:noProof/>
            <w:webHidden/>
          </w:rPr>
          <w:t>119</w:t>
        </w:r>
        <w:r w:rsidR="007243AA" w:rsidRPr="00E01239">
          <w:rPr>
            <w:noProof/>
            <w:webHidden/>
          </w:rPr>
          <w:fldChar w:fldCharType="end"/>
        </w:r>
      </w:hyperlink>
    </w:p>
    <w:p w14:paraId="78C168F3" w14:textId="1C34D63D"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62" w:history="1">
        <w:r w:rsidR="007243AA" w:rsidRPr="00E01239">
          <w:rPr>
            <w:rStyle w:val="Lienhypertexte"/>
            <w:rFonts w:cstheme="minorHAnsi"/>
            <w:noProof/>
          </w:rPr>
          <w:t>7.4.4.</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Dispositif de rapportage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_Toc144654162 \h </w:instrText>
        </w:r>
        <w:r w:rsidR="007243AA" w:rsidRPr="00E01239">
          <w:rPr>
            <w:noProof/>
            <w:webHidden/>
          </w:rPr>
        </w:r>
        <w:r w:rsidR="007243AA" w:rsidRPr="00E01239">
          <w:rPr>
            <w:noProof/>
            <w:webHidden/>
          </w:rPr>
          <w:fldChar w:fldCharType="separate"/>
        </w:r>
        <w:r w:rsidR="007243AA" w:rsidRPr="00E01239">
          <w:rPr>
            <w:noProof/>
            <w:webHidden/>
          </w:rPr>
          <w:t>121</w:t>
        </w:r>
        <w:r w:rsidR="007243AA" w:rsidRPr="00E01239">
          <w:rPr>
            <w:noProof/>
            <w:webHidden/>
          </w:rPr>
          <w:fldChar w:fldCharType="end"/>
        </w:r>
      </w:hyperlink>
    </w:p>
    <w:p w14:paraId="2EE43807" w14:textId="14E3F06D"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63" w:history="1">
        <w:r w:rsidR="007243AA" w:rsidRPr="00E01239">
          <w:rPr>
            <w:rStyle w:val="Lienhypertexte"/>
            <w:rFonts w:cstheme="minorHAnsi"/>
            <w:noProof/>
          </w:rPr>
          <w:t>7.5.</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PLAN DE REPONSE AUX VIOLENCES FAITES AUX FEMMES (VFF), A L’EXPLOITATION ET D’ABUS SEXUELS (EAS) ET AU HARCELEMENT SEXUEL (HS)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_Toc144654163 \h </w:instrText>
        </w:r>
        <w:r w:rsidR="007243AA" w:rsidRPr="00E01239">
          <w:rPr>
            <w:noProof/>
            <w:webHidden/>
          </w:rPr>
        </w:r>
        <w:r w:rsidR="007243AA" w:rsidRPr="00E01239">
          <w:rPr>
            <w:noProof/>
            <w:webHidden/>
          </w:rPr>
          <w:fldChar w:fldCharType="separate"/>
        </w:r>
        <w:r w:rsidR="007243AA" w:rsidRPr="00E01239">
          <w:rPr>
            <w:noProof/>
            <w:webHidden/>
          </w:rPr>
          <w:t>121</w:t>
        </w:r>
        <w:r w:rsidR="007243AA" w:rsidRPr="00E01239">
          <w:rPr>
            <w:noProof/>
            <w:webHidden/>
          </w:rPr>
          <w:fldChar w:fldCharType="end"/>
        </w:r>
      </w:hyperlink>
    </w:p>
    <w:p w14:paraId="044620DD" w14:textId="37660F12"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64" w:history="1">
        <w:r w:rsidR="007243AA" w:rsidRPr="00E01239">
          <w:rPr>
            <w:rStyle w:val="Lienhypertexte"/>
            <w:rFonts w:cstheme="minorHAnsi"/>
            <w:noProof/>
          </w:rPr>
          <w:t>7.6.</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PROCEDURES DE MOBILISATION DES PARTIES PRENANTES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_Toc144654164 \h </w:instrText>
        </w:r>
        <w:r w:rsidR="007243AA" w:rsidRPr="00E01239">
          <w:rPr>
            <w:noProof/>
            <w:webHidden/>
          </w:rPr>
        </w:r>
        <w:r w:rsidR="007243AA" w:rsidRPr="00E01239">
          <w:rPr>
            <w:noProof/>
            <w:webHidden/>
          </w:rPr>
          <w:fldChar w:fldCharType="separate"/>
        </w:r>
        <w:r w:rsidR="007243AA" w:rsidRPr="00E01239">
          <w:rPr>
            <w:noProof/>
            <w:webHidden/>
          </w:rPr>
          <w:t>121</w:t>
        </w:r>
        <w:r w:rsidR="007243AA" w:rsidRPr="00E01239">
          <w:rPr>
            <w:noProof/>
            <w:webHidden/>
          </w:rPr>
          <w:fldChar w:fldCharType="end"/>
        </w:r>
      </w:hyperlink>
    </w:p>
    <w:p w14:paraId="11677A3B" w14:textId="12370345"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65" w:history="1">
        <w:r w:rsidR="007243AA" w:rsidRPr="00E01239">
          <w:rPr>
            <w:rStyle w:val="Lienhypertexte"/>
            <w:rFonts w:cstheme="minorHAnsi"/>
            <w:noProof/>
          </w:rPr>
          <w:t>7.7.</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PROCEDURES DE GESTION DE LA MAIN D’ŒUVRE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_Toc144654165 \h </w:instrText>
        </w:r>
        <w:r w:rsidR="007243AA" w:rsidRPr="00E01239">
          <w:rPr>
            <w:noProof/>
            <w:webHidden/>
          </w:rPr>
        </w:r>
        <w:r w:rsidR="007243AA" w:rsidRPr="00E01239">
          <w:rPr>
            <w:noProof/>
            <w:webHidden/>
          </w:rPr>
          <w:fldChar w:fldCharType="separate"/>
        </w:r>
        <w:r w:rsidR="007243AA" w:rsidRPr="00E01239">
          <w:rPr>
            <w:noProof/>
            <w:webHidden/>
          </w:rPr>
          <w:t>122</w:t>
        </w:r>
        <w:r w:rsidR="007243AA" w:rsidRPr="00E01239">
          <w:rPr>
            <w:noProof/>
            <w:webHidden/>
          </w:rPr>
          <w:fldChar w:fldCharType="end"/>
        </w:r>
      </w:hyperlink>
    </w:p>
    <w:p w14:paraId="49C8E8E6" w14:textId="7522DED1"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66" w:history="1">
        <w:r w:rsidR="007243AA" w:rsidRPr="00E01239">
          <w:rPr>
            <w:rStyle w:val="Lienhypertexte"/>
            <w:rFonts w:cstheme="minorHAnsi"/>
            <w:noProof/>
          </w:rPr>
          <w:t>7.8.</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PROCEDURES DE GESTION DES PLAINTES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_Toc144654166 \h </w:instrText>
        </w:r>
        <w:r w:rsidR="007243AA" w:rsidRPr="00E01239">
          <w:rPr>
            <w:noProof/>
            <w:webHidden/>
          </w:rPr>
        </w:r>
        <w:r w:rsidR="007243AA" w:rsidRPr="00E01239">
          <w:rPr>
            <w:noProof/>
            <w:webHidden/>
          </w:rPr>
          <w:fldChar w:fldCharType="separate"/>
        </w:r>
        <w:r w:rsidR="007243AA" w:rsidRPr="00E01239">
          <w:rPr>
            <w:noProof/>
            <w:webHidden/>
          </w:rPr>
          <w:t>123</w:t>
        </w:r>
        <w:r w:rsidR="007243AA" w:rsidRPr="00E01239">
          <w:rPr>
            <w:noProof/>
            <w:webHidden/>
          </w:rPr>
          <w:fldChar w:fldCharType="end"/>
        </w:r>
      </w:hyperlink>
    </w:p>
    <w:p w14:paraId="3B9B93A0" w14:textId="14D9CD5B"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67" w:history="1">
        <w:r w:rsidR="007243AA" w:rsidRPr="00E01239">
          <w:rPr>
            <w:rStyle w:val="Lienhypertexte"/>
            <w:rFonts w:cstheme="minorHAnsi"/>
            <w:noProof/>
          </w:rPr>
          <w:t>7.9.</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DISPOSITIONS INSTITUTIONNELLES, RESPONSABILITES ET RENFORCEMENT DES CAPACITES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_Toc144654167 \h </w:instrText>
        </w:r>
        <w:r w:rsidR="007243AA" w:rsidRPr="00E01239">
          <w:rPr>
            <w:noProof/>
            <w:webHidden/>
          </w:rPr>
        </w:r>
        <w:r w:rsidR="007243AA" w:rsidRPr="00E01239">
          <w:rPr>
            <w:noProof/>
            <w:webHidden/>
          </w:rPr>
          <w:fldChar w:fldCharType="separate"/>
        </w:r>
        <w:r w:rsidR="007243AA" w:rsidRPr="00E01239">
          <w:rPr>
            <w:noProof/>
            <w:webHidden/>
          </w:rPr>
          <w:t>123</w:t>
        </w:r>
        <w:r w:rsidR="007243AA" w:rsidRPr="00E01239">
          <w:rPr>
            <w:noProof/>
            <w:webHidden/>
          </w:rPr>
          <w:fldChar w:fldCharType="end"/>
        </w:r>
      </w:hyperlink>
    </w:p>
    <w:p w14:paraId="5A7B3352" w14:textId="6239B70C"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68" w:history="1">
        <w:r w:rsidR="007243AA" w:rsidRPr="00E01239">
          <w:rPr>
            <w:rStyle w:val="Lienhypertexte"/>
            <w:rFonts w:cstheme="minorHAnsi"/>
            <w:noProof/>
          </w:rPr>
          <w:t>7.9.1.</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Arrangements Institutionnels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_Toc144654168 \h </w:instrText>
        </w:r>
        <w:r w:rsidR="007243AA" w:rsidRPr="00E01239">
          <w:rPr>
            <w:noProof/>
            <w:webHidden/>
          </w:rPr>
        </w:r>
        <w:r w:rsidR="007243AA" w:rsidRPr="00E01239">
          <w:rPr>
            <w:noProof/>
            <w:webHidden/>
          </w:rPr>
          <w:fldChar w:fldCharType="separate"/>
        </w:r>
        <w:r w:rsidR="007243AA" w:rsidRPr="00E01239">
          <w:rPr>
            <w:noProof/>
            <w:webHidden/>
          </w:rPr>
          <w:t>123</w:t>
        </w:r>
        <w:r w:rsidR="007243AA" w:rsidRPr="00E01239">
          <w:rPr>
            <w:noProof/>
            <w:webHidden/>
          </w:rPr>
          <w:fldChar w:fldCharType="end"/>
        </w:r>
      </w:hyperlink>
    </w:p>
    <w:p w14:paraId="436CB498" w14:textId="29326CB6" w:rsidR="007243AA" w:rsidRPr="00E01239" w:rsidRDefault="00000000">
      <w:pPr>
        <w:pStyle w:val="TM3"/>
        <w:tabs>
          <w:tab w:val="left" w:pos="1200"/>
          <w:tab w:val="right" w:leader="dot" w:pos="9061"/>
        </w:tabs>
        <w:rPr>
          <w:rFonts w:asciiTheme="minorHAnsi" w:eastAsiaTheme="minorEastAsia" w:hAnsiTheme="minorHAnsi" w:cstheme="minorBidi"/>
          <w:i w:val="0"/>
          <w:iCs w:val="0"/>
          <w:noProof/>
          <w:sz w:val="22"/>
          <w:szCs w:val="22"/>
        </w:rPr>
      </w:pPr>
      <w:hyperlink w:anchor="_Toc144654169" w:history="1">
        <w:r w:rsidR="007243AA" w:rsidRPr="00E01239">
          <w:rPr>
            <w:rStyle w:val="Lienhypertexte"/>
            <w:rFonts w:cstheme="minorHAnsi"/>
            <w:noProof/>
          </w:rPr>
          <w:t>7.9.2.</w:t>
        </w:r>
        <w:r w:rsidR="007243AA" w:rsidRPr="00E01239">
          <w:rPr>
            <w:rFonts w:asciiTheme="minorHAnsi" w:eastAsiaTheme="minorEastAsia" w:hAnsiTheme="minorHAnsi" w:cstheme="minorBidi"/>
            <w:i w:val="0"/>
            <w:iCs w:val="0"/>
            <w:noProof/>
            <w:sz w:val="22"/>
            <w:szCs w:val="22"/>
          </w:rPr>
          <w:tab/>
        </w:r>
        <w:r w:rsidR="007243AA" w:rsidRPr="00E01239">
          <w:rPr>
            <w:rStyle w:val="Lienhypertexte"/>
            <w:rFonts w:cstheme="minorHAnsi"/>
            <w:noProof/>
          </w:rPr>
          <w:t>Evaluation des capacités des parties prenantes en matière de gestion environnementale et sociale et mesures de renforcement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_Toc144654169 \h </w:instrText>
        </w:r>
        <w:r w:rsidR="007243AA" w:rsidRPr="00E01239">
          <w:rPr>
            <w:noProof/>
            <w:webHidden/>
          </w:rPr>
        </w:r>
        <w:r w:rsidR="007243AA" w:rsidRPr="00E01239">
          <w:rPr>
            <w:noProof/>
            <w:webHidden/>
          </w:rPr>
          <w:fldChar w:fldCharType="separate"/>
        </w:r>
        <w:r w:rsidR="007243AA" w:rsidRPr="00E01239">
          <w:rPr>
            <w:noProof/>
            <w:webHidden/>
          </w:rPr>
          <w:t>128</w:t>
        </w:r>
        <w:r w:rsidR="007243AA" w:rsidRPr="00E01239">
          <w:rPr>
            <w:noProof/>
            <w:webHidden/>
          </w:rPr>
          <w:fldChar w:fldCharType="end"/>
        </w:r>
      </w:hyperlink>
    </w:p>
    <w:p w14:paraId="3C5902F6" w14:textId="0810E419" w:rsidR="007243AA" w:rsidRPr="00E01239" w:rsidRDefault="00000000">
      <w:pPr>
        <w:pStyle w:val="TM2"/>
        <w:tabs>
          <w:tab w:val="left" w:pos="960"/>
          <w:tab w:val="right" w:leader="dot" w:pos="9061"/>
        </w:tabs>
        <w:rPr>
          <w:rFonts w:asciiTheme="minorHAnsi" w:eastAsiaTheme="minorEastAsia" w:hAnsiTheme="minorHAnsi" w:cstheme="minorBidi"/>
          <w:smallCaps w:val="0"/>
          <w:noProof/>
          <w:sz w:val="22"/>
          <w:szCs w:val="22"/>
        </w:rPr>
      </w:pPr>
      <w:hyperlink w:anchor="_Toc144654170" w:history="1">
        <w:r w:rsidR="007243AA" w:rsidRPr="00E01239">
          <w:rPr>
            <w:rStyle w:val="Lienhypertexte"/>
            <w:rFonts w:cstheme="minorHAnsi"/>
            <w:noProof/>
          </w:rPr>
          <w:t>7.10.</w:t>
        </w:r>
        <w:r w:rsidR="007243AA" w:rsidRPr="00E01239">
          <w:rPr>
            <w:rFonts w:asciiTheme="minorHAnsi" w:eastAsiaTheme="minorEastAsia" w:hAnsiTheme="minorHAnsi" w:cstheme="minorBidi"/>
            <w:smallCaps w:val="0"/>
            <w:noProof/>
            <w:sz w:val="22"/>
            <w:szCs w:val="22"/>
          </w:rPr>
          <w:tab/>
        </w:r>
        <w:r w:rsidR="007243AA" w:rsidRPr="00E01239">
          <w:rPr>
            <w:rStyle w:val="Lienhypertexte"/>
            <w:rFonts w:cstheme="minorHAnsi"/>
            <w:noProof/>
          </w:rPr>
          <w:t>BUDGET DU PCGES ET CALENDRIER DE MISE EN ŒUVRE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_Toc144654170 \h </w:instrText>
        </w:r>
        <w:r w:rsidR="007243AA" w:rsidRPr="00E01239">
          <w:rPr>
            <w:noProof/>
            <w:webHidden/>
          </w:rPr>
        </w:r>
        <w:r w:rsidR="007243AA" w:rsidRPr="00E01239">
          <w:rPr>
            <w:noProof/>
            <w:webHidden/>
          </w:rPr>
          <w:fldChar w:fldCharType="separate"/>
        </w:r>
        <w:r w:rsidR="007243AA" w:rsidRPr="00E01239">
          <w:rPr>
            <w:noProof/>
            <w:webHidden/>
          </w:rPr>
          <w:t>130</w:t>
        </w:r>
        <w:r w:rsidR="007243AA" w:rsidRPr="00E01239">
          <w:rPr>
            <w:noProof/>
            <w:webHidden/>
          </w:rPr>
          <w:fldChar w:fldCharType="end"/>
        </w:r>
      </w:hyperlink>
    </w:p>
    <w:p w14:paraId="3DD365BE" w14:textId="38CA5BAE" w:rsidR="007243AA" w:rsidRPr="00E01239" w:rsidRDefault="00000000" w:rsidP="008019AE">
      <w:pPr>
        <w:pStyle w:val="TM1"/>
        <w:rPr>
          <w:rFonts w:asciiTheme="minorHAnsi" w:eastAsiaTheme="minorEastAsia" w:hAnsiTheme="minorHAnsi" w:cstheme="minorBidi"/>
          <w:noProof/>
          <w:sz w:val="22"/>
          <w:szCs w:val="22"/>
        </w:rPr>
      </w:pPr>
      <w:hyperlink w:anchor="_Toc144654171" w:history="1">
        <w:r w:rsidR="007243AA" w:rsidRPr="00E01239">
          <w:rPr>
            <w:rStyle w:val="Lienhypertexte"/>
            <w:rFonts w:cstheme="minorHAnsi"/>
            <w:noProof/>
            <w:lang w:eastAsia="x-none"/>
          </w:rPr>
          <w:t>VIII.</w:t>
        </w:r>
        <w:r w:rsidR="007243AA" w:rsidRPr="00E01239">
          <w:rPr>
            <w:rFonts w:asciiTheme="minorHAnsi" w:eastAsiaTheme="minorEastAsia" w:hAnsiTheme="minorHAnsi" w:cstheme="minorBidi"/>
            <w:noProof/>
            <w:sz w:val="22"/>
            <w:szCs w:val="22"/>
          </w:rPr>
          <w:tab/>
        </w:r>
        <w:r w:rsidR="007243AA" w:rsidRPr="00E01239">
          <w:rPr>
            <w:rStyle w:val="Lienhypertexte"/>
            <w:rFonts w:cstheme="minorHAnsi"/>
            <w:noProof/>
            <w:lang w:eastAsia="x-none"/>
          </w:rPr>
          <w:t>CONCLUSION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_Toc144654171 \h </w:instrText>
        </w:r>
        <w:r w:rsidR="007243AA" w:rsidRPr="00E01239">
          <w:rPr>
            <w:noProof/>
            <w:webHidden/>
          </w:rPr>
        </w:r>
        <w:r w:rsidR="007243AA" w:rsidRPr="00E01239">
          <w:rPr>
            <w:noProof/>
            <w:webHidden/>
          </w:rPr>
          <w:fldChar w:fldCharType="separate"/>
        </w:r>
        <w:r w:rsidR="007243AA" w:rsidRPr="00E01239">
          <w:rPr>
            <w:noProof/>
            <w:webHidden/>
          </w:rPr>
          <w:t>133</w:t>
        </w:r>
        <w:r w:rsidR="007243AA" w:rsidRPr="00E01239">
          <w:rPr>
            <w:noProof/>
            <w:webHidden/>
          </w:rPr>
          <w:fldChar w:fldCharType="end"/>
        </w:r>
      </w:hyperlink>
    </w:p>
    <w:p w14:paraId="71F303B6" w14:textId="43E22B6C" w:rsidR="007243AA" w:rsidRPr="00E01239" w:rsidRDefault="00000000" w:rsidP="008019AE">
      <w:pPr>
        <w:pStyle w:val="TM1"/>
        <w:rPr>
          <w:rFonts w:asciiTheme="minorHAnsi" w:eastAsiaTheme="minorEastAsia" w:hAnsiTheme="minorHAnsi" w:cstheme="minorBidi"/>
          <w:noProof/>
          <w:sz w:val="22"/>
          <w:szCs w:val="22"/>
        </w:rPr>
      </w:pPr>
      <w:hyperlink w:anchor="_Toc144654172" w:history="1">
        <w:r w:rsidR="007243AA" w:rsidRPr="00E01239">
          <w:rPr>
            <w:rStyle w:val="Lienhypertexte"/>
            <w:rFonts w:cstheme="minorHAnsi"/>
            <w:noProof/>
          </w:rPr>
          <w:t>BIBLIOGRAPHIE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_Toc144654172 \h </w:instrText>
        </w:r>
        <w:r w:rsidR="007243AA" w:rsidRPr="00E01239">
          <w:rPr>
            <w:noProof/>
            <w:webHidden/>
          </w:rPr>
        </w:r>
        <w:r w:rsidR="007243AA" w:rsidRPr="00E01239">
          <w:rPr>
            <w:noProof/>
            <w:webHidden/>
          </w:rPr>
          <w:fldChar w:fldCharType="separate"/>
        </w:r>
        <w:r w:rsidR="007243AA" w:rsidRPr="00E01239">
          <w:rPr>
            <w:noProof/>
            <w:webHidden/>
          </w:rPr>
          <w:t>134</w:t>
        </w:r>
        <w:r w:rsidR="007243AA" w:rsidRPr="00E01239">
          <w:rPr>
            <w:noProof/>
            <w:webHidden/>
          </w:rPr>
          <w:fldChar w:fldCharType="end"/>
        </w:r>
      </w:hyperlink>
    </w:p>
    <w:p w14:paraId="12E24738" w14:textId="7A036C83" w:rsidR="007243AA" w:rsidRPr="00E01239" w:rsidRDefault="00000000" w:rsidP="008019AE">
      <w:pPr>
        <w:pStyle w:val="TM1"/>
        <w:rPr>
          <w:rFonts w:asciiTheme="minorHAnsi" w:eastAsiaTheme="minorEastAsia" w:hAnsiTheme="minorHAnsi" w:cstheme="minorBidi"/>
          <w:noProof/>
          <w:sz w:val="22"/>
          <w:szCs w:val="22"/>
        </w:rPr>
      </w:pPr>
      <w:hyperlink w:anchor="_Toc144654173" w:history="1">
        <w:r w:rsidR="007243AA" w:rsidRPr="00E01239">
          <w:rPr>
            <w:rStyle w:val="Lienhypertexte"/>
            <w:rFonts w:cstheme="minorHAnsi"/>
            <w:noProof/>
          </w:rPr>
          <w:t>ANNEXES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_Toc144654173 \h </w:instrText>
        </w:r>
        <w:r w:rsidR="007243AA" w:rsidRPr="00E01239">
          <w:rPr>
            <w:noProof/>
            <w:webHidden/>
          </w:rPr>
        </w:r>
        <w:r w:rsidR="007243AA" w:rsidRPr="00E01239">
          <w:rPr>
            <w:noProof/>
            <w:webHidden/>
          </w:rPr>
          <w:fldChar w:fldCharType="separate"/>
        </w:r>
        <w:r w:rsidR="007243AA" w:rsidRPr="00E01239">
          <w:rPr>
            <w:noProof/>
            <w:webHidden/>
          </w:rPr>
          <w:t>135</w:t>
        </w:r>
        <w:r w:rsidR="007243AA" w:rsidRPr="00E01239">
          <w:rPr>
            <w:noProof/>
            <w:webHidden/>
          </w:rPr>
          <w:fldChar w:fldCharType="end"/>
        </w:r>
      </w:hyperlink>
    </w:p>
    <w:p w14:paraId="775FE48A" w14:textId="6E970FAC" w:rsidR="003357B8" w:rsidRPr="00E01239" w:rsidRDefault="00FB2CB1" w:rsidP="00582C4E">
      <w:pPr>
        <w:pStyle w:val="Nomal"/>
        <w:rPr>
          <w:rFonts w:asciiTheme="minorHAnsi" w:hAnsiTheme="minorHAnsi" w:cstheme="minorHAnsi"/>
          <w:caps/>
          <w:sz w:val="22"/>
          <w:szCs w:val="22"/>
        </w:rPr>
      </w:pPr>
      <w:r w:rsidRPr="00E01239">
        <w:rPr>
          <w:rFonts w:asciiTheme="minorHAnsi" w:hAnsiTheme="minorHAnsi" w:cstheme="minorHAnsi"/>
          <w:caps/>
          <w:sz w:val="22"/>
          <w:szCs w:val="22"/>
        </w:rPr>
        <w:fldChar w:fldCharType="end"/>
      </w:r>
    </w:p>
    <w:p w14:paraId="34CF7EAA" w14:textId="77777777" w:rsidR="003357B8" w:rsidRPr="00E01239" w:rsidRDefault="003357B8" w:rsidP="006E32E4">
      <w:pPr>
        <w:pStyle w:val="Style2"/>
        <w:rPr>
          <w:rFonts w:asciiTheme="minorHAnsi" w:hAnsiTheme="minorHAnsi" w:cstheme="minorHAnsi"/>
          <w:caps/>
          <w:sz w:val="22"/>
          <w:szCs w:val="22"/>
          <w:lang w:eastAsia="x-none"/>
        </w:rPr>
        <w:sectPr w:rsidR="003357B8" w:rsidRPr="00E01239" w:rsidSect="002E7187">
          <w:headerReference w:type="default" r:id="rId18"/>
          <w:footerReference w:type="default" r:id="rId19"/>
          <w:pgSz w:w="11907" w:h="16840" w:code="9"/>
          <w:pgMar w:top="1418" w:right="1418" w:bottom="1418" w:left="1418" w:header="720" w:footer="720" w:gutter="0"/>
          <w:pgNumType w:fmt="lowerRoman" w:start="1"/>
          <w:cols w:space="60"/>
          <w:noEndnote/>
        </w:sectPr>
      </w:pPr>
    </w:p>
    <w:p w14:paraId="173B1567" w14:textId="77777777" w:rsidR="00D80D45" w:rsidRPr="00E01239" w:rsidRDefault="00D80D45" w:rsidP="009F34F3">
      <w:pPr>
        <w:pStyle w:val="Titre1"/>
        <w:shd w:val="clear" w:color="auto" w:fill="002060"/>
        <w:spacing w:before="0"/>
        <w:ind w:right="-1"/>
        <w:jc w:val="center"/>
        <w:rPr>
          <w:rFonts w:asciiTheme="minorHAnsi" w:hAnsiTheme="minorHAnsi" w:cstheme="minorHAnsi"/>
          <w:color w:val="auto"/>
          <w:sz w:val="44"/>
          <w:szCs w:val="44"/>
          <w:lang w:eastAsia="x-none"/>
        </w:rPr>
      </w:pPr>
      <w:bookmarkStart w:id="6" w:name="_Toc26504926"/>
      <w:bookmarkStart w:id="7" w:name="_Toc70002884"/>
      <w:bookmarkStart w:id="8" w:name="_Toc130714049"/>
      <w:bookmarkStart w:id="9" w:name="_Toc142377661"/>
      <w:bookmarkStart w:id="10" w:name="_Toc144654045"/>
      <w:r w:rsidRPr="00E01239">
        <w:rPr>
          <w:rFonts w:asciiTheme="minorHAnsi" w:hAnsiTheme="minorHAnsi" w:cstheme="minorHAnsi"/>
          <w:color w:val="auto"/>
          <w:sz w:val="44"/>
          <w:szCs w:val="44"/>
          <w:lang w:eastAsia="x-none"/>
        </w:rPr>
        <w:lastRenderedPageBreak/>
        <w:t>LISTE DES TABLEAUX</w:t>
      </w:r>
      <w:bookmarkEnd w:id="6"/>
      <w:bookmarkEnd w:id="7"/>
      <w:bookmarkEnd w:id="8"/>
      <w:bookmarkEnd w:id="9"/>
      <w:bookmarkEnd w:id="10"/>
    </w:p>
    <w:bookmarkStart w:id="11" w:name="_Toc474621112"/>
    <w:bookmarkStart w:id="12" w:name="_Toc26504927"/>
    <w:bookmarkEnd w:id="11"/>
    <w:p w14:paraId="1E248FFE" w14:textId="4B8AB0EA" w:rsidR="007243AA" w:rsidRPr="00E01239" w:rsidRDefault="00FB2CB1">
      <w:pPr>
        <w:pStyle w:val="Tabledesillustrations"/>
        <w:tabs>
          <w:tab w:val="right" w:leader="dot" w:pos="9061"/>
        </w:tabs>
        <w:rPr>
          <w:rFonts w:asciiTheme="minorHAnsi" w:eastAsiaTheme="minorEastAsia" w:hAnsiTheme="minorHAnsi" w:cstheme="minorBidi"/>
          <w:smallCaps w:val="0"/>
          <w:noProof/>
          <w:sz w:val="22"/>
          <w:szCs w:val="22"/>
        </w:rPr>
      </w:pPr>
      <w:r w:rsidRPr="00E01239">
        <w:rPr>
          <w:rFonts w:asciiTheme="minorHAnsi" w:hAnsiTheme="minorHAnsi" w:cstheme="minorHAnsi"/>
          <w:smallCaps w:val="0"/>
          <w:sz w:val="22"/>
          <w:szCs w:val="22"/>
        </w:rPr>
        <w:fldChar w:fldCharType="begin"/>
      </w:r>
      <w:r w:rsidRPr="00E01239">
        <w:rPr>
          <w:rFonts w:asciiTheme="minorHAnsi" w:hAnsiTheme="minorHAnsi" w:cstheme="minorHAnsi"/>
          <w:smallCaps w:val="0"/>
          <w:sz w:val="22"/>
          <w:szCs w:val="22"/>
        </w:rPr>
        <w:instrText xml:space="preserve"> TOC \h \z \c "Tableau" </w:instrText>
      </w:r>
      <w:r w:rsidRPr="00E01239">
        <w:rPr>
          <w:rFonts w:asciiTheme="minorHAnsi" w:hAnsiTheme="minorHAnsi" w:cstheme="minorHAnsi"/>
          <w:smallCaps w:val="0"/>
          <w:sz w:val="22"/>
          <w:szCs w:val="22"/>
        </w:rPr>
        <w:fldChar w:fldCharType="separate"/>
      </w:r>
      <w:hyperlink w:anchor="_Toc144654181" w:history="1">
        <w:r w:rsidR="007243AA" w:rsidRPr="00E01239">
          <w:rPr>
            <w:rStyle w:val="Lienhypertexte"/>
            <w:rFonts w:cstheme="minorHAnsi"/>
            <w:noProof/>
          </w:rPr>
          <w:t>Tableau 1 : Composantes, Sous-composantes et Activités du FSRP-SN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_Toc144654181 \h </w:instrText>
        </w:r>
        <w:r w:rsidR="007243AA" w:rsidRPr="00E01239">
          <w:rPr>
            <w:noProof/>
            <w:webHidden/>
          </w:rPr>
        </w:r>
        <w:r w:rsidR="007243AA" w:rsidRPr="00E01239">
          <w:rPr>
            <w:noProof/>
            <w:webHidden/>
          </w:rPr>
          <w:fldChar w:fldCharType="separate"/>
        </w:r>
        <w:r w:rsidR="007243AA" w:rsidRPr="00E01239">
          <w:rPr>
            <w:noProof/>
            <w:webHidden/>
          </w:rPr>
          <w:t>2</w:t>
        </w:r>
        <w:r w:rsidR="007243AA" w:rsidRPr="00E01239">
          <w:rPr>
            <w:noProof/>
            <w:webHidden/>
          </w:rPr>
          <w:fldChar w:fldCharType="end"/>
        </w:r>
      </w:hyperlink>
    </w:p>
    <w:p w14:paraId="7BB4C2E2" w14:textId="1BC6ACC6"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82" w:history="1">
        <w:r w:rsidR="007243AA" w:rsidRPr="00E01239">
          <w:rPr>
            <w:rStyle w:val="Lienhypertexte"/>
            <w:rFonts w:cstheme="minorHAnsi"/>
            <w:bCs/>
            <w:noProof/>
          </w:rPr>
          <w:t>Tableau 2:</w:t>
        </w:r>
        <w:r w:rsidR="007243AA" w:rsidRPr="00E01239">
          <w:rPr>
            <w:rStyle w:val="Lienhypertexte"/>
            <w:rFonts w:cstheme="minorHAnsi"/>
            <w:noProof/>
          </w:rPr>
          <w:t xml:space="preserve"> Dispositions du Code de l’environnement applicables au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_Toc144654182 \h </w:instrText>
        </w:r>
        <w:r w:rsidR="007243AA" w:rsidRPr="00E01239">
          <w:rPr>
            <w:noProof/>
            <w:webHidden/>
          </w:rPr>
        </w:r>
        <w:r w:rsidR="007243AA" w:rsidRPr="00E01239">
          <w:rPr>
            <w:noProof/>
            <w:webHidden/>
          </w:rPr>
          <w:fldChar w:fldCharType="separate"/>
        </w:r>
        <w:r w:rsidR="007243AA" w:rsidRPr="00E01239">
          <w:rPr>
            <w:noProof/>
            <w:webHidden/>
          </w:rPr>
          <w:t>20</w:t>
        </w:r>
        <w:r w:rsidR="007243AA" w:rsidRPr="00E01239">
          <w:rPr>
            <w:noProof/>
            <w:webHidden/>
          </w:rPr>
          <w:fldChar w:fldCharType="end"/>
        </w:r>
      </w:hyperlink>
    </w:p>
    <w:p w14:paraId="60A56078" w14:textId="16A4B326"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83" w:history="1">
        <w:r w:rsidR="007243AA" w:rsidRPr="00E01239">
          <w:rPr>
            <w:rStyle w:val="Lienhypertexte"/>
            <w:rFonts w:cstheme="minorHAnsi"/>
            <w:bCs/>
            <w:noProof/>
          </w:rPr>
          <w:t>Tableau 3:</w:t>
        </w:r>
        <w:r w:rsidR="007243AA" w:rsidRPr="00E01239">
          <w:rPr>
            <w:rStyle w:val="Lienhypertexte"/>
            <w:rFonts w:cstheme="minorHAnsi"/>
            <w:noProof/>
          </w:rPr>
          <w:t xml:space="preserve"> Arrêtés relatifs aux études d’impact sur l’environnement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_Toc144654183 \h </w:instrText>
        </w:r>
        <w:r w:rsidR="007243AA" w:rsidRPr="00E01239">
          <w:rPr>
            <w:noProof/>
            <w:webHidden/>
          </w:rPr>
        </w:r>
        <w:r w:rsidR="007243AA" w:rsidRPr="00E01239">
          <w:rPr>
            <w:noProof/>
            <w:webHidden/>
          </w:rPr>
          <w:fldChar w:fldCharType="separate"/>
        </w:r>
        <w:r w:rsidR="007243AA" w:rsidRPr="00E01239">
          <w:rPr>
            <w:noProof/>
            <w:webHidden/>
          </w:rPr>
          <w:t>22</w:t>
        </w:r>
        <w:r w:rsidR="007243AA" w:rsidRPr="00E01239">
          <w:rPr>
            <w:noProof/>
            <w:webHidden/>
          </w:rPr>
          <w:fldChar w:fldCharType="end"/>
        </w:r>
      </w:hyperlink>
    </w:p>
    <w:p w14:paraId="4372CBE9" w14:textId="1C0A4BFD"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84" w:history="1">
        <w:r w:rsidR="007243AA" w:rsidRPr="00E01239">
          <w:rPr>
            <w:rStyle w:val="Lienhypertexte"/>
            <w:rFonts w:cstheme="minorHAnsi"/>
            <w:bCs/>
            <w:noProof/>
          </w:rPr>
          <w:t>Tableau 4:</w:t>
        </w:r>
        <w:r w:rsidR="007243AA" w:rsidRPr="00E01239">
          <w:rPr>
            <w:rStyle w:val="Lienhypertexte"/>
            <w:rFonts w:cstheme="minorHAnsi"/>
            <w:noProof/>
          </w:rPr>
          <w:t xml:space="preserve">  </w:t>
        </w:r>
        <w:r w:rsidR="007243AA" w:rsidRPr="00E01239">
          <w:rPr>
            <w:rStyle w:val="Lienhypertexte"/>
            <w:rFonts w:cstheme="minorHAnsi"/>
            <w:bCs/>
            <w:noProof/>
          </w:rPr>
          <w:t>Principales dispositions du code du travail applicables au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_Toc144654184 \h </w:instrText>
        </w:r>
        <w:r w:rsidR="007243AA" w:rsidRPr="00E01239">
          <w:rPr>
            <w:noProof/>
            <w:webHidden/>
          </w:rPr>
        </w:r>
        <w:r w:rsidR="007243AA" w:rsidRPr="00E01239">
          <w:rPr>
            <w:noProof/>
            <w:webHidden/>
          </w:rPr>
          <w:fldChar w:fldCharType="separate"/>
        </w:r>
        <w:r w:rsidR="007243AA" w:rsidRPr="00E01239">
          <w:rPr>
            <w:noProof/>
            <w:webHidden/>
          </w:rPr>
          <w:t>24</w:t>
        </w:r>
        <w:r w:rsidR="007243AA" w:rsidRPr="00E01239">
          <w:rPr>
            <w:noProof/>
            <w:webHidden/>
          </w:rPr>
          <w:fldChar w:fldCharType="end"/>
        </w:r>
      </w:hyperlink>
    </w:p>
    <w:p w14:paraId="26058E33" w14:textId="158ACDBF"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85" w:history="1">
        <w:r w:rsidR="007243AA" w:rsidRPr="00E01239">
          <w:rPr>
            <w:rStyle w:val="Lienhypertexte"/>
            <w:rFonts w:cstheme="minorHAnsi"/>
            <w:bCs/>
            <w:noProof/>
          </w:rPr>
          <w:t>Tableau 5:</w:t>
        </w:r>
        <w:r w:rsidR="007243AA" w:rsidRPr="00E01239">
          <w:rPr>
            <w:rStyle w:val="Lienhypertexte"/>
            <w:rFonts w:cstheme="minorHAnsi"/>
            <w:noProof/>
          </w:rPr>
          <w:t xml:space="preserve"> </w:t>
        </w:r>
        <w:r w:rsidR="007243AA" w:rsidRPr="00E01239">
          <w:rPr>
            <w:rStyle w:val="Lienhypertexte"/>
            <w:rFonts w:cstheme="minorHAnsi"/>
            <w:bCs/>
            <w:noProof/>
          </w:rPr>
          <w:t>Dispositions juridiques relatives à la prévention et à la lutte contre les pollutions et nuisances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_Toc144654185 \h </w:instrText>
        </w:r>
        <w:r w:rsidR="007243AA" w:rsidRPr="00E01239">
          <w:rPr>
            <w:noProof/>
            <w:webHidden/>
          </w:rPr>
        </w:r>
        <w:r w:rsidR="007243AA" w:rsidRPr="00E01239">
          <w:rPr>
            <w:noProof/>
            <w:webHidden/>
          </w:rPr>
          <w:fldChar w:fldCharType="separate"/>
        </w:r>
        <w:r w:rsidR="007243AA" w:rsidRPr="00E01239">
          <w:rPr>
            <w:noProof/>
            <w:webHidden/>
          </w:rPr>
          <w:t>26</w:t>
        </w:r>
        <w:r w:rsidR="007243AA" w:rsidRPr="00E01239">
          <w:rPr>
            <w:noProof/>
            <w:webHidden/>
          </w:rPr>
          <w:fldChar w:fldCharType="end"/>
        </w:r>
      </w:hyperlink>
    </w:p>
    <w:p w14:paraId="3E2D0B3A" w14:textId="74A4ACF1"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86" w:history="1">
        <w:r w:rsidR="007243AA" w:rsidRPr="00E01239">
          <w:rPr>
            <w:rStyle w:val="Lienhypertexte"/>
            <w:rFonts w:cstheme="minorHAnsi"/>
            <w:bCs/>
            <w:noProof/>
          </w:rPr>
          <w:t>Tableau 6:</w:t>
        </w:r>
        <w:r w:rsidR="007243AA" w:rsidRPr="00E01239">
          <w:rPr>
            <w:rStyle w:val="Lienhypertexte"/>
            <w:rFonts w:cstheme="minorHAnsi"/>
            <w:noProof/>
          </w:rPr>
          <w:t xml:space="preserve"> </w:t>
        </w:r>
        <w:r w:rsidR="007243AA" w:rsidRPr="00E01239">
          <w:rPr>
            <w:rStyle w:val="Lienhypertexte"/>
            <w:rFonts w:cstheme="minorHAnsi"/>
            <w:bCs/>
            <w:noProof/>
          </w:rPr>
          <w:t>Conventions et traités internationaux applicables au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_Toc144654186 \h </w:instrText>
        </w:r>
        <w:r w:rsidR="007243AA" w:rsidRPr="00E01239">
          <w:rPr>
            <w:noProof/>
            <w:webHidden/>
          </w:rPr>
        </w:r>
        <w:r w:rsidR="007243AA" w:rsidRPr="00E01239">
          <w:rPr>
            <w:noProof/>
            <w:webHidden/>
          </w:rPr>
          <w:fldChar w:fldCharType="separate"/>
        </w:r>
        <w:r w:rsidR="007243AA" w:rsidRPr="00E01239">
          <w:rPr>
            <w:noProof/>
            <w:webHidden/>
          </w:rPr>
          <w:t>28</w:t>
        </w:r>
        <w:r w:rsidR="007243AA" w:rsidRPr="00E01239">
          <w:rPr>
            <w:noProof/>
            <w:webHidden/>
          </w:rPr>
          <w:fldChar w:fldCharType="end"/>
        </w:r>
      </w:hyperlink>
    </w:p>
    <w:p w14:paraId="61147B99" w14:textId="4112443F"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87" w:history="1">
        <w:r w:rsidR="007243AA" w:rsidRPr="00E01239">
          <w:rPr>
            <w:rStyle w:val="Lienhypertexte"/>
            <w:rFonts w:cstheme="minorHAnsi"/>
            <w:noProof/>
          </w:rPr>
          <w:t>Tableau 7 : Cadre institutionnel de la gestion environnementale et sociale du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_Toc144654187 \h </w:instrText>
        </w:r>
        <w:r w:rsidR="007243AA" w:rsidRPr="00E01239">
          <w:rPr>
            <w:noProof/>
            <w:webHidden/>
          </w:rPr>
        </w:r>
        <w:r w:rsidR="007243AA" w:rsidRPr="00E01239">
          <w:rPr>
            <w:noProof/>
            <w:webHidden/>
          </w:rPr>
          <w:fldChar w:fldCharType="separate"/>
        </w:r>
        <w:r w:rsidR="007243AA" w:rsidRPr="00E01239">
          <w:rPr>
            <w:noProof/>
            <w:webHidden/>
          </w:rPr>
          <w:t>31</w:t>
        </w:r>
        <w:r w:rsidR="007243AA" w:rsidRPr="00E01239">
          <w:rPr>
            <w:noProof/>
            <w:webHidden/>
          </w:rPr>
          <w:fldChar w:fldCharType="end"/>
        </w:r>
      </w:hyperlink>
    </w:p>
    <w:p w14:paraId="69D67A04" w14:textId="0DDD98DF"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88" w:history="1">
        <w:r w:rsidR="007243AA" w:rsidRPr="00E01239">
          <w:rPr>
            <w:rStyle w:val="Lienhypertexte"/>
            <w:rFonts w:cstheme="minorHAnsi"/>
            <w:bCs/>
            <w:noProof/>
          </w:rPr>
          <w:t>Tableau 8:</w:t>
        </w:r>
        <w:r w:rsidR="007243AA" w:rsidRPr="00E01239">
          <w:rPr>
            <w:rStyle w:val="Lienhypertexte"/>
            <w:rFonts w:cstheme="minorHAnsi"/>
            <w:noProof/>
          </w:rPr>
          <w:t xml:space="preserve"> </w:t>
        </w:r>
        <w:r w:rsidR="007243AA" w:rsidRPr="00E01239">
          <w:rPr>
            <w:rStyle w:val="Lienhypertexte"/>
            <w:rFonts w:cstheme="minorHAnsi"/>
            <w:bCs/>
            <w:noProof/>
          </w:rPr>
          <w:t>Normes environnementales et Sociales de la Banque mondiale et pertinences pour le FSRP-SN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_Toc144654188 \h </w:instrText>
        </w:r>
        <w:r w:rsidR="007243AA" w:rsidRPr="00E01239">
          <w:rPr>
            <w:noProof/>
            <w:webHidden/>
          </w:rPr>
        </w:r>
        <w:r w:rsidR="007243AA" w:rsidRPr="00E01239">
          <w:rPr>
            <w:noProof/>
            <w:webHidden/>
          </w:rPr>
          <w:fldChar w:fldCharType="separate"/>
        </w:r>
        <w:r w:rsidR="007243AA" w:rsidRPr="00E01239">
          <w:rPr>
            <w:noProof/>
            <w:webHidden/>
          </w:rPr>
          <w:t>36</w:t>
        </w:r>
        <w:r w:rsidR="007243AA" w:rsidRPr="00E01239">
          <w:rPr>
            <w:noProof/>
            <w:webHidden/>
          </w:rPr>
          <w:fldChar w:fldCharType="end"/>
        </w:r>
      </w:hyperlink>
    </w:p>
    <w:p w14:paraId="6413D8B2" w14:textId="3715D042"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89" w:history="1">
        <w:r w:rsidR="007243AA" w:rsidRPr="00E01239">
          <w:rPr>
            <w:rStyle w:val="Lienhypertexte"/>
            <w:rFonts w:cstheme="minorHAnsi"/>
            <w:noProof/>
          </w:rPr>
          <w:t>Tableau 9 : Sensibilité des enjeux environnementaux et sociaux</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_Toc144654189 \h </w:instrText>
        </w:r>
        <w:r w:rsidR="007243AA" w:rsidRPr="00E01239">
          <w:rPr>
            <w:noProof/>
            <w:webHidden/>
          </w:rPr>
        </w:r>
        <w:r w:rsidR="007243AA" w:rsidRPr="00E01239">
          <w:rPr>
            <w:noProof/>
            <w:webHidden/>
          </w:rPr>
          <w:fldChar w:fldCharType="separate"/>
        </w:r>
        <w:r w:rsidR="007243AA" w:rsidRPr="00E01239">
          <w:rPr>
            <w:noProof/>
            <w:webHidden/>
          </w:rPr>
          <w:t>57</w:t>
        </w:r>
        <w:r w:rsidR="007243AA" w:rsidRPr="00E01239">
          <w:rPr>
            <w:noProof/>
            <w:webHidden/>
          </w:rPr>
          <w:fldChar w:fldCharType="end"/>
        </w:r>
      </w:hyperlink>
    </w:p>
    <w:p w14:paraId="686D1E6C" w14:textId="59110BEE"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0" w:history="1">
        <w:r w:rsidR="007243AA" w:rsidRPr="00E01239">
          <w:rPr>
            <w:rStyle w:val="Lienhypertexte"/>
            <w:rFonts w:cstheme="minorHAnsi"/>
            <w:noProof/>
          </w:rPr>
          <w:t>Tableau 10 : Activité du FRSP-SN, objet de l’analyse des alternatives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_Toc144654190 \h </w:instrText>
        </w:r>
        <w:r w:rsidR="007243AA" w:rsidRPr="00E01239">
          <w:rPr>
            <w:noProof/>
            <w:webHidden/>
          </w:rPr>
        </w:r>
        <w:r w:rsidR="007243AA" w:rsidRPr="00E01239">
          <w:rPr>
            <w:noProof/>
            <w:webHidden/>
          </w:rPr>
          <w:fldChar w:fldCharType="separate"/>
        </w:r>
        <w:r w:rsidR="007243AA" w:rsidRPr="00E01239">
          <w:rPr>
            <w:noProof/>
            <w:webHidden/>
          </w:rPr>
          <w:t>59</w:t>
        </w:r>
        <w:r w:rsidR="007243AA" w:rsidRPr="00E01239">
          <w:rPr>
            <w:noProof/>
            <w:webHidden/>
          </w:rPr>
          <w:fldChar w:fldCharType="end"/>
        </w:r>
      </w:hyperlink>
    </w:p>
    <w:p w14:paraId="3D34F571" w14:textId="69915E78"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1" w:history="1">
        <w:r w:rsidR="007243AA" w:rsidRPr="00E01239">
          <w:rPr>
            <w:rStyle w:val="Lienhypertexte"/>
            <w:rFonts w:cstheme="minorHAnsi"/>
            <w:noProof/>
            <w:lang w:bidi="fr-FR"/>
          </w:rPr>
          <w:t>Tableau 11: Matrice d’analyse relative à la composante « Aménagements Hydroagricoles »</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_Toc144654191 \h </w:instrText>
        </w:r>
        <w:r w:rsidR="007243AA" w:rsidRPr="00E01239">
          <w:rPr>
            <w:noProof/>
            <w:webHidden/>
          </w:rPr>
        </w:r>
        <w:r w:rsidR="007243AA" w:rsidRPr="00E01239">
          <w:rPr>
            <w:noProof/>
            <w:webHidden/>
          </w:rPr>
          <w:fldChar w:fldCharType="separate"/>
        </w:r>
        <w:r w:rsidR="007243AA" w:rsidRPr="00E01239">
          <w:rPr>
            <w:noProof/>
            <w:webHidden/>
          </w:rPr>
          <w:t>61</w:t>
        </w:r>
        <w:r w:rsidR="007243AA" w:rsidRPr="00E01239">
          <w:rPr>
            <w:noProof/>
            <w:webHidden/>
          </w:rPr>
          <w:fldChar w:fldCharType="end"/>
        </w:r>
      </w:hyperlink>
    </w:p>
    <w:p w14:paraId="33B8D295" w14:textId="61D0937A"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2" w:history="1">
        <w:r w:rsidR="007243AA" w:rsidRPr="00E01239">
          <w:rPr>
            <w:rStyle w:val="Lienhypertexte"/>
            <w:rFonts w:cstheme="minorHAnsi"/>
            <w:noProof/>
            <w:lang w:bidi="fr-FR"/>
          </w:rPr>
          <w:t>Tableau 12: Matrice d’analyse relative aux technologies de pompage pour l’irrigation des parcelles et le fonctionnement des mini-forages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_Toc144654192 \h </w:instrText>
        </w:r>
        <w:r w:rsidR="007243AA" w:rsidRPr="00E01239">
          <w:rPr>
            <w:noProof/>
            <w:webHidden/>
          </w:rPr>
        </w:r>
        <w:r w:rsidR="007243AA" w:rsidRPr="00E01239">
          <w:rPr>
            <w:noProof/>
            <w:webHidden/>
          </w:rPr>
          <w:fldChar w:fldCharType="separate"/>
        </w:r>
        <w:r w:rsidR="007243AA" w:rsidRPr="00E01239">
          <w:rPr>
            <w:noProof/>
            <w:webHidden/>
          </w:rPr>
          <w:t>64</w:t>
        </w:r>
        <w:r w:rsidR="007243AA" w:rsidRPr="00E01239">
          <w:rPr>
            <w:noProof/>
            <w:webHidden/>
          </w:rPr>
          <w:fldChar w:fldCharType="end"/>
        </w:r>
      </w:hyperlink>
    </w:p>
    <w:p w14:paraId="5473727F" w14:textId="0B48751B"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3" w:history="1">
        <w:r w:rsidR="007243AA" w:rsidRPr="00E01239">
          <w:rPr>
            <w:rStyle w:val="Lienhypertexte"/>
            <w:rFonts w:cstheme="minorHAnsi"/>
            <w:noProof/>
          </w:rPr>
          <w:t>Tableau 13: Analyse comparative des fertilisants chimiques et organiques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_Toc144654193 \h </w:instrText>
        </w:r>
        <w:r w:rsidR="007243AA" w:rsidRPr="00E01239">
          <w:rPr>
            <w:noProof/>
            <w:webHidden/>
          </w:rPr>
        </w:r>
        <w:r w:rsidR="007243AA" w:rsidRPr="00E01239">
          <w:rPr>
            <w:noProof/>
            <w:webHidden/>
          </w:rPr>
          <w:fldChar w:fldCharType="separate"/>
        </w:r>
        <w:r w:rsidR="007243AA" w:rsidRPr="00E01239">
          <w:rPr>
            <w:noProof/>
            <w:webHidden/>
          </w:rPr>
          <w:t>66</w:t>
        </w:r>
        <w:r w:rsidR="007243AA" w:rsidRPr="00E01239">
          <w:rPr>
            <w:noProof/>
            <w:webHidden/>
          </w:rPr>
          <w:fldChar w:fldCharType="end"/>
        </w:r>
      </w:hyperlink>
    </w:p>
    <w:p w14:paraId="6BFC6034" w14:textId="0F989B8B"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4" w:history="1">
        <w:r w:rsidR="007243AA" w:rsidRPr="00E01239">
          <w:rPr>
            <w:rStyle w:val="Lienhypertexte"/>
            <w:rFonts w:cstheme="minorHAnsi"/>
            <w:noProof/>
          </w:rPr>
          <w:t>Tableau 14 : Enjeux E&amp;S inhérents aux composantes et sous-composantes du FSRP-SN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_Toc144654194 \h </w:instrText>
        </w:r>
        <w:r w:rsidR="007243AA" w:rsidRPr="00E01239">
          <w:rPr>
            <w:noProof/>
            <w:webHidden/>
          </w:rPr>
        </w:r>
        <w:r w:rsidR="007243AA" w:rsidRPr="00E01239">
          <w:rPr>
            <w:noProof/>
            <w:webHidden/>
          </w:rPr>
          <w:fldChar w:fldCharType="separate"/>
        </w:r>
        <w:r w:rsidR="007243AA" w:rsidRPr="00E01239">
          <w:rPr>
            <w:noProof/>
            <w:webHidden/>
          </w:rPr>
          <w:t>68</w:t>
        </w:r>
        <w:r w:rsidR="007243AA" w:rsidRPr="00E01239">
          <w:rPr>
            <w:noProof/>
            <w:webHidden/>
          </w:rPr>
          <w:fldChar w:fldCharType="end"/>
        </w:r>
      </w:hyperlink>
    </w:p>
    <w:p w14:paraId="4C03A493" w14:textId="7EEFDD06"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5" w:history="1">
        <w:r w:rsidR="007243AA" w:rsidRPr="00E01239">
          <w:rPr>
            <w:rStyle w:val="Lienhypertexte"/>
            <w:rFonts w:cstheme="minorHAnsi"/>
            <w:noProof/>
          </w:rPr>
          <w:t>Tableau 15 : Principaux Impacts et/ou Opportunités induits par les activités du FSRP-SN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_Toc144654195 \h </w:instrText>
        </w:r>
        <w:r w:rsidR="007243AA" w:rsidRPr="00E01239">
          <w:rPr>
            <w:noProof/>
            <w:webHidden/>
          </w:rPr>
        </w:r>
        <w:r w:rsidR="007243AA" w:rsidRPr="00E01239">
          <w:rPr>
            <w:noProof/>
            <w:webHidden/>
          </w:rPr>
          <w:fldChar w:fldCharType="separate"/>
        </w:r>
        <w:r w:rsidR="007243AA" w:rsidRPr="00E01239">
          <w:rPr>
            <w:noProof/>
            <w:webHidden/>
          </w:rPr>
          <w:t>70</w:t>
        </w:r>
        <w:r w:rsidR="007243AA" w:rsidRPr="00E01239">
          <w:rPr>
            <w:noProof/>
            <w:webHidden/>
          </w:rPr>
          <w:fldChar w:fldCharType="end"/>
        </w:r>
      </w:hyperlink>
    </w:p>
    <w:p w14:paraId="42CD74A4" w14:textId="1F6B3B26"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6" w:history="1">
        <w:r w:rsidR="007243AA" w:rsidRPr="00E01239">
          <w:rPr>
            <w:rStyle w:val="Lienhypertexte"/>
            <w:rFonts w:cstheme="minorHAnsi"/>
            <w:noProof/>
          </w:rPr>
          <w:t>Tableau 16 : Principales Activités du FSRP-SN, sources d’impacts E&amp;S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_Toc144654196 \h </w:instrText>
        </w:r>
        <w:r w:rsidR="007243AA" w:rsidRPr="00E01239">
          <w:rPr>
            <w:noProof/>
            <w:webHidden/>
          </w:rPr>
        </w:r>
        <w:r w:rsidR="007243AA" w:rsidRPr="00E01239">
          <w:rPr>
            <w:noProof/>
            <w:webHidden/>
          </w:rPr>
          <w:fldChar w:fldCharType="separate"/>
        </w:r>
        <w:r w:rsidR="007243AA" w:rsidRPr="00E01239">
          <w:rPr>
            <w:noProof/>
            <w:webHidden/>
          </w:rPr>
          <w:t>72</w:t>
        </w:r>
        <w:r w:rsidR="007243AA" w:rsidRPr="00E01239">
          <w:rPr>
            <w:noProof/>
            <w:webHidden/>
          </w:rPr>
          <w:fldChar w:fldCharType="end"/>
        </w:r>
      </w:hyperlink>
    </w:p>
    <w:p w14:paraId="5F009E3A" w14:textId="08CC2594"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7" w:history="1">
        <w:r w:rsidR="007243AA" w:rsidRPr="00E01239">
          <w:rPr>
            <w:rStyle w:val="Lienhypertexte"/>
            <w:rFonts w:cstheme="minorHAnsi"/>
            <w:noProof/>
          </w:rPr>
          <w:t>Tableau 17 : Composition des déchets vétérinaires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_Toc144654197 \h </w:instrText>
        </w:r>
        <w:r w:rsidR="007243AA" w:rsidRPr="00E01239">
          <w:rPr>
            <w:noProof/>
            <w:webHidden/>
          </w:rPr>
        </w:r>
        <w:r w:rsidR="007243AA" w:rsidRPr="00E01239">
          <w:rPr>
            <w:noProof/>
            <w:webHidden/>
          </w:rPr>
          <w:fldChar w:fldCharType="separate"/>
        </w:r>
        <w:r w:rsidR="007243AA" w:rsidRPr="00E01239">
          <w:rPr>
            <w:noProof/>
            <w:webHidden/>
          </w:rPr>
          <w:t>86</w:t>
        </w:r>
        <w:r w:rsidR="007243AA" w:rsidRPr="00E01239">
          <w:rPr>
            <w:noProof/>
            <w:webHidden/>
          </w:rPr>
          <w:fldChar w:fldCharType="end"/>
        </w:r>
      </w:hyperlink>
    </w:p>
    <w:p w14:paraId="35C3116E" w14:textId="5FD01A09"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8" w:history="1">
        <w:r w:rsidR="007243AA" w:rsidRPr="00E01239">
          <w:rPr>
            <w:rStyle w:val="Lienhypertexte"/>
            <w:rFonts w:cstheme="minorHAnsi"/>
            <w:noProof/>
          </w:rPr>
          <w:t>Tableau 18: Mesures d’évitement, d’atténuation et de compensation des impacts négatifs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_Toc144654198 \h </w:instrText>
        </w:r>
        <w:r w:rsidR="007243AA" w:rsidRPr="00E01239">
          <w:rPr>
            <w:noProof/>
            <w:webHidden/>
          </w:rPr>
        </w:r>
        <w:r w:rsidR="007243AA" w:rsidRPr="00E01239">
          <w:rPr>
            <w:noProof/>
            <w:webHidden/>
          </w:rPr>
          <w:fldChar w:fldCharType="separate"/>
        </w:r>
        <w:r w:rsidR="007243AA" w:rsidRPr="00E01239">
          <w:rPr>
            <w:noProof/>
            <w:webHidden/>
          </w:rPr>
          <w:t>96</w:t>
        </w:r>
        <w:r w:rsidR="007243AA" w:rsidRPr="00E01239">
          <w:rPr>
            <w:noProof/>
            <w:webHidden/>
          </w:rPr>
          <w:fldChar w:fldCharType="end"/>
        </w:r>
      </w:hyperlink>
    </w:p>
    <w:p w14:paraId="17807431" w14:textId="5380B9DF"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199" w:history="1">
        <w:r w:rsidR="007243AA" w:rsidRPr="00E01239">
          <w:rPr>
            <w:rStyle w:val="Lienhypertexte"/>
            <w:rFonts w:eastAsia="Calibri" w:cstheme="minorHAnsi"/>
            <w:iCs/>
            <w:noProof/>
            <w:lang w:eastAsia="en-US"/>
          </w:rPr>
          <w:t>Tableau 19 : Calendrier des consultations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_Toc144654199 \h </w:instrText>
        </w:r>
        <w:r w:rsidR="007243AA" w:rsidRPr="00E01239">
          <w:rPr>
            <w:noProof/>
            <w:webHidden/>
          </w:rPr>
        </w:r>
        <w:r w:rsidR="007243AA" w:rsidRPr="00E01239">
          <w:rPr>
            <w:noProof/>
            <w:webHidden/>
          </w:rPr>
          <w:fldChar w:fldCharType="separate"/>
        </w:r>
        <w:r w:rsidR="007243AA" w:rsidRPr="00E01239">
          <w:rPr>
            <w:noProof/>
            <w:webHidden/>
          </w:rPr>
          <w:t>105</w:t>
        </w:r>
        <w:r w:rsidR="007243AA" w:rsidRPr="00E01239">
          <w:rPr>
            <w:noProof/>
            <w:webHidden/>
          </w:rPr>
          <w:fldChar w:fldCharType="end"/>
        </w:r>
      </w:hyperlink>
    </w:p>
    <w:p w14:paraId="35F63D5D" w14:textId="78C0319B"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0" w:history="1">
        <w:r w:rsidR="007243AA" w:rsidRPr="00E01239">
          <w:rPr>
            <w:rStyle w:val="Lienhypertexte"/>
            <w:rFonts w:eastAsia="Calibri" w:cstheme="minorHAnsi"/>
            <w:iCs/>
            <w:noProof/>
            <w:lang w:eastAsia="en-US"/>
          </w:rPr>
          <w:t>Tableau 20 : Liste des parties prenantes consultées dans la région de Tambacounda</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_Toc144654200 \h </w:instrText>
        </w:r>
        <w:r w:rsidR="007243AA" w:rsidRPr="00E01239">
          <w:rPr>
            <w:noProof/>
            <w:webHidden/>
          </w:rPr>
        </w:r>
        <w:r w:rsidR="007243AA" w:rsidRPr="00E01239">
          <w:rPr>
            <w:noProof/>
            <w:webHidden/>
          </w:rPr>
          <w:fldChar w:fldCharType="separate"/>
        </w:r>
        <w:r w:rsidR="007243AA" w:rsidRPr="00E01239">
          <w:rPr>
            <w:noProof/>
            <w:webHidden/>
          </w:rPr>
          <w:t>105</w:t>
        </w:r>
        <w:r w:rsidR="007243AA" w:rsidRPr="00E01239">
          <w:rPr>
            <w:noProof/>
            <w:webHidden/>
          </w:rPr>
          <w:fldChar w:fldCharType="end"/>
        </w:r>
      </w:hyperlink>
    </w:p>
    <w:p w14:paraId="429CF027" w14:textId="18AB8D57"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1" w:history="1">
        <w:r w:rsidR="007243AA" w:rsidRPr="00E01239">
          <w:rPr>
            <w:rStyle w:val="Lienhypertexte"/>
            <w:rFonts w:eastAsia="Calibri" w:cstheme="minorHAnsi"/>
            <w:iCs/>
            <w:noProof/>
            <w:lang w:eastAsia="en-US"/>
          </w:rPr>
          <w:t>Tableau 21 : Liste des parties prenantes consultées dans la région de Kaffrine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_Toc144654201 \h </w:instrText>
        </w:r>
        <w:r w:rsidR="007243AA" w:rsidRPr="00E01239">
          <w:rPr>
            <w:noProof/>
            <w:webHidden/>
          </w:rPr>
        </w:r>
        <w:r w:rsidR="007243AA" w:rsidRPr="00E01239">
          <w:rPr>
            <w:noProof/>
            <w:webHidden/>
          </w:rPr>
          <w:fldChar w:fldCharType="separate"/>
        </w:r>
        <w:r w:rsidR="007243AA" w:rsidRPr="00E01239">
          <w:rPr>
            <w:noProof/>
            <w:webHidden/>
          </w:rPr>
          <w:t>106</w:t>
        </w:r>
        <w:r w:rsidR="007243AA" w:rsidRPr="00E01239">
          <w:rPr>
            <w:noProof/>
            <w:webHidden/>
          </w:rPr>
          <w:fldChar w:fldCharType="end"/>
        </w:r>
      </w:hyperlink>
    </w:p>
    <w:p w14:paraId="19B5DA11" w14:textId="01E2D9E6"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2" w:history="1">
        <w:r w:rsidR="007243AA" w:rsidRPr="00E01239">
          <w:rPr>
            <w:rStyle w:val="Lienhypertexte"/>
            <w:rFonts w:eastAsia="Calibri" w:cstheme="minorHAnsi"/>
            <w:iCs/>
            <w:noProof/>
            <w:lang w:eastAsia="en-US"/>
          </w:rPr>
          <w:t>Tableau 22 : Liste des parties prenantes consultées dans la région de Thiès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_Toc144654202 \h </w:instrText>
        </w:r>
        <w:r w:rsidR="007243AA" w:rsidRPr="00E01239">
          <w:rPr>
            <w:noProof/>
            <w:webHidden/>
          </w:rPr>
        </w:r>
        <w:r w:rsidR="007243AA" w:rsidRPr="00E01239">
          <w:rPr>
            <w:noProof/>
            <w:webHidden/>
          </w:rPr>
          <w:fldChar w:fldCharType="separate"/>
        </w:r>
        <w:r w:rsidR="007243AA" w:rsidRPr="00E01239">
          <w:rPr>
            <w:noProof/>
            <w:webHidden/>
          </w:rPr>
          <w:t>107</w:t>
        </w:r>
        <w:r w:rsidR="007243AA" w:rsidRPr="00E01239">
          <w:rPr>
            <w:noProof/>
            <w:webHidden/>
          </w:rPr>
          <w:fldChar w:fldCharType="end"/>
        </w:r>
      </w:hyperlink>
    </w:p>
    <w:p w14:paraId="707B861B" w14:textId="5A05740A"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3" w:history="1">
        <w:r w:rsidR="007243AA" w:rsidRPr="00E01239">
          <w:rPr>
            <w:rStyle w:val="Lienhypertexte"/>
            <w:rFonts w:eastAsia="Calibri" w:cstheme="minorHAnsi"/>
            <w:iCs/>
            <w:noProof/>
            <w:lang w:eastAsia="en-US"/>
          </w:rPr>
          <w:t>Tableau 23 : Liste des parties prenantes consultées dans la région de Diourbel</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_Toc144654203 \h </w:instrText>
        </w:r>
        <w:r w:rsidR="007243AA" w:rsidRPr="00E01239">
          <w:rPr>
            <w:noProof/>
            <w:webHidden/>
          </w:rPr>
        </w:r>
        <w:r w:rsidR="007243AA" w:rsidRPr="00E01239">
          <w:rPr>
            <w:noProof/>
            <w:webHidden/>
          </w:rPr>
          <w:fldChar w:fldCharType="separate"/>
        </w:r>
        <w:r w:rsidR="007243AA" w:rsidRPr="00E01239">
          <w:rPr>
            <w:noProof/>
            <w:webHidden/>
          </w:rPr>
          <w:t>107</w:t>
        </w:r>
        <w:r w:rsidR="007243AA" w:rsidRPr="00E01239">
          <w:rPr>
            <w:noProof/>
            <w:webHidden/>
          </w:rPr>
          <w:fldChar w:fldCharType="end"/>
        </w:r>
      </w:hyperlink>
    </w:p>
    <w:p w14:paraId="4DD4A209" w14:textId="5417FE5E"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4" w:history="1">
        <w:r w:rsidR="007243AA" w:rsidRPr="00E01239">
          <w:rPr>
            <w:rStyle w:val="Lienhypertexte"/>
            <w:rFonts w:eastAsia="Calibri" w:cstheme="minorHAnsi"/>
            <w:iCs/>
            <w:noProof/>
            <w:lang w:eastAsia="en-US"/>
          </w:rPr>
          <w:t>Tableau 24 : Liste des parties prenantes consultées dans la région de Kaolack</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_Toc144654204 \h </w:instrText>
        </w:r>
        <w:r w:rsidR="007243AA" w:rsidRPr="00E01239">
          <w:rPr>
            <w:noProof/>
            <w:webHidden/>
          </w:rPr>
        </w:r>
        <w:r w:rsidR="007243AA" w:rsidRPr="00E01239">
          <w:rPr>
            <w:noProof/>
            <w:webHidden/>
          </w:rPr>
          <w:fldChar w:fldCharType="separate"/>
        </w:r>
        <w:r w:rsidR="007243AA" w:rsidRPr="00E01239">
          <w:rPr>
            <w:noProof/>
            <w:webHidden/>
          </w:rPr>
          <w:t>108</w:t>
        </w:r>
        <w:r w:rsidR="007243AA" w:rsidRPr="00E01239">
          <w:rPr>
            <w:noProof/>
            <w:webHidden/>
          </w:rPr>
          <w:fldChar w:fldCharType="end"/>
        </w:r>
      </w:hyperlink>
    </w:p>
    <w:p w14:paraId="71590038" w14:textId="31F78669"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5" w:history="1">
        <w:r w:rsidR="007243AA" w:rsidRPr="00E01239">
          <w:rPr>
            <w:rStyle w:val="Lienhypertexte"/>
            <w:rFonts w:eastAsia="Calibri" w:cstheme="minorHAnsi"/>
            <w:noProof/>
          </w:rPr>
          <w:t>Tableau 25</w:t>
        </w:r>
        <w:r w:rsidR="007243AA" w:rsidRPr="00E01239">
          <w:rPr>
            <w:rStyle w:val="Lienhypertexte"/>
            <w:rFonts w:cstheme="minorHAnsi"/>
            <w:noProof/>
          </w:rPr>
          <w:t> :</w:t>
        </w:r>
        <w:r w:rsidR="007243AA" w:rsidRPr="00E01239">
          <w:rPr>
            <w:rStyle w:val="Lienhypertexte"/>
            <w:rFonts w:eastAsia="Calibri" w:cstheme="minorHAnsi"/>
            <w:noProof/>
          </w:rPr>
          <w:t xml:space="preserve"> Liste des parties prenantes consultées dans la région de Louga</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_Toc144654205 \h </w:instrText>
        </w:r>
        <w:r w:rsidR="007243AA" w:rsidRPr="00E01239">
          <w:rPr>
            <w:noProof/>
            <w:webHidden/>
          </w:rPr>
        </w:r>
        <w:r w:rsidR="007243AA" w:rsidRPr="00E01239">
          <w:rPr>
            <w:noProof/>
            <w:webHidden/>
          </w:rPr>
          <w:fldChar w:fldCharType="separate"/>
        </w:r>
        <w:r w:rsidR="007243AA" w:rsidRPr="00E01239">
          <w:rPr>
            <w:noProof/>
            <w:webHidden/>
          </w:rPr>
          <w:t>108</w:t>
        </w:r>
        <w:r w:rsidR="007243AA" w:rsidRPr="00E01239">
          <w:rPr>
            <w:noProof/>
            <w:webHidden/>
          </w:rPr>
          <w:fldChar w:fldCharType="end"/>
        </w:r>
      </w:hyperlink>
    </w:p>
    <w:p w14:paraId="7E6A5316" w14:textId="26D92222"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6" w:history="1">
        <w:r w:rsidR="007243AA" w:rsidRPr="00E01239">
          <w:rPr>
            <w:rStyle w:val="Lienhypertexte"/>
            <w:rFonts w:eastAsia="Calibri" w:cstheme="minorHAnsi"/>
            <w:noProof/>
          </w:rPr>
          <w:t>Tableau 26 : Liste des parties prenantes consultées dans la région de Ziguinchor</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_Toc144654206 \h </w:instrText>
        </w:r>
        <w:r w:rsidR="007243AA" w:rsidRPr="00E01239">
          <w:rPr>
            <w:noProof/>
            <w:webHidden/>
          </w:rPr>
        </w:r>
        <w:r w:rsidR="007243AA" w:rsidRPr="00E01239">
          <w:rPr>
            <w:noProof/>
            <w:webHidden/>
          </w:rPr>
          <w:fldChar w:fldCharType="separate"/>
        </w:r>
        <w:r w:rsidR="007243AA" w:rsidRPr="00E01239">
          <w:rPr>
            <w:noProof/>
            <w:webHidden/>
          </w:rPr>
          <w:t>109</w:t>
        </w:r>
        <w:r w:rsidR="007243AA" w:rsidRPr="00E01239">
          <w:rPr>
            <w:noProof/>
            <w:webHidden/>
          </w:rPr>
          <w:fldChar w:fldCharType="end"/>
        </w:r>
      </w:hyperlink>
    </w:p>
    <w:p w14:paraId="50025ED0" w14:textId="44DBDF56"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7" w:history="1">
        <w:r w:rsidR="007243AA" w:rsidRPr="00E01239">
          <w:rPr>
            <w:rStyle w:val="Lienhypertexte"/>
            <w:rFonts w:eastAsia="Calibri" w:cstheme="minorHAnsi"/>
            <w:noProof/>
          </w:rPr>
          <w:t>Tableau 27 : Liste des parties prenantes consultées dans la région de Dakar</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_Toc144654207 \h </w:instrText>
        </w:r>
        <w:r w:rsidR="007243AA" w:rsidRPr="00E01239">
          <w:rPr>
            <w:noProof/>
            <w:webHidden/>
          </w:rPr>
        </w:r>
        <w:r w:rsidR="007243AA" w:rsidRPr="00E01239">
          <w:rPr>
            <w:noProof/>
            <w:webHidden/>
          </w:rPr>
          <w:fldChar w:fldCharType="separate"/>
        </w:r>
        <w:r w:rsidR="007243AA" w:rsidRPr="00E01239">
          <w:rPr>
            <w:noProof/>
            <w:webHidden/>
          </w:rPr>
          <w:t>109</w:t>
        </w:r>
        <w:r w:rsidR="007243AA" w:rsidRPr="00E01239">
          <w:rPr>
            <w:noProof/>
            <w:webHidden/>
          </w:rPr>
          <w:fldChar w:fldCharType="end"/>
        </w:r>
      </w:hyperlink>
    </w:p>
    <w:p w14:paraId="05FC3A17" w14:textId="0D7A17C0"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8" w:history="1">
        <w:r w:rsidR="007243AA" w:rsidRPr="00E01239">
          <w:rPr>
            <w:rStyle w:val="Lienhypertexte"/>
            <w:rFonts w:eastAsia="Calibri" w:cstheme="minorHAnsi"/>
            <w:iCs/>
            <w:noProof/>
            <w:lang w:eastAsia="en-US"/>
          </w:rPr>
          <w:t>Tableau 28 : Taux de couverture de la zone d’intervention du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_Toc144654208 \h </w:instrText>
        </w:r>
        <w:r w:rsidR="007243AA" w:rsidRPr="00E01239">
          <w:rPr>
            <w:noProof/>
            <w:webHidden/>
          </w:rPr>
        </w:r>
        <w:r w:rsidR="007243AA" w:rsidRPr="00E01239">
          <w:rPr>
            <w:noProof/>
            <w:webHidden/>
          </w:rPr>
          <w:fldChar w:fldCharType="separate"/>
        </w:r>
        <w:r w:rsidR="007243AA" w:rsidRPr="00E01239">
          <w:rPr>
            <w:noProof/>
            <w:webHidden/>
          </w:rPr>
          <w:t>110</w:t>
        </w:r>
        <w:r w:rsidR="007243AA" w:rsidRPr="00E01239">
          <w:rPr>
            <w:noProof/>
            <w:webHidden/>
          </w:rPr>
          <w:fldChar w:fldCharType="end"/>
        </w:r>
      </w:hyperlink>
    </w:p>
    <w:p w14:paraId="384D46BE" w14:textId="00ABD57D"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09" w:history="1">
        <w:r w:rsidR="007243AA" w:rsidRPr="00E01239">
          <w:rPr>
            <w:rStyle w:val="Lienhypertexte"/>
            <w:rFonts w:eastAsia="Calibri" w:cstheme="minorHAnsi"/>
            <w:iCs/>
            <w:noProof/>
            <w:lang w:eastAsia="en-US"/>
          </w:rPr>
          <w:t>Tableau 29 : Proportion de structures consultées par domaine d'activités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_Toc144654209 \h </w:instrText>
        </w:r>
        <w:r w:rsidR="007243AA" w:rsidRPr="00E01239">
          <w:rPr>
            <w:noProof/>
            <w:webHidden/>
          </w:rPr>
        </w:r>
        <w:r w:rsidR="007243AA" w:rsidRPr="00E01239">
          <w:rPr>
            <w:noProof/>
            <w:webHidden/>
          </w:rPr>
          <w:fldChar w:fldCharType="separate"/>
        </w:r>
        <w:r w:rsidR="007243AA" w:rsidRPr="00E01239">
          <w:rPr>
            <w:noProof/>
            <w:webHidden/>
          </w:rPr>
          <w:t>110</w:t>
        </w:r>
        <w:r w:rsidR="007243AA" w:rsidRPr="00E01239">
          <w:rPr>
            <w:noProof/>
            <w:webHidden/>
          </w:rPr>
          <w:fldChar w:fldCharType="end"/>
        </w:r>
      </w:hyperlink>
    </w:p>
    <w:p w14:paraId="079FBE52" w14:textId="6F71F99E"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0" w:history="1">
        <w:r w:rsidR="007243AA" w:rsidRPr="00E01239">
          <w:rPr>
            <w:rStyle w:val="Lienhypertexte"/>
            <w:rFonts w:eastAsia="Calibri" w:cstheme="minorHAnsi"/>
            <w:iCs/>
            <w:noProof/>
            <w:lang w:eastAsia="en-US"/>
          </w:rPr>
          <w:t>Tableau 30 : Proportions de personnes consultées par région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_Toc144654210 \h </w:instrText>
        </w:r>
        <w:r w:rsidR="007243AA" w:rsidRPr="00E01239">
          <w:rPr>
            <w:noProof/>
            <w:webHidden/>
          </w:rPr>
        </w:r>
        <w:r w:rsidR="007243AA" w:rsidRPr="00E01239">
          <w:rPr>
            <w:noProof/>
            <w:webHidden/>
          </w:rPr>
          <w:fldChar w:fldCharType="separate"/>
        </w:r>
        <w:r w:rsidR="007243AA" w:rsidRPr="00E01239">
          <w:rPr>
            <w:noProof/>
            <w:webHidden/>
          </w:rPr>
          <w:t>111</w:t>
        </w:r>
        <w:r w:rsidR="007243AA" w:rsidRPr="00E01239">
          <w:rPr>
            <w:noProof/>
            <w:webHidden/>
          </w:rPr>
          <w:fldChar w:fldCharType="end"/>
        </w:r>
      </w:hyperlink>
    </w:p>
    <w:p w14:paraId="1654F45B" w14:textId="51FE07BA"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1" w:history="1">
        <w:r w:rsidR="007243AA" w:rsidRPr="00E01239">
          <w:rPr>
            <w:rStyle w:val="Lienhypertexte"/>
            <w:rFonts w:eastAsia="Calibri" w:cstheme="minorHAnsi"/>
            <w:iCs/>
            <w:noProof/>
            <w:lang w:eastAsia="en-US"/>
          </w:rPr>
          <w:t>Tableau 31 : Proportion de personnes consultées par sexe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_Toc144654211 \h </w:instrText>
        </w:r>
        <w:r w:rsidR="007243AA" w:rsidRPr="00E01239">
          <w:rPr>
            <w:noProof/>
            <w:webHidden/>
          </w:rPr>
        </w:r>
        <w:r w:rsidR="007243AA" w:rsidRPr="00E01239">
          <w:rPr>
            <w:noProof/>
            <w:webHidden/>
          </w:rPr>
          <w:fldChar w:fldCharType="separate"/>
        </w:r>
        <w:r w:rsidR="007243AA" w:rsidRPr="00E01239">
          <w:rPr>
            <w:noProof/>
            <w:webHidden/>
          </w:rPr>
          <w:t>111</w:t>
        </w:r>
        <w:r w:rsidR="007243AA" w:rsidRPr="00E01239">
          <w:rPr>
            <w:noProof/>
            <w:webHidden/>
          </w:rPr>
          <w:fldChar w:fldCharType="end"/>
        </w:r>
      </w:hyperlink>
    </w:p>
    <w:p w14:paraId="542F131C" w14:textId="2C1E54BD"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2" w:history="1">
        <w:r w:rsidR="007243AA" w:rsidRPr="00E01239">
          <w:rPr>
            <w:rStyle w:val="Lienhypertexte"/>
            <w:rFonts w:eastAsia="Calibri" w:cstheme="minorHAnsi"/>
            <w:iCs/>
            <w:noProof/>
            <w:lang w:eastAsia="en-US"/>
          </w:rPr>
          <w:t>Tableau 32 : Proportion de personnes consultées par tranche d'âge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_Toc144654212 \h </w:instrText>
        </w:r>
        <w:r w:rsidR="007243AA" w:rsidRPr="00E01239">
          <w:rPr>
            <w:noProof/>
            <w:webHidden/>
          </w:rPr>
        </w:r>
        <w:r w:rsidR="007243AA" w:rsidRPr="00E01239">
          <w:rPr>
            <w:noProof/>
            <w:webHidden/>
          </w:rPr>
          <w:fldChar w:fldCharType="separate"/>
        </w:r>
        <w:r w:rsidR="007243AA" w:rsidRPr="00E01239">
          <w:rPr>
            <w:noProof/>
            <w:webHidden/>
          </w:rPr>
          <w:t>112</w:t>
        </w:r>
        <w:r w:rsidR="007243AA" w:rsidRPr="00E01239">
          <w:rPr>
            <w:noProof/>
            <w:webHidden/>
          </w:rPr>
          <w:fldChar w:fldCharType="end"/>
        </w:r>
      </w:hyperlink>
    </w:p>
    <w:p w14:paraId="2CFD0106" w14:textId="482EFEA8"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3" w:history="1">
        <w:r w:rsidR="007243AA" w:rsidRPr="00E01239">
          <w:rPr>
            <w:rStyle w:val="Lienhypertexte"/>
            <w:rFonts w:eastAsia="Calibri" w:cstheme="minorHAnsi"/>
            <w:iCs/>
            <w:noProof/>
            <w:lang w:eastAsia="en-US"/>
          </w:rPr>
          <w:t>Tableau 33 : Proportion de personnes consultées par tranche d'âge et par sexe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_Toc144654213 \h </w:instrText>
        </w:r>
        <w:r w:rsidR="007243AA" w:rsidRPr="00E01239">
          <w:rPr>
            <w:noProof/>
            <w:webHidden/>
          </w:rPr>
        </w:r>
        <w:r w:rsidR="007243AA" w:rsidRPr="00E01239">
          <w:rPr>
            <w:noProof/>
            <w:webHidden/>
          </w:rPr>
          <w:fldChar w:fldCharType="separate"/>
        </w:r>
        <w:r w:rsidR="007243AA" w:rsidRPr="00E01239">
          <w:rPr>
            <w:noProof/>
            <w:webHidden/>
          </w:rPr>
          <w:t>112</w:t>
        </w:r>
        <w:r w:rsidR="007243AA" w:rsidRPr="00E01239">
          <w:rPr>
            <w:noProof/>
            <w:webHidden/>
          </w:rPr>
          <w:fldChar w:fldCharType="end"/>
        </w:r>
      </w:hyperlink>
    </w:p>
    <w:p w14:paraId="011D1395" w14:textId="7D6A9763"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4" w:history="1">
        <w:r w:rsidR="007243AA" w:rsidRPr="00E01239">
          <w:rPr>
            <w:rStyle w:val="Lienhypertexte"/>
            <w:rFonts w:eastAsia="Calibri" w:cstheme="minorHAnsi"/>
            <w:iCs/>
            <w:noProof/>
            <w:lang w:eastAsia="en-US"/>
          </w:rPr>
          <w:t>Tableau 34 : Synthèse des principaux avis exprimés par les parties prenantes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_Toc144654214 \h </w:instrText>
        </w:r>
        <w:r w:rsidR="007243AA" w:rsidRPr="00E01239">
          <w:rPr>
            <w:noProof/>
            <w:webHidden/>
          </w:rPr>
        </w:r>
        <w:r w:rsidR="007243AA" w:rsidRPr="00E01239">
          <w:rPr>
            <w:noProof/>
            <w:webHidden/>
          </w:rPr>
          <w:fldChar w:fldCharType="separate"/>
        </w:r>
        <w:r w:rsidR="007243AA" w:rsidRPr="00E01239">
          <w:rPr>
            <w:noProof/>
            <w:webHidden/>
          </w:rPr>
          <w:t>114</w:t>
        </w:r>
        <w:r w:rsidR="007243AA" w:rsidRPr="00E01239">
          <w:rPr>
            <w:noProof/>
            <w:webHidden/>
          </w:rPr>
          <w:fldChar w:fldCharType="end"/>
        </w:r>
      </w:hyperlink>
    </w:p>
    <w:p w14:paraId="5384EAC8" w14:textId="68A1160E"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5" w:history="1">
        <w:r w:rsidR="007243AA" w:rsidRPr="00E01239">
          <w:rPr>
            <w:rStyle w:val="Lienhypertexte"/>
            <w:rFonts w:cstheme="minorHAnsi"/>
            <w:noProof/>
          </w:rPr>
          <w:t xml:space="preserve">Tableau 35 : </w:t>
        </w:r>
        <w:r w:rsidR="007243AA" w:rsidRPr="00E01239">
          <w:rPr>
            <w:rStyle w:val="Lienhypertexte"/>
            <w:rFonts w:cstheme="minorHAnsi"/>
            <w:bCs/>
            <w:noProof/>
          </w:rPr>
          <w:t>Programme de surveillance environnementale et sociale</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_Toc144654215 \h </w:instrText>
        </w:r>
        <w:r w:rsidR="007243AA" w:rsidRPr="00E01239">
          <w:rPr>
            <w:noProof/>
            <w:webHidden/>
          </w:rPr>
        </w:r>
        <w:r w:rsidR="007243AA" w:rsidRPr="00E01239">
          <w:rPr>
            <w:noProof/>
            <w:webHidden/>
          </w:rPr>
          <w:fldChar w:fldCharType="separate"/>
        </w:r>
        <w:r w:rsidR="007243AA" w:rsidRPr="00E01239">
          <w:rPr>
            <w:noProof/>
            <w:webHidden/>
          </w:rPr>
          <w:t>118</w:t>
        </w:r>
        <w:r w:rsidR="007243AA" w:rsidRPr="00E01239">
          <w:rPr>
            <w:noProof/>
            <w:webHidden/>
          </w:rPr>
          <w:fldChar w:fldCharType="end"/>
        </w:r>
      </w:hyperlink>
    </w:p>
    <w:p w14:paraId="2D2FE894" w14:textId="2A6CCA48"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6" w:history="1">
        <w:r w:rsidR="007243AA" w:rsidRPr="00E01239">
          <w:rPr>
            <w:rStyle w:val="Lienhypertexte"/>
            <w:rFonts w:cstheme="minorHAnsi"/>
            <w:noProof/>
          </w:rPr>
          <w:t xml:space="preserve">Tableau 36 : </w:t>
        </w:r>
        <w:r w:rsidR="007243AA" w:rsidRPr="00E01239">
          <w:rPr>
            <w:rStyle w:val="Lienhypertexte"/>
            <w:rFonts w:cstheme="minorHAnsi"/>
            <w:bCs/>
            <w:noProof/>
          </w:rPr>
          <w:t>Canevas de suivi et de surveillance environnementale et sociale du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_Toc144654216 \h </w:instrText>
        </w:r>
        <w:r w:rsidR="007243AA" w:rsidRPr="00E01239">
          <w:rPr>
            <w:noProof/>
            <w:webHidden/>
          </w:rPr>
        </w:r>
        <w:r w:rsidR="007243AA" w:rsidRPr="00E01239">
          <w:rPr>
            <w:noProof/>
            <w:webHidden/>
          </w:rPr>
          <w:fldChar w:fldCharType="separate"/>
        </w:r>
        <w:r w:rsidR="007243AA" w:rsidRPr="00E01239">
          <w:rPr>
            <w:noProof/>
            <w:webHidden/>
          </w:rPr>
          <w:t>120</w:t>
        </w:r>
        <w:r w:rsidR="007243AA" w:rsidRPr="00E01239">
          <w:rPr>
            <w:noProof/>
            <w:webHidden/>
          </w:rPr>
          <w:fldChar w:fldCharType="end"/>
        </w:r>
      </w:hyperlink>
    </w:p>
    <w:p w14:paraId="21FA469E" w14:textId="49153580"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7" w:history="1">
        <w:r w:rsidR="007243AA" w:rsidRPr="00E01239">
          <w:rPr>
            <w:rStyle w:val="Lienhypertexte"/>
            <w:rFonts w:cstheme="minorHAnsi"/>
            <w:noProof/>
          </w:rPr>
          <w:t>Tableau 37: Arrangements Institutionnels dans le cadre de la gestion environnementale et sociale du FSRP-SN</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_Toc144654217 \h </w:instrText>
        </w:r>
        <w:r w:rsidR="007243AA" w:rsidRPr="00E01239">
          <w:rPr>
            <w:noProof/>
            <w:webHidden/>
          </w:rPr>
        </w:r>
        <w:r w:rsidR="007243AA" w:rsidRPr="00E01239">
          <w:rPr>
            <w:noProof/>
            <w:webHidden/>
          </w:rPr>
          <w:fldChar w:fldCharType="separate"/>
        </w:r>
        <w:r w:rsidR="007243AA" w:rsidRPr="00E01239">
          <w:rPr>
            <w:noProof/>
            <w:webHidden/>
          </w:rPr>
          <w:t>126</w:t>
        </w:r>
        <w:r w:rsidR="007243AA" w:rsidRPr="00E01239">
          <w:rPr>
            <w:noProof/>
            <w:webHidden/>
          </w:rPr>
          <w:fldChar w:fldCharType="end"/>
        </w:r>
      </w:hyperlink>
    </w:p>
    <w:p w14:paraId="1973CE81" w14:textId="4E0A4561"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8" w:history="1">
        <w:r w:rsidR="007243AA" w:rsidRPr="00E01239">
          <w:rPr>
            <w:rStyle w:val="Lienhypertexte"/>
            <w:rFonts w:cstheme="minorHAnsi"/>
            <w:noProof/>
          </w:rPr>
          <w:t>Tableau 38: Synthèse des capacités de gestion environnementale et sociale des acteurs et mesures de renforcement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_Toc144654218 \h </w:instrText>
        </w:r>
        <w:r w:rsidR="007243AA" w:rsidRPr="00E01239">
          <w:rPr>
            <w:noProof/>
            <w:webHidden/>
          </w:rPr>
        </w:r>
        <w:r w:rsidR="007243AA" w:rsidRPr="00E01239">
          <w:rPr>
            <w:noProof/>
            <w:webHidden/>
          </w:rPr>
          <w:fldChar w:fldCharType="separate"/>
        </w:r>
        <w:r w:rsidR="007243AA" w:rsidRPr="00E01239">
          <w:rPr>
            <w:noProof/>
            <w:webHidden/>
          </w:rPr>
          <w:t>129</w:t>
        </w:r>
        <w:r w:rsidR="007243AA" w:rsidRPr="00E01239">
          <w:rPr>
            <w:noProof/>
            <w:webHidden/>
          </w:rPr>
          <w:fldChar w:fldCharType="end"/>
        </w:r>
      </w:hyperlink>
    </w:p>
    <w:p w14:paraId="0AC5D9B2" w14:textId="58AACC79"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19" w:history="1">
        <w:r w:rsidR="007243AA" w:rsidRPr="00E01239">
          <w:rPr>
            <w:rStyle w:val="Lienhypertexte"/>
            <w:rFonts w:cstheme="minorHAnsi"/>
            <w:noProof/>
          </w:rPr>
          <w:t>Tableau 39: Coûts de Mise en Œuvre du CGES</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_Toc144654219 \h </w:instrText>
        </w:r>
        <w:r w:rsidR="007243AA" w:rsidRPr="00E01239">
          <w:rPr>
            <w:noProof/>
            <w:webHidden/>
          </w:rPr>
        </w:r>
        <w:r w:rsidR="007243AA" w:rsidRPr="00E01239">
          <w:rPr>
            <w:noProof/>
            <w:webHidden/>
          </w:rPr>
          <w:fldChar w:fldCharType="separate"/>
        </w:r>
        <w:r w:rsidR="007243AA" w:rsidRPr="00E01239">
          <w:rPr>
            <w:noProof/>
            <w:webHidden/>
          </w:rPr>
          <w:t>131</w:t>
        </w:r>
        <w:r w:rsidR="007243AA" w:rsidRPr="00E01239">
          <w:rPr>
            <w:noProof/>
            <w:webHidden/>
          </w:rPr>
          <w:fldChar w:fldCharType="end"/>
        </w:r>
      </w:hyperlink>
    </w:p>
    <w:p w14:paraId="633D494B" w14:textId="7C7E1B15" w:rsidR="007243AA" w:rsidRPr="00E01239" w:rsidRDefault="00000000">
      <w:pPr>
        <w:pStyle w:val="Tabledesillustrations"/>
        <w:tabs>
          <w:tab w:val="right" w:leader="dot" w:pos="9061"/>
        </w:tabs>
        <w:rPr>
          <w:rFonts w:asciiTheme="minorHAnsi" w:eastAsiaTheme="minorEastAsia" w:hAnsiTheme="minorHAnsi" w:cstheme="minorBidi"/>
          <w:smallCaps w:val="0"/>
          <w:noProof/>
          <w:sz w:val="22"/>
          <w:szCs w:val="22"/>
        </w:rPr>
      </w:pPr>
      <w:hyperlink w:anchor="_Toc144654220" w:history="1">
        <w:r w:rsidR="007243AA" w:rsidRPr="00E01239">
          <w:rPr>
            <w:rStyle w:val="Lienhypertexte"/>
            <w:rFonts w:cstheme="minorHAnsi"/>
            <w:noProof/>
          </w:rPr>
          <w:t xml:space="preserve">Tableau 40 : </w:t>
        </w:r>
        <w:r w:rsidR="007243AA" w:rsidRPr="00E01239">
          <w:rPr>
            <w:rStyle w:val="Lienhypertexte"/>
            <w:rFonts w:cstheme="minorHAnsi"/>
            <w:bCs/>
            <w:noProof/>
          </w:rPr>
          <w:t>Calendrier de mise en œuvre de la gestion environnementale et sociale du projet</w:t>
        </w:r>
        <w:r w:rsidR="007243AA" w:rsidRPr="00E01239">
          <w:rPr>
            <w:noProof/>
            <w:webHidden/>
          </w:rPr>
          <w:tab/>
        </w:r>
        <w:r w:rsidR="007243AA" w:rsidRPr="00E01239">
          <w:rPr>
            <w:noProof/>
            <w:webHidden/>
          </w:rPr>
          <w:fldChar w:fldCharType="begin"/>
        </w:r>
        <w:r w:rsidR="007243AA" w:rsidRPr="00E01239">
          <w:rPr>
            <w:noProof/>
            <w:webHidden/>
          </w:rPr>
          <w:instrText xml:space="preserve"> PAGEREF _Toc144654220 \h </w:instrText>
        </w:r>
        <w:r w:rsidR="007243AA" w:rsidRPr="00E01239">
          <w:rPr>
            <w:noProof/>
            <w:webHidden/>
          </w:rPr>
        </w:r>
        <w:r w:rsidR="007243AA" w:rsidRPr="00E01239">
          <w:rPr>
            <w:noProof/>
            <w:webHidden/>
          </w:rPr>
          <w:fldChar w:fldCharType="separate"/>
        </w:r>
        <w:r w:rsidR="007243AA" w:rsidRPr="00E01239">
          <w:rPr>
            <w:noProof/>
            <w:webHidden/>
          </w:rPr>
          <w:t>132</w:t>
        </w:r>
        <w:r w:rsidR="007243AA" w:rsidRPr="00E01239">
          <w:rPr>
            <w:noProof/>
            <w:webHidden/>
          </w:rPr>
          <w:fldChar w:fldCharType="end"/>
        </w:r>
      </w:hyperlink>
    </w:p>
    <w:p w14:paraId="6D5E14ED" w14:textId="1B10A61D" w:rsidR="00962EC9" w:rsidRPr="00E01239" w:rsidRDefault="00FB2CB1" w:rsidP="0023759F">
      <w:pPr>
        <w:pStyle w:val="Style4"/>
        <w:tabs>
          <w:tab w:val="right" w:leader="dot" w:pos="9062"/>
        </w:tabs>
        <w:spacing w:before="60"/>
        <w:ind w:left="0" w:firstLine="0"/>
        <w:rPr>
          <w:rFonts w:asciiTheme="minorHAnsi" w:hAnsiTheme="minorHAnsi" w:cstheme="minorHAnsi"/>
          <w:smallCaps w:val="0"/>
          <w:sz w:val="22"/>
          <w:szCs w:val="22"/>
          <w:lang w:val="fr-FR"/>
        </w:rPr>
        <w:sectPr w:rsidR="00962EC9" w:rsidRPr="00E01239" w:rsidSect="002E7187">
          <w:pgSz w:w="11907" w:h="16840" w:code="9"/>
          <w:pgMar w:top="1418" w:right="1418" w:bottom="1418" w:left="1418" w:header="720" w:footer="720" w:gutter="0"/>
          <w:pgNumType w:fmt="lowerRoman"/>
          <w:cols w:space="60"/>
          <w:noEndnote/>
        </w:sectPr>
      </w:pPr>
      <w:r w:rsidRPr="00E01239">
        <w:rPr>
          <w:rFonts w:asciiTheme="minorHAnsi" w:hAnsiTheme="minorHAnsi" w:cstheme="minorHAnsi"/>
          <w:b w:val="0"/>
          <w:bCs w:val="0"/>
          <w:smallCaps w:val="0"/>
          <w:sz w:val="22"/>
          <w:szCs w:val="22"/>
          <w:lang w:val="fr-FR"/>
        </w:rPr>
        <w:fldChar w:fldCharType="end"/>
      </w:r>
    </w:p>
    <w:p w14:paraId="482E9726" w14:textId="77777777" w:rsidR="00D80D45" w:rsidRPr="00E01239" w:rsidRDefault="00D80D45" w:rsidP="009255F8">
      <w:pPr>
        <w:pStyle w:val="Titre1"/>
        <w:shd w:val="clear" w:color="auto" w:fill="002060"/>
        <w:spacing w:before="0"/>
        <w:ind w:right="-1"/>
        <w:jc w:val="center"/>
        <w:rPr>
          <w:rFonts w:asciiTheme="minorHAnsi" w:hAnsiTheme="minorHAnsi" w:cstheme="minorHAnsi"/>
          <w:color w:val="auto"/>
          <w:sz w:val="44"/>
          <w:szCs w:val="44"/>
          <w:lang w:eastAsia="x-none"/>
        </w:rPr>
      </w:pPr>
      <w:bookmarkStart w:id="13" w:name="_Toc70002885"/>
      <w:bookmarkStart w:id="14" w:name="_Toc130714050"/>
      <w:bookmarkStart w:id="15" w:name="_Toc142377662"/>
      <w:bookmarkStart w:id="16" w:name="_Toc144654046"/>
      <w:r w:rsidRPr="00E01239">
        <w:rPr>
          <w:rFonts w:asciiTheme="minorHAnsi" w:hAnsiTheme="minorHAnsi" w:cstheme="minorHAnsi"/>
          <w:color w:val="auto"/>
          <w:sz w:val="44"/>
          <w:szCs w:val="44"/>
          <w:lang w:eastAsia="x-none"/>
        </w:rPr>
        <w:lastRenderedPageBreak/>
        <w:t>LISTE DES FIGURES</w:t>
      </w:r>
      <w:bookmarkEnd w:id="12"/>
      <w:bookmarkEnd w:id="13"/>
      <w:bookmarkEnd w:id="14"/>
      <w:bookmarkEnd w:id="15"/>
      <w:bookmarkEnd w:id="16"/>
    </w:p>
    <w:p w14:paraId="3EFD78CC" w14:textId="4BBA0254" w:rsidR="000A0C7D" w:rsidRPr="00E01239" w:rsidRDefault="00FB2CB1">
      <w:pPr>
        <w:pStyle w:val="Tabledesillustrations"/>
        <w:tabs>
          <w:tab w:val="right" w:leader="dot" w:pos="9061"/>
        </w:tabs>
        <w:rPr>
          <w:rFonts w:asciiTheme="minorHAnsi" w:eastAsiaTheme="minorEastAsia" w:hAnsiTheme="minorHAnsi" w:cstheme="minorHAnsi"/>
          <w:smallCaps w:val="0"/>
          <w:noProof/>
          <w:sz w:val="22"/>
          <w:szCs w:val="22"/>
        </w:rPr>
      </w:pPr>
      <w:r w:rsidRPr="00E01239">
        <w:rPr>
          <w:rStyle w:val="Lienhypertexte"/>
          <w:rFonts w:asciiTheme="minorHAnsi" w:eastAsia="Calibri" w:hAnsiTheme="minorHAnsi" w:cstheme="minorHAnsi"/>
          <w:smallCaps w:val="0"/>
          <w:noProof/>
          <w:sz w:val="22"/>
          <w:szCs w:val="22"/>
        </w:rPr>
        <w:fldChar w:fldCharType="begin"/>
      </w:r>
      <w:r w:rsidRPr="00E01239">
        <w:rPr>
          <w:rStyle w:val="Lienhypertexte"/>
          <w:rFonts w:asciiTheme="minorHAnsi" w:eastAsia="Calibri" w:hAnsiTheme="minorHAnsi" w:cstheme="minorHAnsi"/>
          <w:smallCaps w:val="0"/>
          <w:noProof/>
          <w:sz w:val="22"/>
          <w:szCs w:val="22"/>
        </w:rPr>
        <w:instrText xml:space="preserve"> TOC \h \z \c "Figure" </w:instrText>
      </w:r>
      <w:r w:rsidRPr="00E01239">
        <w:rPr>
          <w:rStyle w:val="Lienhypertexte"/>
          <w:rFonts w:asciiTheme="minorHAnsi" w:eastAsia="Calibri" w:hAnsiTheme="minorHAnsi" w:cstheme="minorHAnsi"/>
          <w:smallCaps w:val="0"/>
          <w:noProof/>
          <w:sz w:val="22"/>
          <w:szCs w:val="22"/>
        </w:rPr>
        <w:fldChar w:fldCharType="separate"/>
      </w:r>
      <w:hyperlink w:anchor="_Toc142854041" w:history="1">
        <w:r w:rsidR="000A0C7D" w:rsidRPr="00E01239">
          <w:rPr>
            <w:rStyle w:val="Lienhypertexte"/>
            <w:rFonts w:asciiTheme="minorHAnsi" w:hAnsiTheme="minorHAnsi" w:cstheme="minorHAnsi"/>
            <w:noProof/>
          </w:rPr>
          <w:t>Figure 1 : Situation des zones d’intervention du FSRP-SN</w:t>
        </w:r>
        <w:r w:rsidR="000A0C7D" w:rsidRPr="00E01239">
          <w:rPr>
            <w:rFonts w:asciiTheme="minorHAnsi" w:hAnsiTheme="minorHAnsi" w:cstheme="minorHAnsi"/>
            <w:noProof/>
            <w:webHidden/>
          </w:rPr>
          <w:tab/>
        </w:r>
        <w:r w:rsidR="000A0C7D" w:rsidRPr="00E01239">
          <w:rPr>
            <w:rFonts w:asciiTheme="minorHAnsi" w:hAnsiTheme="minorHAnsi" w:cstheme="minorHAnsi"/>
            <w:noProof/>
            <w:webHidden/>
          </w:rPr>
          <w:fldChar w:fldCharType="begin"/>
        </w:r>
        <w:r w:rsidR="000A0C7D" w:rsidRPr="00E01239">
          <w:rPr>
            <w:rFonts w:asciiTheme="minorHAnsi" w:hAnsiTheme="minorHAnsi" w:cstheme="minorHAnsi"/>
            <w:noProof/>
            <w:webHidden/>
          </w:rPr>
          <w:instrText xml:space="preserve"> PAGEREF _Toc142854041 \h </w:instrText>
        </w:r>
        <w:r w:rsidR="000A0C7D" w:rsidRPr="00E01239">
          <w:rPr>
            <w:rFonts w:asciiTheme="minorHAnsi" w:hAnsiTheme="minorHAnsi" w:cstheme="minorHAnsi"/>
            <w:noProof/>
            <w:webHidden/>
          </w:rPr>
        </w:r>
        <w:r w:rsidR="000A0C7D" w:rsidRPr="00E01239">
          <w:rPr>
            <w:rFonts w:asciiTheme="minorHAnsi" w:hAnsiTheme="minorHAnsi" w:cstheme="minorHAnsi"/>
            <w:noProof/>
            <w:webHidden/>
          </w:rPr>
          <w:fldChar w:fldCharType="separate"/>
        </w:r>
        <w:r w:rsidR="007243AA" w:rsidRPr="00E01239">
          <w:rPr>
            <w:rFonts w:asciiTheme="minorHAnsi" w:hAnsiTheme="minorHAnsi" w:cstheme="minorHAnsi"/>
            <w:noProof/>
            <w:webHidden/>
          </w:rPr>
          <w:t>6</w:t>
        </w:r>
        <w:r w:rsidR="000A0C7D" w:rsidRPr="00E01239">
          <w:rPr>
            <w:rFonts w:asciiTheme="minorHAnsi" w:hAnsiTheme="minorHAnsi" w:cstheme="minorHAnsi"/>
            <w:noProof/>
            <w:webHidden/>
          </w:rPr>
          <w:fldChar w:fldCharType="end"/>
        </w:r>
      </w:hyperlink>
    </w:p>
    <w:p w14:paraId="1D0FF591" w14:textId="6029FE71" w:rsidR="000A0C7D" w:rsidRPr="00E01239" w:rsidRDefault="00000000">
      <w:pPr>
        <w:pStyle w:val="Tabledesillustrations"/>
        <w:tabs>
          <w:tab w:val="right" w:leader="dot" w:pos="9061"/>
        </w:tabs>
        <w:rPr>
          <w:rFonts w:asciiTheme="minorHAnsi" w:eastAsiaTheme="minorEastAsia" w:hAnsiTheme="minorHAnsi" w:cstheme="minorHAnsi"/>
          <w:smallCaps w:val="0"/>
          <w:noProof/>
          <w:sz w:val="22"/>
          <w:szCs w:val="22"/>
        </w:rPr>
      </w:pPr>
      <w:hyperlink w:anchor="_Toc142854042" w:history="1">
        <w:r w:rsidR="000A0C7D" w:rsidRPr="00E01239">
          <w:rPr>
            <w:rStyle w:val="Lienhypertexte"/>
            <w:rFonts w:asciiTheme="minorHAnsi" w:hAnsiTheme="minorHAnsi" w:cstheme="minorHAnsi"/>
            <w:noProof/>
          </w:rPr>
          <w:t>Figure 2 : Zones écogéographiques d’intervention du projet</w:t>
        </w:r>
        <w:r w:rsidR="000A0C7D" w:rsidRPr="00E01239">
          <w:rPr>
            <w:rFonts w:asciiTheme="minorHAnsi" w:hAnsiTheme="minorHAnsi" w:cstheme="minorHAnsi"/>
            <w:noProof/>
            <w:webHidden/>
          </w:rPr>
          <w:tab/>
        </w:r>
        <w:r w:rsidR="000A0C7D" w:rsidRPr="00E01239">
          <w:rPr>
            <w:rFonts w:asciiTheme="minorHAnsi" w:hAnsiTheme="minorHAnsi" w:cstheme="minorHAnsi"/>
            <w:noProof/>
            <w:webHidden/>
          </w:rPr>
          <w:fldChar w:fldCharType="begin"/>
        </w:r>
        <w:r w:rsidR="000A0C7D" w:rsidRPr="00E01239">
          <w:rPr>
            <w:rFonts w:asciiTheme="minorHAnsi" w:hAnsiTheme="minorHAnsi" w:cstheme="minorHAnsi"/>
            <w:noProof/>
            <w:webHidden/>
          </w:rPr>
          <w:instrText xml:space="preserve"> PAGEREF _Toc142854042 \h </w:instrText>
        </w:r>
        <w:r w:rsidR="000A0C7D" w:rsidRPr="00E01239">
          <w:rPr>
            <w:rFonts w:asciiTheme="minorHAnsi" w:hAnsiTheme="minorHAnsi" w:cstheme="minorHAnsi"/>
            <w:noProof/>
            <w:webHidden/>
          </w:rPr>
        </w:r>
        <w:r w:rsidR="000A0C7D" w:rsidRPr="00E01239">
          <w:rPr>
            <w:rFonts w:asciiTheme="minorHAnsi" w:hAnsiTheme="minorHAnsi" w:cstheme="minorHAnsi"/>
            <w:noProof/>
            <w:webHidden/>
          </w:rPr>
          <w:fldChar w:fldCharType="separate"/>
        </w:r>
        <w:r w:rsidR="007243AA" w:rsidRPr="00E01239">
          <w:rPr>
            <w:rFonts w:asciiTheme="minorHAnsi" w:hAnsiTheme="minorHAnsi" w:cstheme="minorHAnsi"/>
            <w:noProof/>
            <w:webHidden/>
          </w:rPr>
          <w:t>40</w:t>
        </w:r>
        <w:r w:rsidR="000A0C7D" w:rsidRPr="00E01239">
          <w:rPr>
            <w:rFonts w:asciiTheme="minorHAnsi" w:hAnsiTheme="minorHAnsi" w:cstheme="minorHAnsi"/>
            <w:noProof/>
            <w:webHidden/>
          </w:rPr>
          <w:fldChar w:fldCharType="end"/>
        </w:r>
      </w:hyperlink>
    </w:p>
    <w:p w14:paraId="084C6BC9" w14:textId="461310C3" w:rsidR="000A0C7D" w:rsidRPr="00E01239" w:rsidRDefault="00000000">
      <w:pPr>
        <w:pStyle w:val="Tabledesillustrations"/>
        <w:tabs>
          <w:tab w:val="right" w:leader="dot" w:pos="9061"/>
        </w:tabs>
        <w:rPr>
          <w:rFonts w:asciiTheme="minorHAnsi" w:eastAsiaTheme="minorEastAsia" w:hAnsiTheme="minorHAnsi" w:cstheme="minorHAnsi"/>
          <w:smallCaps w:val="0"/>
          <w:noProof/>
          <w:sz w:val="22"/>
          <w:szCs w:val="22"/>
        </w:rPr>
      </w:pPr>
      <w:hyperlink w:anchor="_Toc142854043" w:history="1">
        <w:r w:rsidR="000A0C7D" w:rsidRPr="00E01239">
          <w:rPr>
            <w:rStyle w:val="Lienhypertexte"/>
            <w:rFonts w:asciiTheme="minorHAnsi" w:hAnsiTheme="minorHAnsi" w:cstheme="minorHAnsi"/>
            <w:noProof/>
          </w:rPr>
          <w:t>Figure 3 : Moyennes pluviométriques par décennie (Source : CSE 2013)</w:t>
        </w:r>
        <w:r w:rsidR="000A0C7D" w:rsidRPr="00E01239">
          <w:rPr>
            <w:rFonts w:asciiTheme="minorHAnsi" w:hAnsiTheme="minorHAnsi" w:cstheme="minorHAnsi"/>
            <w:noProof/>
            <w:webHidden/>
          </w:rPr>
          <w:tab/>
        </w:r>
        <w:r w:rsidR="000A0C7D" w:rsidRPr="00E01239">
          <w:rPr>
            <w:rFonts w:asciiTheme="minorHAnsi" w:hAnsiTheme="minorHAnsi" w:cstheme="minorHAnsi"/>
            <w:noProof/>
            <w:webHidden/>
          </w:rPr>
          <w:fldChar w:fldCharType="begin"/>
        </w:r>
        <w:r w:rsidR="000A0C7D" w:rsidRPr="00E01239">
          <w:rPr>
            <w:rFonts w:asciiTheme="minorHAnsi" w:hAnsiTheme="minorHAnsi" w:cstheme="minorHAnsi"/>
            <w:noProof/>
            <w:webHidden/>
          </w:rPr>
          <w:instrText xml:space="preserve"> PAGEREF _Toc142854043 \h </w:instrText>
        </w:r>
        <w:r w:rsidR="000A0C7D" w:rsidRPr="00E01239">
          <w:rPr>
            <w:rFonts w:asciiTheme="minorHAnsi" w:hAnsiTheme="minorHAnsi" w:cstheme="minorHAnsi"/>
            <w:noProof/>
            <w:webHidden/>
          </w:rPr>
        </w:r>
        <w:r w:rsidR="000A0C7D" w:rsidRPr="00E01239">
          <w:rPr>
            <w:rFonts w:asciiTheme="minorHAnsi" w:hAnsiTheme="minorHAnsi" w:cstheme="minorHAnsi"/>
            <w:noProof/>
            <w:webHidden/>
          </w:rPr>
          <w:fldChar w:fldCharType="separate"/>
        </w:r>
        <w:r w:rsidR="007243AA" w:rsidRPr="00E01239">
          <w:rPr>
            <w:rFonts w:asciiTheme="minorHAnsi" w:hAnsiTheme="minorHAnsi" w:cstheme="minorHAnsi"/>
            <w:noProof/>
            <w:webHidden/>
          </w:rPr>
          <w:t>51</w:t>
        </w:r>
        <w:r w:rsidR="000A0C7D" w:rsidRPr="00E01239">
          <w:rPr>
            <w:rFonts w:asciiTheme="minorHAnsi" w:hAnsiTheme="minorHAnsi" w:cstheme="minorHAnsi"/>
            <w:noProof/>
            <w:webHidden/>
          </w:rPr>
          <w:fldChar w:fldCharType="end"/>
        </w:r>
      </w:hyperlink>
    </w:p>
    <w:p w14:paraId="76CFA2A8" w14:textId="6476EF44" w:rsidR="000A0C7D" w:rsidRPr="00E01239" w:rsidRDefault="00000000">
      <w:pPr>
        <w:pStyle w:val="Tabledesillustrations"/>
        <w:tabs>
          <w:tab w:val="right" w:leader="dot" w:pos="9061"/>
        </w:tabs>
        <w:rPr>
          <w:rFonts w:asciiTheme="minorHAnsi" w:eastAsiaTheme="minorEastAsia" w:hAnsiTheme="minorHAnsi" w:cstheme="minorHAnsi"/>
          <w:smallCaps w:val="0"/>
          <w:noProof/>
          <w:sz w:val="22"/>
          <w:szCs w:val="22"/>
        </w:rPr>
      </w:pPr>
      <w:hyperlink w:anchor="_Toc142854044" w:history="1">
        <w:r w:rsidR="000A0C7D" w:rsidRPr="00E01239">
          <w:rPr>
            <w:rStyle w:val="Lienhypertexte"/>
            <w:rFonts w:asciiTheme="minorHAnsi" w:hAnsiTheme="minorHAnsi" w:cstheme="minorHAnsi"/>
            <w:noProof/>
          </w:rPr>
          <w:t>Figure 4: Schéma de principe Système d'irrigation solaire</w:t>
        </w:r>
        <w:r w:rsidR="000A0C7D" w:rsidRPr="00E01239">
          <w:rPr>
            <w:rFonts w:asciiTheme="minorHAnsi" w:hAnsiTheme="minorHAnsi" w:cstheme="minorHAnsi"/>
            <w:noProof/>
            <w:webHidden/>
          </w:rPr>
          <w:tab/>
        </w:r>
        <w:r w:rsidR="000A0C7D" w:rsidRPr="00E01239">
          <w:rPr>
            <w:rFonts w:asciiTheme="minorHAnsi" w:hAnsiTheme="minorHAnsi" w:cstheme="minorHAnsi"/>
            <w:noProof/>
            <w:webHidden/>
          </w:rPr>
          <w:fldChar w:fldCharType="begin"/>
        </w:r>
        <w:r w:rsidR="000A0C7D" w:rsidRPr="00E01239">
          <w:rPr>
            <w:rFonts w:asciiTheme="minorHAnsi" w:hAnsiTheme="minorHAnsi" w:cstheme="minorHAnsi"/>
            <w:noProof/>
            <w:webHidden/>
          </w:rPr>
          <w:instrText xml:space="preserve"> PAGEREF _Toc142854044 \h </w:instrText>
        </w:r>
        <w:r w:rsidR="000A0C7D" w:rsidRPr="00E01239">
          <w:rPr>
            <w:rFonts w:asciiTheme="minorHAnsi" w:hAnsiTheme="minorHAnsi" w:cstheme="minorHAnsi"/>
            <w:noProof/>
            <w:webHidden/>
          </w:rPr>
        </w:r>
        <w:r w:rsidR="000A0C7D" w:rsidRPr="00E01239">
          <w:rPr>
            <w:rFonts w:asciiTheme="minorHAnsi" w:hAnsiTheme="minorHAnsi" w:cstheme="minorHAnsi"/>
            <w:noProof/>
            <w:webHidden/>
          </w:rPr>
          <w:fldChar w:fldCharType="separate"/>
        </w:r>
        <w:r w:rsidR="007243AA" w:rsidRPr="00E01239">
          <w:rPr>
            <w:rFonts w:asciiTheme="minorHAnsi" w:hAnsiTheme="minorHAnsi" w:cstheme="minorHAnsi"/>
            <w:noProof/>
            <w:webHidden/>
          </w:rPr>
          <w:t>64</w:t>
        </w:r>
        <w:r w:rsidR="000A0C7D" w:rsidRPr="00E01239">
          <w:rPr>
            <w:rFonts w:asciiTheme="minorHAnsi" w:hAnsiTheme="minorHAnsi" w:cstheme="minorHAnsi"/>
            <w:noProof/>
            <w:webHidden/>
          </w:rPr>
          <w:fldChar w:fldCharType="end"/>
        </w:r>
      </w:hyperlink>
    </w:p>
    <w:p w14:paraId="16A0006B" w14:textId="41C5E928" w:rsidR="000A0C7D" w:rsidRPr="00E01239" w:rsidRDefault="00000000">
      <w:pPr>
        <w:pStyle w:val="Tabledesillustrations"/>
        <w:tabs>
          <w:tab w:val="right" w:leader="dot" w:pos="9061"/>
        </w:tabs>
        <w:rPr>
          <w:rFonts w:asciiTheme="minorHAnsi" w:eastAsiaTheme="minorEastAsia" w:hAnsiTheme="minorHAnsi" w:cstheme="minorHAnsi"/>
          <w:smallCaps w:val="0"/>
          <w:noProof/>
          <w:sz w:val="22"/>
          <w:szCs w:val="22"/>
        </w:rPr>
      </w:pPr>
      <w:hyperlink w:anchor="_Toc142854045" w:history="1">
        <w:r w:rsidR="000A0C7D" w:rsidRPr="00E01239">
          <w:rPr>
            <w:rStyle w:val="Lienhypertexte"/>
            <w:rFonts w:asciiTheme="minorHAnsi" w:hAnsiTheme="minorHAnsi" w:cstheme="minorHAnsi"/>
            <w:noProof/>
          </w:rPr>
          <w:t>Figure 5 : Diagramme de la procédure standard de gestion environnementale et sociale des sous-projets</w:t>
        </w:r>
        <w:r w:rsidR="000A0C7D" w:rsidRPr="00E01239">
          <w:rPr>
            <w:rFonts w:asciiTheme="minorHAnsi" w:hAnsiTheme="minorHAnsi" w:cstheme="minorHAnsi"/>
            <w:noProof/>
            <w:webHidden/>
          </w:rPr>
          <w:tab/>
        </w:r>
        <w:r w:rsidR="000A0C7D" w:rsidRPr="00E01239">
          <w:rPr>
            <w:rFonts w:asciiTheme="minorHAnsi" w:hAnsiTheme="minorHAnsi" w:cstheme="minorHAnsi"/>
            <w:noProof/>
            <w:webHidden/>
          </w:rPr>
          <w:fldChar w:fldCharType="begin"/>
        </w:r>
        <w:r w:rsidR="000A0C7D" w:rsidRPr="00E01239">
          <w:rPr>
            <w:rFonts w:asciiTheme="minorHAnsi" w:hAnsiTheme="minorHAnsi" w:cstheme="minorHAnsi"/>
            <w:noProof/>
            <w:webHidden/>
          </w:rPr>
          <w:instrText xml:space="preserve"> PAGEREF _Toc142854045 \h </w:instrText>
        </w:r>
        <w:r w:rsidR="000A0C7D" w:rsidRPr="00E01239">
          <w:rPr>
            <w:rFonts w:asciiTheme="minorHAnsi" w:hAnsiTheme="minorHAnsi" w:cstheme="minorHAnsi"/>
            <w:noProof/>
            <w:webHidden/>
          </w:rPr>
        </w:r>
        <w:r w:rsidR="000A0C7D" w:rsidRPr="00E01239">
          <w:rPr>
            <w:rFonts w:asciiTheme="minorHAnsi" w:hAnsiTheme="minorHAnsi" w:cstheme="minorHAnsi"/>
            <w:noProof/>
            <w:webHidden/>
          </w:rPr>
          <w:fldChar w:fldCharType="separate"/>
        </w:r>
        <w:r w:rsidR="007243AA" w:rsidRPr="00E01239">
          <w:rPr>
            <w:rFonts w:asciiTheme="minorHAnsi" w:hAnsiTheme="minorHAnsi" w:cstheme="minorHAnsi"/>
            <w:noProof/>
            <w:webHidden/>
          </w:rPr>
          <w:t>94</w:t>
        </w:r>
        <w:r w:rsidR="000A0C7D" w:rsidRPr="00E01239">
          <w:rPr>
            <w:rFonts w:asciiTheme="minorHAnsi" w:hAnsiTheme="minorHAnsi" w:cstheme="minorHAnsi"/>
            <w:noProof/>
            <w:webHidden/>
          </w:rPr>
          <w:fldChar w:fldCharType="end"/>
        </w:r>
      </w:hyperlink>
    </w:p>
    <w:p w14:paraId="62A03695" w14:textId="133CC63E" w:rsidR="00A87E2E" w:rsidRPr="00E01239" w:rsidRDefault="00FB2CB1" w:rsidP="00A87E2E">
      <w:pPr>
        <w:pStyle w:val="Style4"/>
        <w:tabs>
          <w:tab w:val="right" w:leader="dot" w:pos="9205"/>
        </w:tabs>
        <w:spacing w:before="60"/>
        <w:ind w:left="482" w:hanging="482"/>
        <w:rPr>
          <w:rFonts w:asciiTheme="minorHAnsi" w:eastAsia="Calibri" w:hAnsiTheme="minorHAnsi" w:cstheme="minorHAnsi"/>
          <w:lang w:val="fr-FR"/>
        </w:rPr>
      </w:pPr>
      <w:r w:rsidRPr="00E01239">
        <w:rPr>
          <w:rStyle w:val="Lienhypertexte"/>
          <w:rFonts w:asciiTheme="minorHAnsi" w:eastAsia="Calibri" w:hAnsiTheme="minorHAnsi" w:cstheme="minorHAnsi"/>
          <w:smallCaps w:val="0"/>
          <w:noProof/>
          <w:sz w:val="22"/>
          <w:szCs w:val="22"/>
          <w:lang w:val="fr-FR"/>
        </w:rPr>
        <w:fldChar w:fldCharType="end"/>
      </w:r>
    </w:p>
    <w:p w14:paraId="4ED993EE" w14:textId="77777777" w:rsidR="00D80D45" w:rsidRPr="00E01239" w:rsidRDefault="00D80D45" w:rsidP="009255F8">
      <w:pPr>
        <w:pStyle w:val="Titre1"/>
        <w:shd w:val="clear" w:color="auto" w:fill="002060"/>
        <w:spacing w:before="0"/>
        <w:ind w:right="-1"/>
        <w:jc w:val="center"/>
        <w:rPr>
          <w:rFonts w:asciiTheme="minorHAnsi" w:hAnsiTheme="minorHAnsi" w:cstheme="minorHAnsi"/>
          <w:color w:val="auto"/>
          <w:sz w:val="44"/>
          <w:szCs w:val="44"/>
          <w:lang w:eastAsia="x-none"/>
        </w:rPr>
      </w:pPr>
      <w:bookmarkStart w:id="17" w:name="_Toc26504928"/>
      <w:bookmarkStart w:id="18" w:name="_Toc70002886"/>
      <w:bookmarkStart w:id="19" w:name="_Toc130714051"/>
      <w:bookmarkStart w:id="20" w:name="_Toc142377663"/>
      <w:bookmarkStart w:id="21" w:name="_Toc144654047"/>
      <w:r w:rsidRPr="00E01239">
        <w:rPr>
          <w:rFonts w:asciiTheme="minorHAnsi" w:hAnsiTheme="minorHAnsi" w:cstheme="minorHAnsi"/>
          <w:color w:val="auto"/>
          <w:sz w:val="44"/>
          <w:szCs w:val="44"/>
          <w:lang w:eastAsia="x-none"/>
        </w:rPr>
        <w:t>LISTE DES ANNEXES</w:t>
      </w:r>
      <w:bookmarkEnd w:id="17"/>
      <w:bookmarkEnd w:id="18"/>
      <w:bookmarkEnd w:id="19"/>
      <w:bookmarkEnd w:id="20"/>
      <w:bookmarkEnd w:id="21"/>
    </w:p>
    <w:bookmarkStart w:id="22" w:name="_Hlk9426642"/>
    <w:p w14:paraId="4EA703B7" w14:textId="608E7B1F" w:rsidR="000A0C7D" w:rsidRPr="00E01239" w:rsidRDefault="003543BD">
      <w:pPr>
        <w:pStyle w:val="Tabledesillustrations"/>
        <w:tabs>
          <w:tab w:val="right" w:leader="dot" w:pos="9061"/>
        </w:tabs>
        <w:rPr>
          <w:rFonts w:asciiTheme="minorHAnsi" w:eastAsiaTheme="minorEastAsia" w:hAnsiTheme="minorHAnsi" w:cstheme="minorHAnsi"/>
          <w:smallCaps w:val="0"/>
          <w:noProof/>
        </w:rPr>
      </w:pPr>
      <w:r w:rsidRPr="00E01239">
        <w:rPr>
          <w:rStyle w:val="Lienhypertexte"/>
          <w:rFonts w:asciiTheme="minorHAnsi" w:hAnsiTheme="minorHAnsi" w:cstheme="minorHAnsi"/>
          <w:smallCaps w:val="0"/>
          <w:noProof/>
          <w:sz w:val="22"/>
          <w:szCs w:val="22"/>
        </w:rPr>
        <w:fldChar w:fldCharType="begin"/>
      </w:r>
      <w:r w:rsidRPr="00E01239">
        <w:rPr>
          <w:rStyle w:val="Lienhypertexte"/>
          <w:rFonts w:asciiTheme="minorHAnsi" w:hAnsiTheme="minorHAnsi" w:cstheme="minorHAnsi"/>
          <w:smallCaps w:val="0"/>
          <w:noProof/>
          <w:sz w:val="22"/>
          <w:szCs w:val="22"/>
        </w:rPr>
        <w:instrText xml:space="preserve"> TOC \h \z \c "Annexe" </w:instrText>
      </w:r>
      <w:r w:rsidRPr="00E01239">
        <w:rPr>
          <w:rStyle w:val="Lienhypertexte"/>
          <w:rFonts w:asciiTheme="minorHAnsi" w:hAnsiTheme="minorHAnsi" w:cstheme="minorHAnsi"/>
          <w:smallCaps w:val="0"/>
          <w:noProof/>
          <w:sz w:val="22"/>
          <w:szCs w:val="22"/>
        </w:rPr>
        <w:fldChar w:fldCharType="separate"/>
      </w:r>
      <w:hyperlink w:anchor="_Toc142854046" w:history="1">
        <w:r w:rsidR="000A0C7D" w:rsidRPr="00E01239">
          <w:rPr>
            <w:rStyle w:val="Lienhypertexte"/>
            <w:rFonts w:asciiTheme="minorHAnsi" w:hAnsiTheme="minorHAnsi" w:cstheme="minorHAnsi"/>
            <w:caps/>
            <w:noProof/>
            <w:sz w:val="18"/>
            <w:szCs w:val="18"/>
          </w:rPr>
          <w:t>ANNEXE 1 : CODE DE BONNE CONDUITE</w:t>
        </w:r>
        <w:r w:rsidR="000A0C7D" w:rsidRPr="00E01239">
          <w:rPr>
            <w:rFonts w:asciiTheme="minorHAnsi" w:hAnsiTheme="minorHAnsi" w:cstheme="minorHAnsi"/>
            <w:noProof/>
            <w:webHidden/>
            <w:sz w:val="18"/>
            <w:szCs w:val="18"/>
          </w:rPr>
          <w:tab/>
        </w:r>
        <w:r w:rsidR="000A0C7D" w:rsidRPr="00E01239">
          <w:rPr>
            <w:rFonts w:asciiTheme="minorHAnsi" w:hAnsiTheme="minorHAnsi" w:cstheme="minorHAnsi"/>
            <w:noProof/>
            <w:webHidden/>
            <w:sz w:val="18"/>
            <w:szCs w:val="18"/>
          </w:rPr>
          <w:fldChar w:fldCharType="begin"/>
        </w:r>
        <w:r w:rsidR="000A0C7D" w:rsidRPr="00E01239">
          <w:rPr>
            <w:rFonts w:asciiTheme="minorHAnsi" w:hAnsiTheme="minorHAnsi" w:cstheme="minorHAnsi"/>
            <w:noProof/>
            <w:webHidden/>
            <w:sz w:val="18"/>
            <w:szCs w:val="18"/>
          </w:rPr>
          <w:instrText xml:space="preserve"> PAGEREF _Toc142854046 \h </w:instrText>
        </w:r>
        <w:r w:rsidR="000A0C7D" w:rsidRPr="00E01239">
          <w:rPr>
            <w:rFonts w:asciiTheme="minorHAnsi" w:hAnsiTheme="minorHAnsi" w:cstheme="minorHAnsi"/>
            <w:noProof/>
            <w:webHidden/>
            <w:sz w:val="18"/>
            <w:szCs w:val="18"/>
          </w:rPr>
        </w:r>
        <w:r w:rsidR="000A0C7D" w:rsidRPr="00E01239">
          <w:rPr>
            <w:rFonts w:asciiTheme="minorHAnsi" w:hAnsiTheme="minorHAnsi" w:cstheme="minorHAnsi"/>
            <w:noProof/>
            <w:webHidden/>
            <w:sz w:val="18"/>
            <w:szCs w:val="18"/>
          </w:rPr>
          <w:fldChar w:fldCharType="separate"/>
        </w:r>
        <w:r w:rsidR="007243AA" w:rsidRPr="00E01239">
          <w:rPr>
            <w:rFonts w:asciiTheme="minorHAnsi" w:hAnsiTheme="minorHAnsi" w:cstheme="minorHAnsi"/>
            <w:noProof/>
            <w:webHidden/>
            <w:sz w:val="18"/>
            <w:szCs w:val="18"/>
          </w:rPr>
          <w:t>136</w:t>
        </w:r>
        <w:r w:rsidR="000A0C7D" w:rsidRPr="00E01239">
          <w:rPr>
            <w:rFonts w:asciiTheme="minorHAnsi" w:hAnsiTheme="minorHAnsi" w:cstheme="minorHAnsi"/>
            <w:noProof/>
            <w:webHidden/>
            <w:sz w:val="18"/>
            <w:szCs w:val="18"/>
          </w:rPr>
          <w:fldChar w:fldCharType="end"/>
        </w:r>
      </w:hyperlink>
    </w:p>
    <w:p w14:paraId="78465FF0" w14:textId="55163B10" w:rsidR="000A0C7D" w:rsidRPr="00E01239" w:rsidRDefault="00000000">
      <w:pPr>
        <w:pStyle w:val="Tabledesillustrations"/>
        <w:tabs>
          <w:tab w:val="right" w:leader="dot" w:pos="9061"/>
        </w:tabs>
        <w:rPr>
          <w:rFonts w:asciiTheme="minorHAnsi" w:eastAsiaTheme="minorEastAsia" w:hAnsiTheme="minorHAnsi" w:cstheme="minorHAnsi"/>
          <w:smallCaps w:val="0"/>
          <w:noProof/>
        </w:rPr>
      </w:pPr>
      <w:hyperlink w:anchor="_Toc142854047" w:history="1">
        <w:r w:rsidR="000A0C7D" w:rsidRPr="00E01239">
          <w:rPr>
            <w:rStyle w:val="Lienhypertexte"/>
            <w:rFonts w:asciiTheme="minorHAnsi" w:hAnsiTheme="minorHAnsi" w:cstheme="minorHAnsi"/>
            <w:caps/>
            <w:noProof/>
            <w:sz w:val="18"/>
            <w:szCs w:val="18"/>
          </w:rPr>
          <w:t>ANNEXE 2 : PROCEDURE DE GESTION DU PATRIMOINE CULTUREL</w:t>
        </w:r>
        <w:r w:rsidR="000A0C7D" w:rsidRPr="00E01239">
          <w:rPr>
            <w:rFonts w:asciiTheme="minorHAnsi" w:hAnsiTheme="minorHAnsi" w:cstheme="minorHAnsi"/>
            <w:noProof/>
            <w:webHidden/>
            <w:sz w:val="18"/>
            <w:szCs w:val="18"/>
          </w:rPr>
          <w:tab/>
        </w:r>
        <w:r w:rsidR="000A0C7D" w:rsidRPr="00E01239">
          <w:rPr>
            <w:rFonts w:asciiTheme="minorHAnsi" w:hAnsiTheme="minorHAnsi" w:cstheme="minorHAnsi"/>
            <w:noProof/>
            <w:webHidden/>
            <w:sz w:val="18"/>
            <w:szCs w:val="18"/>
          </w:rPr>
          <w:fldChar w:fldCharType="begin"/>
        </w:r>
        <w:r w:rsidR="000A0C7D" w:rsidRPr="00E01239">
          <w:rPr>
            <w:rFonts w:asciiTheme="minorHAnsi" w:hAnsiTheme="minorHAnsi" w:cstheme="minorHAnsi"/>
            <w:noProof/>
            <w:webHidden/>
            <w:sz w:val="18"/>
            <w:szCs w:val="18"/>
          </w:rPr>
          <w:instrText xml:space="preserve"> PAGEREF _Toc142854047 \h </w:instrText>
        </w:r>
        <w:r w:rsidR="000A0C7D" w:rsidRPr="00E01239">
          <w:rPr>
            <w:rFonts w:asciiTheme="minorHAnsi" w:hAnsiTheme="minorHAnsi" w:cstheme="minorHAnsi"/>
            <w:noProof/>
            <w:webHidden/>
            <w:sz w:val="18"/>
            <w:szCs w:val="18"/>
          </w:rPr>
        </w:r>
        <w:r w:rsidR="000A0C7D" w:rsidRPr="00E01239">
          <w:rPr>
            <w:rFonts w:asciiTheme="minorHAnsi" w:hAnsiTheme="minorHAnsi" w:cstheme="minorHAnsi"/>
            <w:noProof/>
            <w:webHidden/>
            <w:sz w:val="18"/>
            <w:szCs w:val="18"/>
          </w:rPr>
          <w:fldChar w:fldCharType="separate"/>
        </w:r>
        <w:r w:rsidR="007243AA" w:rsidRPr="00E01239">
          <w:rPr>
            <w:rFonts w:asciiTheme="minorHAnsi" w:hAnsiTheme="minorHAnsi" w:cstheme="minorHAnsi"/>
            <w:noProof/>
            <w:webHidden/>
            <w:sz w:val="18"/>
            <w:szCs w:val="18"/>
          </w:rPr>
          <w:t>156</w:t>
        </w:r>
        <w:r w:rsidR="000A0C7D" w:rsidRPr="00E01239">
          <w:rPr>
            <w:rFonts w:asciiTheme="minorHAnsi" w:hAnsiTheme="minorHAnsi" w:cstheme="minorHAnsi"/>
            <w:noProof/>
            <w:webHidden/>
            <w:sz w:val="18"/>
            <w:szCs w:val="18"/>
          </w:rPr>
          <w:fldChar w:fldCharType="end"/>
        </w:r>
      </w:hyperlink>
    </w:p>
    <w:p w14:paraId="3EDB7FEF" w14:textId="50E4B6BE" w:rsidR="000A0C7D" w:rsidRPr="00E01239" w:rsidRDefault="00000000">
      <w:pPr>
        <w:pStyle w:val="Tabledesillustrations"/>
        <w:tabs>
          <w:tab w:val="right" w:leader="dot" w:pos="9061"/>
        </w:tabs>
        <w:rPr>
          <w:rFonts w:asciiTheme="minorHAnsi" w:eastAsiaTheme="minorEastAsia" w:hAnsiTheme="minorHAnsi" w:cstheme="minorHAnsi"/>
          <w:smallCaps w:val="0"/>
          <w:noProof/>
        </w:rPr>
      </w:pPr>
      <w:hyperlink w:anchor="_Toc142854048" w:history="1">
        <w:r w:rsidR="000A0C7D" w:rsidRPr="00E01239">
          <w:rPr>
            <w:rStyle w:val="Lienhypertexte"/>
            <w:rFonts w:asciiTheme="minorHAnsi" w:hAnsiTheme="minorHAnsi" w:cstheme="minorHAnsi"/>
            <w:caps/>
            <w:noProof/>
            <w:sz w:val="18"/>
            <w:szCs w:val="18"/>
          </w:rPr>
          <w:t>ANNEXE 3 : FORMULAIRE DE SELECTION ENVIRONNEMENTALE ET SOCIALE</w:t>
        </w:r>
        <w:r w:rsidR="000A0C7D" w:rsidRPr="00E01239">
          <w:rPr>
            <w:rFonts w:asciiTheme="minorHAnsi" w:hAnsiTheme="minorHAnsi" w:cstheme="minorHAnsi"/>
            <w:noProof/>
            <w:webHidden/>
            <w:sz w:val="18"/>
            <w:szCs w:val="18"/>
          </w:rPr>
          <w:tab/>
        </w:r>
        <w:r w:rsidR="000A0C7D" w:rsidRPr="00E01239">
          <w:rPr>
            <w:rFonts w:asciiTheme="minorHAnsi" w:hAnsiTheme="minorHAnsi" w:cstheme="minorHAnsi"/>
            <w:noProof/>
            <w:webHidden/>
            <w:sz w:val="18"/>
            <w:szCs w:val="18"/>
          </w:rPr>
          <w:fldChar w:fldCharType="begin"/>
        </w:r>
        <w:r w:rsidR="000A0C7D" w:rsidRPr="00E01239">
          <w:rPr>
            <w:rFonts w:asciiTheme="minorHAnsi" w:hAnsiTheme="minorHAnsi" w:cstheme="minorHAnsi"/>
            <w:noProof/>
            <w:webHidden/>
            <w:sz w:val="18"/>
            <w:szCs w:val="18"/>
          </w:rPr>
          <w:instrText xml:space="preserve"> PAGEREF _Toc142854048 \h </w:instrText>
        </w:r>
        <w:r w:rsidR="000A0C7D" w:rsidRPr="00E01239">
          <w:rPr>
            <w:rFonts w:asciiTheme="minorHAnsi" w:hAnsiTheme="minorHAnsi" w:cstheme="minorHAnsi"/>
            <w:noProof/>
            <w:webHidden/>
            <w:sz w:val="18"/>
            <w:szCs w:val="18"/>
          </w:rPr>
        </w:r>
        <w:r w:rsidR="000A0C7D" w:rsidRPr="00E01239">
          <w:rPr>
            <w:rFonts w:asciiTheme="minorHAnsi" w:hAnsiTheme="minorHAnsi" w:cstheme="minorHAnsi"/>
            <w:noProof/>
            <w:webHidden/>
            <w:sz w:val="18"/>
            <w:szCs w:val="18"/>
          </w:rPr>
          <w:fldChar w:fldCharType="separate"/>
        </w:r>
        <w:r w:rsidR="007243AA" w:rsidRPr="00E01239">
          <w:rPr>
            <w:rFonts w:asciiTheme="minorHAnsi" w:hAnsiTheme="minorHAnsi" w:cstheme="minorHAnsi"/>
            <w:noProof/>
            <w:webHidden/>
            <w:sz w:val="18"/>
            <w:szCs w:val="18"/>
          </w:rPr>
          <w:t>160</w:t>
        </w:r>
        <w:r w:rsidR="000A0C7D" w:rsidRPr="00E01239">
          <w:rPr>
            <w:rFonts w:asciiTheme="minorHAnsi" w:hAnsiTheme="minorHAnsi" w:cstheme="minorHAnsi"/>
            <w:noProof/>
            <w:webHidden/>
            <w:sz w:val="18"/>
            <w:szCs w:val="18"/>
          </w:rPr>
          <w:fldChar w:fldCharType="end"/>
        </w:r>
      </w:hyperlink>
    </w:p>
    <w:p w14:paraId="05C7D682" w14:textId="7143805F" w:rsidR="000A0C7D" w:rsidRPr="00E01239" w:rsidRDefault="00000000">
      <w:pPr>
        <w:pStyle w:val="Tabledesillustrations"/>
        <w:tabs>
          <w:tab w:val="right" w:leader="dot" w:pos="9061"/>
        </w:tabs>
        <w:rPr>
          <w:rFonts w:asciiTheme="minorHAnsi" w:eastAsiaTheme="minorEastAsia" w:hAnsiTheme="minorHAnsi" w:cstheme="minorHAnsi"/>
          <w:smallCaps w:val="0"/>
          <w:noProof/>
        </w:rPr>
      </w:pPr>
      <w:hyperlink w:anchor="_Toc142854049" w:history="1">
        <w:r w:rsidR="000A0C7D" w:rsidRPr="00E01239">
          <w:rPr>
            <w:rStyle w:val="Lienhypertexte"/>
            <w:rFonts w:asciiTheme="minorHAnsi" w:hAnsiTheme="minorHAnsi" w:cstheme="minorHAnsi"/>
            <w:caps/>
            <w:noProof/>
            <w:sz w:val="18"/>
            <w:szCs w:val="18"/>
          </w:rPr>
          <w:t>ANNEXE 4 : TERMES DE REFERENCE TYPE D’UNE ETUDE D’IMPACT ENVIRONNEMENTAL ET SOCIAL</w:t>
        </w:r>
        <w:r w:rsidR="000A0C7D" w:rsidRPr="00E01239">
          <w:rPr>
            <w:rFonts w:asciiTheme="minorHAnsi" w:hAnsiTheme="minorHAnsi" w:cstheme="minorHAnsi"/>
            <w:noProof/>
            <w:webHidden/>
            <w:sz w:val="18"/>
            <w:szCs w:val="18"/>
          </w:rPr>
          <w:tab/>
        </w:r>
        <w:r w:rsidR="000A0C7D" w:rsidRPr="00E01239">
          <w:rPr>
            <w:rFonts w:asciiTheme="minorHAnsi" w:hAnsiTheme="minorHAnsi" w:cstheme="minorHAnsi"/>
            <w:noProof/>
            <w:webHidden/>
            <w:sz w:val="18"/>
            <w:szCs w:val="18"/>
          </w:rPr>
          <w:fldChar w:fldCharType="begin"/>
        </w:r>
        <w:r w:rsidR="000A0C7D" w:rsidRPr="00E01239">
          <w:rPr>
            <w:rFonts w:asciiTheme="minorHAnsi" w:hAnsiTheme="minorHAnsi" w:cstheme="minorHAnsi"/>
            <w:noProof/>
            <w:webHidden/>
            <w:sz w:val="18"/>
            <w:szCs w:val="18"/>
          </w:rPr>
          <w:instrText xml:space="preserve"> PAGEREF _Toc142854049 \h </w:instrText>
        </w:r>
        <w:r w:rsidR="000A0C7D" w:rsidRPr="00E01239">
          <w:rPr>
            <w:rFonts w:asciiTheme="minorHAnsi" w:hAnsiTheme="minorHAnsi" w:cstheme="minorHAnsi"/>
            <w:noProof/>
            <w:webHidden/>
            <w:sz w:val="18"/>
            <w:szCs w:val="18"/>
          </w:rPr>
        </w:r>
        <w:r w:rsidR="000A0C7D" w:rsidRPr="00E01239">
          <w:rPr>
            <w:rFonts w:asciiTheme="minorHAnsi" w:hAnsiTheme="minorHAnsi" w:cstheme="minorHAnsi"/>
            <w:noProof/>
            <w:webHidden/>
            <w:sz w:val="18"/>
            <w:szCs w:val="18"/>
          </w:rPr>
          <w:fldChar w:fldCharType="separate"/>
        </w:r>
        <w:r w:rsidR="007243AA" w:rsidRPr="00E01239">
          <w:rPr>
            <w:rFonts w:asciiTheme="minorHAnsi" w:hAnsiTheme="minorHAnsi" w:cstheme="minorHAnsi"/>
            <w:noProof/>
            <w:webHidden/>
            <w:sz w:val="18"/>
            <w:szCs w:val="18"/>
          </w:rPr>
          <w:t>167</w:t>
        </w:r>
        <w:r w:rsidR="000A0C7D" w:rsidRPr="00E01239">
          <w:rPr>
            <w:rFonts w:asciiTheme="minorHAnsi" w:hAnsiTheme="minorHAnsi" w:cstheme="minorHAnsi"/>
            <w:noProof/>
            <w:webHidden/>
            <w:sz w:val="18"/>
            <w:szCs w:val="18"/>
          </w:rPr>
          <w:fldChar w:fldCharType="end"/>
        </w:r>
      </w:hyperlink>
    </w:p>
    <w:p w14:paraId="5E7CF52B" w14:textId="45A0A530" w:rsidR="000A0C7D" w:rsidRPr="00E01239" w:rsidRDefault="00000000">
      <w:pPr>
        <w:pStyle w:val="Tabledesillustrations"/>
        <w:tabs>
          <w:tab w:val="right" w:leader="dot" w:pos="9061"/>
        </w:tabs>
        <w:rPr>
          <w:rFonts w:asciiTheme="minorHAnsi" w:eastAsiaTheme="minorEastAsia" w:hAnsiTheme="minorHAnsi" w:cstheme="minorHAnsi"/>
          <w:smallCaps w:val="0"/>
          <w:noProof/>
        </w:rPr>
      </w:pPr>
      <w:hyperlink w:anchor="_Toc142854050" w:history="1">
        <w:r w:rsidR="000A0C7D" w:rsidRPr="00E01239">
          <w:rPr>
            <w:rStyle w:val="Lienhypertexte"/>
            <w:rFonts w:asciiTheme="minorHAnsi" w:hAnsiTheme="minorHAnsi" w:cstheme="minorHAnsi"/>
            <w:caps/>
            <w:noProof/>
            <w:sz w:val="18"/>
            <w:szCs w:val="18"/>
          </w:rPr>
          <w:t>ANNEXE 5 : CLAUSES ENVIRONNEMENTALES ET SOCIALES GENERIQUES</w:t>
        </w:r>
        <w:r w:rsidR="000A0C7D" w:rsidRPr="00E01239">
          <w:rPr>
            <w:rFonts w:asciiTheme="minorHAnsi" w:hAnsiTheme="minorHAnsi" w:cstheme="minorHAnsi"/>
            <w:noProof/>
            <w:webHidden/>
            <w:sz w:val="18"/>
            <w:szCs w:val="18"/>
          </w:rPr>
          <w:tab/>
        </w:r>
        <w:r w:rsidR="000A0C7D" w:rsidRPr="00E01239">
          <w:rPr>
            <w:rFonts w:asciiTheme="minorHAnsi" w:hAnsiTheme="minorHAnsi" w:cstheme="minorHAnsi"/>
            <w:noProof/>
            <w:webHidden/>
            <w:sz w:val="18"/>
            <w:szCs w:val="18"/>
          </w:rPr>
          <w:fldChar w:fldCharType="begin"/>
        </w:r>
        <w:r w:rsidR="000A0C7D" w:rsidRPr="00E01239">
          <w:rPr>
            <w:rFonts w:asciiTheme="minorHAnsi" w:hAnsiTheme="minorHAnsi" w:cstheme="minorHAnsi"/>
            <w:noProof/>
            <w:webHidden/>
            <w:sz w:val="18"/>
            <w:szCs w:val="18"/>
          </w:rPr>
          <w:instrText xml:space="preserve"> PAGEREF _Toc142854050 \h </w:instrText>
        </w:r>
        <w:r w:rsidR="000A0C7D" w:rsidRPr="00E01239">
          <w:rPr>
            <w:rFonts w:asciiTheme="minorHAnsi" w:hAnsiTheme="minorHAnsi" w:cstheme="minorHAnsi"/>
            <w:noProof/>
            <w:webHidden/>
            <w:sz w:val="18"/>
            <w:szCs w:val="18"/>
          </w:rPr>
        </w:r>
        <w:r w:rsidR="000A0C7D" w:rsidRPr="00E01239">
          <w:rPr>
            <w:rFonts w:asciiTheme="minorHAnsi" w:hAnsiTheme="minorHAnsi" w:cstheme="minorHAnsi"/>
            <w:noProof/>
            <w:webHidden/>
            <w:sz w:val="18"/>
            <w:szCs w:val="18"/>
          </w:rPr>
          <w:fldChar w:fldCharType="separate"/>
        </w:r>
        <w:r w:rsidR="007243AA" w:rsidRPr="00E01239">
          <w:rPr>
            <w:rFonts w:asciiTheme="minorHAnsi" w:hAnsiTheme="minorHAnsi" w:cstheme="minorHAnsi"/>
            <w:noProof/>
            <w:webHidden/>
            <w:sz w:val="18"/>
            <w:szCs w:val="18"/>
          </w:rPr>
          <w:t>171</w:t>
        </w:r>
        <w:r w:rsidR="000A0C7D" w:rsidRPr="00E01239">
          <w:rPr>
            <w:rFonts w:asciiTheme="minorHAnsi" w:hAnsiTheme="minorHAnsi" w:cstheme="minorHAnsi"/>
            <w:noProof/>
            <w:webHidden/>
            <w:sz w:val="18"/>
            <w:szCs w:val="18"/>
          </w:rPr>
          <w:fldChar w:fldCharType="end"/>
        </w:r>
      </w:hyperlink>
    </w:p>
    <w:p w14:paraId="7AD65872" w14:textId="3EEDF2D6" w:rsidR="000A0C7D" w:rsidRPr="00E01239" w:rsidRDefault="00000000">
      <w:pPr>
        <w:pStyle w:val="Tabledesillustrations"/>
        <w:tabs>
          <w:tab w:val="right" w:leader="dot" w:pos="9061"/>
        </w:tabs>
        <w:rPr>
          <w:rFonts w:asciiTheme="minorHAnsi" w:eastAsiaTheme="minorEastAsia" w:hAnsiTheme="minorHAnsi" w:cstheme="minorHAnsi"/>
          <w:smallCaps w:val="0"/>
          <w:noProof/>
        </w:rPr>
      </w:pPr>
      <w:hyperlink w:anchor="_Toc142854051" w:history="1">
        <w:r w:rsidR="000A0C7D" w:rsidRPr="00E01239">
          <w:rPr>
            <w:rStyle w:val="Lienhypertexte"/>
            <w:rFonts w:asciiTheme="minorHAnsi" w:hAnsiTheme="minorHAnsi" w:cstheme="minorHAnsi"/>
            <w:caps/>
            <w:noProof/>
            <w:sz w:val="18"/>
            <w:szCs w:val="18"/>
          </w:rPr>
          <w:t>ANNEXE 6 : TERMES DE REFERENCE DU CGES</w:t>
        </w:r>
        <w:r w:rsidR="000A0C7D" w:rsidRPr="00E01239">
          <w:rPr>
            <w:rFonts w:asciiTheme="minorHAnsi" w:hAnsiTheme="minorHAnsi" w:cstheme="minorHAnsi"/>
            <w:noProof/>
            <w:webHidden/>
            <w:sz w:val="18"/>
            <w:szCs w:val="18"/>
          </w:rPr>
          <w:tab/>
        </w:r>
        <w:r w:rsidR="000A0C7D" w:rsidRPr="00E01239">
          <w:rPr>
            <w:rFonts w:asciiTheme="minorHAnsi" w:hAnsiTheme="minorHAnsi" w:cstheme="minorHAnsi"/>
            <w:noProof/>
            <w:webHidden/>
            <w:sz w:val="18"/>
            <w:szCs w:val="18"/>
          </w:rPr>
          <w:fldChar w:fldCharType="begin"/>
        </w:r>
        <w:r w:rsidR="000A0C7D" w:rsidRPr="00E01239">
          <w:rPr>
            <w:rFonts w:asciiTheme="minorHAnsi" w:hAnsiTheme="minorHAnsi" w:cstheme="minorHAnsi"/>
            <w:noProof/>
            <w:webHidden/>
            <w:sz w:val="18"/>
            <w:szCs w:val="18"/>
          </w:rPr>
          <w:instrText xml:space="preserve"> PAGEREF _Toc142854051 \h </w:instrText>
        </w:r>
        <w:r w:rsidR="000A0C7D" w:rsidRPr="00E01239">
          <w:rPr>
            <w:rFonts w:asciiTheme="minorHAnsi" w:hAnsiTheme="minorHAnsi" w:cstheme="minorHAnsi"/>
            <w:noProof/>
            <w:webHidden/>
            <w:sz w:val="18"/>
            <w:szCs w:val="18"/>
          </w:rPr>
        </w:r>
        <w:r w:rsidR="000A0C7D" w:rsidRPr="00E01239">
          <w:rPr>
            <w:rFonts w:asciiTheme="minorHAnsi" w:hAnsiTheme="minorHAnsi" w:cstheme="minorHAnsi"/>
            <w:noProof/>
            <w:webHidden/>
            <w:sz w:val="18"/>
            <w:szCs w:val="18"/>
          </w:rPr>
          <w:fldChar w:fldCharType="separate"/>
        </w:r>
        <w:r w:rsidR="007243AA" w:rsidRPr="00E01239">
          <w:rPr>
            <w:rFonts w:asciiTheme="minorHAnsi" w:hAnsiTheme="minorHAnsi" w:cstheme="minorHAnsi"/>
            <w:noProof/>
            <w:webHidden/>
            <w:sz w:val="18"/>
            <w:szCs w:val="18"/>
          </w:rPr>
          <w:t>190</w:t>
        </w:r>
        <w:r w:rsidR="000A0C7D" w:rsidRPr="00E01239">
          <w:rPr>
            <w:rFonts w:asciiTheme="minorHAnsi" w:hAnsiTheme="minorHAnsi" w:cstheme="minorHAnsi"/>
            <w:noProof/>
            <w:webHidden/>
            <w:sz w:val="18"/>
            <w:szCs w:val="18"/>
          </w:rPr>
          <w:fldChar w:fldCharType="end"/>
        </w:r>
      </w:hyperlink>
    </w:p>
    <w:p w14:paraId="0C0C07DA" w14:textId="4989D1C2" w:rsidR="000A0C7D" w:rsidRPr="00E01239" w:rsidRDefault="00000000">
      <w:pPr>
        <w:pStyle w:val="Tabledesillustrations"/>
        <w:tabs>
          <w:tab w:val="right" w:leader="dot" w:pos="9061"/>
        </w:tabs>
        <w:rPr>
          <w:rFonts w:asciiTheme="minorHAnsi" w:eastAsiaTheme="minorEastAsia" w:hAnsiTheme="minorHAnsi" w:cstheme="minorHAnsi"/>
          <w:smallCaps w:val="0"/>
          <w:noProof/>
          <w:sz w:val="22"/>
          <w:szCs w:val="22"/>
        </w:rPr>
      </w:pPr>
      <w:hyperlink w:anchor="_Toc142854052" w:history="1">
        <w:r w:rsidR="000A0C7D" w:rsidRPr="00E01239">
          <w:rPr>
            <w:rStyle w:val="Lienhypertexte"/>
            <w:rFonts w:asciiTheme="minorHAnsi" w:hAnsiTheme="minorHAnsi" w:cstheme="minorHAnsi"/>
            <w:caps/>
            <w:noProof/>
            <w:sz w:val="18"/>
            <w:szCs w:val="18"/>
          </w:rPr>
          <w:t>ANNEXE 7 : PROCES VERBAUX, COMPTES RENDUS ET LISTE DE PRESENCE DES CONSULTATIONS DES PARTIES PRENANTES</w:t>
        </w:r>
        <w:r w:rsidR="000A0C7D" w:rsidRPr="00E01239">
          <w:rPr>
            <w:rFonts w:asciiTheme="minorHAnsi" w:hAnsiTheme="minorHAnsi" w:cstheme="minorHAnsi"/>
            <w:noProof/>
            <w:webHidden/>
            <w:sz w:val="18"/>
            <w:szCs w:val="18"/>
          </w:rPr>
          <w:tab/>
        </w:r>
        <w:r w:rsidR="000A0C7D" w:rsidRPr="00E01239">
          <w:rPr>
            <w:rFonts w:asciiTheme="minorHAnsi" w:hAnsiTheme="minorHAnsi" w:cstheme="minorHAnsi"/>
            <w:noProof/>
            <w:webHidden/>
            <w:sz w:val="18"/>
            <w:szCs w:val="18"/>
          </w:rPr>
          <w:fldChar w:fldCharType="begin"/>
        </w:r>
        <w:r w:rsidR="000A0C7D" w:rsidRPr="00E01239">
          <w:rPr>
            <w:rFonts w:asciiTheme="minorHAnsi" w:hAnsiTheme="minorHAnsi" w:cstheme="minorHAnsi"/>
            <w:noProof/>
            <w:webHidden/>
            <w:sz w:val="18"/>
            <w:szCs w:val="18"/>
          </w:rPr>
          <w:instrText xml:space="preserve"> PAGEREF _Toc142854052 \h </w:instrText>
        </w:r>
        <w:r w:rsidR="000A0C7D" w:rsidRPr="00E01239">
          <w:rPr>
            <w:rFonts w:asciiTheme="minorHAnsi" w:hAnsiTheme="minorHAnsi" w:cstheme="minorHAnsi"/>
            <w:noProof/>
            <w:webHidden/>
            <w:sz w:val="18"/>
            <w:szCs w:val="18"/>
          </w:rPr>
        </w:r>
        <w:r w:rsidR="000A0C7D" w:rsidRPr="00E01239">
          <w:rPr>
            <w:rFonts w:asciiTheme="minorHAnsi" w:hAnsiTheme="minorHAnsi" w:cstheme="minorHAnsi"/>
            <w:noProof/>
            <w:webHidden/>
            <w:sz w:val="18"/>
            <w:szCs w:val="18"/>
          </w:rPr>
          <w:fldChar w:fldCharType="separate"/>
        </w:r>
        <w:r w:rsidR="007243AA" w:rsidRPr="00E01239">
          <w:rPr>
            <w:rFonts w:asciiTheme="minorHAnsi" w:hAnsiTheme="minorHAnsi" w:cstheme="minorHAnsi"/>
            <w:noProof/>
            <w:webHidden/>
            <w:sz w:val="18"/>
            <w:szCs w:val="18"/>
          </w:rPr>
          <w:t>192</w:t>
        </w:r>
        <w:r w:rsidR="000A0C7D" w:rsidRPr="00E01239">
          <w:rPr>
            <w:rFonts w:asciiTheme="minorHAnsi" w:hAnsiTheme="minorHAnsi" w:cstheme="minorHAnsi"/>
            <w:noProof/>
            <w:webHidden/>
            <w:sz w:val="18"/>
            <w:szCs w:val="18"/>
          </w:rPr>
          <w:fldChar w:fldCharType="end"/>
        </w:r>
      </w:hyperlink>
    </w:p>
    <w:p w14:paraId="1DB9651A" w14:textId="4495E22E" w:rsidR="003543BD" w:rsidRPr="00E01239" w:rsidRDefault="003543BD" w:rsidP="0023759F">
      <w:pPr>
        <w:pStyle w:val="Style4"/>
        <w:tabs>
          <w:tab w:val="right" w:leader="dot" w:pos="9063"/>
        </w:tabs>
        <w:spacing w:before="60" w:line="360" w:lineRule="exact"/>
        <w:rPr>
          <w:rFonts w:asciiTheme="minorHAnsi" w:hAnsiTheme="minorHAnsi" w:cstheme="minorHAnsi"/>
          <w:sz w:val="22"/>
          <w:szCs w:val="22"/>
          <w:lang w:val="fr-FR"/>
        </w:rPr>
      </w:pPr>
      <w:r w:rsidRPr="00E01239">
        <w:rPr>
          <w:rStyle w:val="Lienhypertexte"/>
          <w:rFonts w:asciiTheme="minorHAnsi" w:hAnsiTheme="minorHAnsi" w:cstheme="minorHAnsi"/>
          <w:smallCaps w:val="0"/>
          <w:noProof/>
          <w:sz w:val="22"/>
          <w:szCs w:val="22"/>
          <w:lang w:val="fr-FR"/>
        </w:rPr>
        <w:fldChar w:fldCharType="end"/>
      </w:r>
      <w:bookmarkEnd w:id="22"/>
    </w:p>
    <w:p w14:paraId="6C686651" w14:textId="77777777" w:rsidR="00B940D4" w:rsidRPr="00E01239" w:rsidRDefault="00B940D4">
      <w:pPr>
        <w:rPr>
          <w:rFonts w:asciiTheme="minorHAnsi" w:hAnsiTheme="minorHAnsi" w:cstheme="minorHAnsi"/>
          <w:sz w:val="22"/>
          <w:szCs w:val="22"/>
        </w:rPr>
      </w:pPr>
      <w:r w:rsidRPr="00E01239">
        <w:rPr>
          <w:rFonts w:asciiTheme="minorHAnsi" w:hAnsiTheme="minorHAnsi" w:cstheme="minorHAnsi"/>
          <w:sz w:val="22"/>
          <w:szCs w:val="22"/>
        </w:rPr>
        <w:br w:type="page"/>
      </w:r>
    </w:p>
    <w:p w14:paraId="7C2A2363" w14:textId="77777777" w:rsidR="00FD50E2" w:rsidRPr="00E01239" w:rsidRDefault="00B940D4" w:rsidP="009255F8">
      <w:pPr>
        <w:pStyle w:val="Titre1"/>
        <w:shd w:val="clear" w:color="auto" w:fill="002060"/>
        <w:spacing w:before="0"/>
        <w:ind w:right="-1"/>
        <w:jc w:val="center"/>
        <w:rPr>
          <w:rFonts w:asciiTheme="minorHAnsi" w:hAnsiTheme="minorHAnsi" w:cstheme="minorHAnsi"/>
          <w:color w:val="auto"/>
          <w:sz w:val="44"/>
          <w:szCs w:val="44"/>
          <w:lang w:eastAsia="x-none"/>
        </w:rPr>
      </w:pPr>
      <w:bookmarkStart w:id="23" w:name="_Toc70002887"/>
      <w:bookmarkStart w:id="24" w:name="_Toc130714052"/>
      <w:bookmarkStart w:id="25" w:name="_Toc142377664"/>
      <w:bookmarkStart w:id="26" w:name="_Toc144654048"/>
      <w:bookmarkStart w:id="27" w:name="_Toc26504929"/>
      <w:bookmarkStart w:id="28" w:name="_Hlk9430369"/>
      <w:bookmarkStart w:id="29" w:name="_Hlk1771739"/>
      <w:bookmarkStart w:id="30" w:name="_Hlk9329671"/>
      <w:r w:rsidRPr="00E01239">
        <w:rPr>
          <w:rFonts w:asciiTheme="minorHAnsi" w:hAnsiTheme="minorHAnsi" w:cstheme="minorHAnsi"/>
          <w:color w:val="auto"/>
          <w:sz w:val="44"/>
          <w:szCs w:val="44"/>
          <w:lang w:eastAsia="x-none"/>
        </w:rPr>
        <w:lastRenderedPageBreak/>
        <w:t>SIGLES ET ACRONYMES</w:t>
      </w:r>
      <w:bookmarkEnd w:id="23"/>
      <w:bookmarkEnd w:id="24"/>
      <w:bookmarkEnd w:id="25"/>
      <w:bookmarkEnd w:id="26"/>
    </w:p>
    <w:p w14:paraId="291EBF0F" w14:textId="77777777" w:rsidR="00C74DE6" w:rsidRPr="00E01239" w:rsidRDefault="00C74DE6" w:rsidP="00B940D4">
      <w:pPr>
        <w:rPr>
          <w:rFonts w:asciiTheme="minorHAnsi" w:hAnsiTheme="minorHAnsi" w:cstheme="minorHAnsi"/>
          <w:sz w:val="22"/>
          <w:szCs w:val="22"/>
          <w:lang w:eastAsia="x-none"/>
        </w:rPr>
      </w:pPr>
    </w:p>
    <w:tbl>
      <w:tblPr>
        <w:tblW w:w="5000" w:type="pct"/>
        <w:tblCellMar>
          <w:left w:w="70" w:type="dxa"/>
          <w:right w:w="70" w:type="dxa"/>
        </w:tblCellMar>
        <w:tblLook w:val="04A0" w:firstRow="1" w:lastRow="0" w:firstColumn="1" w:lastColumn="0" w:noHBand="0" w:noVBand="1"/>
      </w:tblPr>
      <w:tblGrid>
        <w:gridCol w:w="1250"/>
        <w:gridCol w:w="7821"/>
      </w:tblGrid>
      <w:tr w:rsidR="004040F0" w:rsidRPr="00E01239" w14:paraId="7A04A56A" w14:textId="77777777" w:rsidTr="00047AA4">
        <w:trPr>
          <w:trHeight w:val="293"/>
        </w:trPr>
        <w:tc>
          <w:tcPr>
            <w:tcW w:w="689" w:type="pct"/>
            <w:shd w:val="clear" w:color="auto" w:fill="auto"/>
            <w:noWrap/>
            <w:vAlign w:val="center"/>
            <w:hideMark/>
          </w:tcPr>
          <w:p w14:paraId="47F8DBDF"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AEI</w:t>
            </w:r>
          </w:p>
        </w:tc>
        <w:tc>
          <w:tcPr>
            <w:tcW w:w="4311" w:type="pct"/>
            <w:shd w:val="clear" w:color="auto" w:fill="auto"/>
            <w:noWrap/>
            <w:vAlign w:val="center"/>
            <w:hideMark/>
          </w:tcPr>
          <w:p w14:paraId="3117D2F4"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Analyse Environnementale Initiale </w:t>
            </w:r>
          </w:p>
        </w:tc>
      </w:tr>
      <w:tr w:rsidR="004040F0" w:rsidRPr="00E01239" w14:paraId="53BDC11E" w14:textId="77777777" w:rsidTr="00047AA4">
        <w:trPr>
          <w:trHeight w:val="293"/>
        </w:trPr>
        <w:tc>
          <w:tcPr>
            <w:tcW w:w="689" w:type="pct"/>
            <w:shd w:val="clear" w:color="auto" w:fill="auto"/>
            <w:noWrap/>
            <w:vAlign w:val="center"/>
            <w:hideMark/>
          </w:tcPr>
          <w:p w14:paraId="1F4ADE5A"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AEP</w:t>
            </w:r>
          </w:p>
        </w:tc>
        <w:tc>
          <w:tcPr>
            <w:tcW w:w="4311" w:type="pct"/>
            <w:shd w:val="clear" w:color="auto" w:fill="auto"/>
            <w:noWrap/>
            <w:vAlign w:val="center"/>
            <w:hideMark/>
          </w:tcPr>
          <w:p w14:paraId="1640EC81"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Adduction d’Eau Potable</w:t>
            </w:r>
          </w:p>
        </w:tc>
      </w:tr>
      <w:tr w:rsidR="004040F0" w:rsidRPr="00E01239" w14:paraId="14299095" w14:textId="77777777" w:rsidTr="00047AA4">
        <w:trPr>
          <w:trHeight w:val="293"/>
        </w:trPr>
        <w:tc>
          <w:tcPr>
            <w:tcW w:w="689" w:type="pct"/>
            <w:shd w:val="clear" w:color="auto" w:fill="auto"/>
            <w:noWrap/>
            <w:vAlign w:val="center"/>
            <w:hideMark/>
          </w:tcPr>
          <w:p w14:paraId="31A674D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ANACIM</w:t>
            </w:r>
          </w:p>
        </w:tc>
        <w:tc>
          <w:tcPr>
            <w:tcW w:w="4311" w:type="pct"/>
            <w:shd w:val="clear" w:color="auto" w:fill="auto"/>
            <w:noWrap/>
            <w:vAlign w:val="center"/>
            <w:hideMark/>
          </w:tcPr>
          <w:p w14:paraId="59DD26E2" w14:textId="3ED5830A"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Agence </w:t>
            </w:r>
            <w:r w:rsidR="00DF2CFB" w:rsidRPr="00E01239">
              <w:rPr>
                <w:rFonts w:asciiTheme="minorHAnsi" w:hAnsiTheme="minorHAnsi" w:cstheme="minorHAnsi"/>
                <w:color w:val="000000"/>
                <w:sz w:val="22"/>
                <w:szCs w:val="22"/>
              </w:rPr>
              <w:t>N</w:t>
            </w:r>
            <w:r w:rsidRPr="00E01239">
              <w:rPr>
                <w:rFonts w:asciiTheme="minorHAnsi" w:hAnsiTheme="minorHAnsi" w:cstheme="minorHAnsi"/>
                <w:color w:val="000000"/>
                <w:sz w:val="22"/>
                <w:szCs w:val="22"/>
              </w:rPr>
              <w:t>ationale de l'</w:t>
            </w:r>
            <w:r w:rsidR="00DF2CFB" w:rsidRPr="00E01239">
              <w:rPr>
                <w:rFonts w:asciiTheme="minorHAnsi" w:hAnsiTheme="minorHAnsi" w:cstheme="minorHAnsi"/>
                <w:color w:val="000000"/>
                <w:sz w:val="22"/>
                <w:szCs w:val="22"/>
              </w:rPr>
              <w:t>A</w:t>
            </w:r>
            <w:r w:rsidRPr="00E01239">
              <w:rPr>
                <w:rFonts w:asciiTheme="minorHAnsi" w:hAnsiTheme="minorHAnsi" w:cstheme="minorHAnsi"/>
                <w:color w:val="000000"/>
                <w:sz w:val="22"/>
                <w:szCs w:val="22"/>
              </w:rPr>
              <w:t xml:space="preserve">viation </w:t>
            </w:r>
            <w:r w:rsidR="00DF2CFB" w:rsidRPr="00E01239">
              <w:rPr>
                <w:rFonts w:asciiTheme="minorHAnsi" w:hAnsiTheme="minorHAnsi" w:cstheme="minorHAnsi"/>
                <w:color w:val="000000"/>
                <w:sz w:val="22"/>
                <w:szCs w:val="22"/>
              </w:rPr>
              <w:t>C</w:t>
            </w:r>
            <w:r w:rsidRPr="00E01239">
              <w:rPr>
                <w:rFonts w:asciiTheme="minorHAnsi" w:hAnsiTheme="minorHAnsi" w:cstheme="minorHAnsi"/>
                <w:color w:val="000000"/>
                <w:sz w:val="22"/>
                <w:szCs w:val="22"/>
              </w:rPr>
              <w:t xml:space="preserve">ivile et de la </w:t>
            </w:r>
            <w:r w:rsidR="00DF2CFB" w:rsidRPr="00E01239">
              <w:rPr>
                <w:rFonts w:asciiTheme="minorHAnsi" w:hAnsiTheme="minorHAnsi" w:cstheme="minorHAnsi"/>
                <w:color w:val="000000"/>
                <w:sz w:val="22"/>
                <w:szCs w:val="22"/>
              </w:rPr>
              <w:t>M</w:t>
            </w:r>
            <w:r w:rsidRPr="00E01239">
              <w:rPr>
                <w:rFonts w:asciiTheme="minorHAnsi" w:hAnsiTheme="minorHAnsi" w:cstheme="minorHAnsi"/>
                <w:color w:val="000000"/>
                <w:sz w:val="22"/>
                <w:szCs w:val="22"/>
              </w:rPr>
              <w:t xml:space="preserve">étéorologie </w:t>
            </w:r>
          </w:p>
        </w:tc>
      </w:tr>
      <w:tr w:rsidR="004040F0" w:rsidRPr="00E01239" w14:paraId="31989E1A" w14:textId="77777777" w:rsidTr="00047AA4">
        <w:trPr>
          <w:trHeight w:val="293"/>
        </w:trPr>
        <w:tc>
          <w:tcPr>
            <w:tcW w:w="689" w:type="pct"/>
            <w:shd w:val="clear" w:color="auto" w:fill="auto"/>
            <w:noWrap/>
            <w:vAlign w:val="center"/>
            <w:hideMark/>
          </w:tcPr>
          <w:p w14:paraId="199C6DDC"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ANCAR</w:t>
            </w:r>
          </w:p>
        </w:tc>
        <w:tc>
          <w:tcPr>
            <w:tcW w:w="4311" w:type="pct"/>
            <w:shd w:val="clear" w:color="auto" w:fill="auto"/>
            <w:noWrap/>
            <w:vAlign w:val="center"/>
            <w:hideMark/>
          </w:tcPr>
          <w:p w14:paraId="212F6093"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Agence Nationale de Conseil Agricole et Rural</w:t>
            </w:r>
          </w:p>
        </w:tc>
      </w:tr>
      <w:tr w:rsidR="004040F0" w:rsidRPr="00E01239" w14:paraId="486C82B7" w14:textId="77777777" w:rsidTr="00047AA4">
        <w:trPr>
          <w:trHeight w:val="293"/>
        </w:trPr>
        <w:tc>
          <w:tcPr>
            <w:tcW w:w="689" w:type="pct"/>
            <w:shd w:val="clear" w:color="auto" w:fill="auto"/>
            <w:noWrap/>
            <w:vAlign w:val="center"/>
            <w:hideMark/>
          </w:tcPr>
          <w:p w14:paraId="46F615D9"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ANSD</w:t>
            </w:r>
          </w:p>
        </w:tc>
        <w:tc>
          <w:tcPr>
            <w:tcW w:w="4311" w:type="pct"/>
            <w:shd w:val="clear" w:color="auto" w:fill="auto"/>
            <w:noWrap/>
            <w:vAlign w:val="center"/>
            <w:hideMark/>
          </w:tcPr>
          <w:p w14:paraId="69B10DD5"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Agence Nationale de la Statistique et de la Démographie </w:t>
            </w:r>
          </w:p>
        </w:tc>
      </w:tr>
      <w:tr w:rsidR="004040F0" w:rsidRPr="00E01239" w14:paraId="70F23EDB" w14:textId="77777777" w:rsidTr="00047AA4">
        <w:trPr>
          <w:trHeight w:val="293"/>
        </w:trPr>
        <w:tc>
          <w:tcPr>
            <w:tcW w:w="689" w:type="pct"/>
            <w:shd w:val="clear" w:color="auto" w:fill="auto"/>
            <w:noWrap/>
            <w:vAlign w:val="center"/>
            <w:hideMark/>
          </w:tcPr>
          <w:p w14:paraId="05DF7443"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BM</w:t>
            </w:r>
          </w:p>
        </w:tc>
        <w:tc>
          <w:tcPr>
            <w:tcW w:w="4311" w:type="pct"/>
            <w:shd w:val="clear" w:color="auto" w:fill="auto"/>
            <w:noWrap/>
            <w:vAlign w:val="center"/>
            <w:hideMark/>
          </w:tcPr>
          <w:p w14:paraId="687BD048"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Banque mondiale</w:t>
            </w:r>
          </w:p>
        </w:tc>
      </w:tr>
      <w:tr w:rsidR="004040F0" w:rsidRPr="00E01239" w14:paraId="70F0C4DA" w14:textId="77777777" w:rsidTr="00047AA4">
        <w:trPr>
          <w:trHeight w:val="293"/>
        </w:trPr>
        <w:tc>
          <w:tcPr>
            <w:tcW w:w="689" w:type="pct"/>
            <w:shd w:val="clear" w:color="auto" w:fill="auto"/>
            <w:noWrap/>
            <w:vAlign w:val="center"/>
            <w:hideMark/>
          </w:tcPr>
          <w:p w14:paraId="18625C8F"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CAR</w:t>
            </w:r>
          </w:p>
        </w:tc>
        <w:tc>
          <w:tcPr>
            <w:tcW w:w="4311" w:type="pct"/>
            <w:shd w:val="clear" w:color="auto" w:fill="auto"/>
            <w:noWrap/>
            <w:vAlign w:val="center"/>
            <w:hideMark/>
          </w:tcPr>
          <w:p w14:paraId="10859D50" w14:textId="419EC964"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Conseil </w:t>
            </w:r>
            <w:r w:rsidR="00126AC0" w:rsidRPr="00E01239">
              <w:rPr>
                <w:rFonts w:asciiTheme="minorHAnsi" w:hAnsiTheme="minorHAnsi" w:cstheme="minorHAnsi"/>
                <w:color w:val="000000"/>
                <w:sz w:val="22"/>
                <w:szCs w:val="22"/>
              </w:rPr>
              <w:t>A</w:t>
            </w:r>
            <w:r w:rsidRPr="00E01239">
              <w:rPr>
                <w:rFonts w:asciiTheme="minorHAnsi" w:hAnsiTheme="minorHAnsi" w:cstheme="minorHAnsi"/>
                <w:color w:val="000000"/>
                <w:sz w:val="22"/>
                <w:szCs w:val="22"/>
              </w:rPr>
              <w:t xml:space="preserve">gricole et </w:t>
            </w:r>
            <w:r w:rsidR="00126AC0" w:rsidRPr="00E01239">
              <w:rPr>
                <w:rFonts w:asciiTheme="minorHAnsi" w:hAnsiTheme="minorHAnsi" w:cstheme="minorHAnsi"/>
                <w:color w:val="000000"/>
                <w:sz w:val="22"/>
                <w:szCs w:val="22"/>
              </w:rPr>
              <w:t>R</w:t>
            </w:r>
            <w:r w:rsidRPr="00E01239">
              <w:rPr>
                <w:rFonts w:asciiTheme="minorHAnsi" w:hAnsiTheme="minorHAnsi" w:cstheme="minorHAnsi"/>
                <w:color w:val="000000"/>
                <w:sz w:val="22"/>
                <w:szCs w:val="22"/>
              </w:rPr>
              <w:t>ural</w:t>
            </w:r>
          </w:p>
        </w:tc>
      </w:tr>
      <w:tr w:rsidR="004040F0" w:rsidRPr="00E01239" w14:paraId="7298D9C8" w14:textId="77777777" w:rsidTr="00047AA4">
        <w:trPr>
          <w:trHeight w:val="293"/>
        </w:trPr>
        <w:tc>
          <w:tcPr>
            <w:tcW w:w="689" w:type="pct"/>
            <w:shd w:val="clear" w:color="auto" w:fill="auto"/>
            <w:noWrap/>
            <w:vAlign w:val="center"/>
            <w:hideMark/>
          </w:tcPr>
          <w:p w14:paraId="5FBCC146"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CATE </w:t>
            </w:r>
          </w:p>
        </w:tc>
        <w:tc>
          <w:tcPr>
            <w:tcW w:w="4311" w:type="pct"/>
            <w:shd w:val="clear" w:color="auto" w:fill="auto"/>
            <w:noWrap/>
            <w:vAlign w:val="center"/>
            <w:hideMark/>
          </w:tcPr>
          <w:p w14:paraId="674F91CA"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Centre d’Application des Techniques d’Elevage</w:t>
            </w:r>
          </w:p>
        </w:tc>
      </w:tr>
      <w:tr w:rsidR="004040F0" w:rsidRPr="00E01239" w14:paraId="46A8555C" w14:textId="77777777" w:rsidTr="00047AA4">
        <w:trPr>
          <w:trHeight w:val="293"/>
        </w:trPr>
        <w:tc>
          <w:tcPr>
            <w:tcW w:w="689" w:type="pct"/>
            <w:shd w:val="clear" w:color="auto" w:fill="auto"/>
            <w:noWrap/>
            <w:vAlign w:val="center"/>
            <w:hideMark/>
          </w:tcPr>
          <w:p w14:paraId="6CE7C0F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CCE </w:t>
            </w:r>
          </w:p>
        </w:tc>
        <w:tc>
          <w:tcPr>
            <w:tcW w:w="4311" w:type="pct"/>
            <w:shd w:val="clear" w:color="auto" w:fill="auto"/>
            <w:noWrap/>
            <w:vAlign w:val="center"/>
            <w:hideMark/>
          </w:tcPr>
          <w:p w14:paraId="11E2D8EA"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Certificat de Conformité Environnementale</w:t>
            </w:r>
          </w:p>
        </w:tc>
      </w:tr>
      <w:tr w:rsidR="004040F0" w:rsidRPr="00E01239" w14:paraId="17E34D58" w14:textId="77777777" w:rsidTr="00047AA4">
        <w:trPr>
          <w:trHeight w:val="293"/>
        </w:trPr>
        <w:tc>
          <w:tcPr>
            <w:tcW w:w="689" w:type="pct"/>
            <w:shd w:val="clear" w:color="auto" w:fill="auto"/>
            <w:noWrap/>
            <w:vAlign w:val="center"/>
            <w:hideMark/>
          </w:tcPr>
          <w:p w14:paraId="42DF87C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CDN</w:t>
            </w:r>
          </w:p>
        </w:tc>
        <w:tc>
          <w:tcPr>
            <w:tcW w:w="4311" w:type="pct"/>
            <w:shd w:val="clear" w:color="auto" w:fill="auto"/>
            <w:noWrap/>
            <w:vAlign w:val="center"/>
            <w:hideMark/>
          </w:tcPr>
          <w:p w14:paraId="1468E9F0"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Contribution Déterminée au niveau National </w:t>
            </w:r>
          </w:p>
        </w:tc>
      </w:tr>
      <w:tr w:rsidR="004040F0" w:rsidRPr="00E01239" w14:paraId="1EBAE3A3" w14:textId="77777777" w:rsidTr="00047AA4">
        <w:trPr>
          <w:trHeight w:val="293"/>
        </w:trPr>
        <w:tc>
          <w:tcPr>
            <w:tcW w:w="689" w:type="pct"/>
            <w:shd w:val="clear" w:color="auto" w:fill="auto"/>
            <w:noWrap/>
            <w:vAlign w:val="center"/>
            <w:hideMark/>
          </w:tcPr>
          <w:p w14:paraId="061AE271"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CEDEAO</w:t>
            </w:r>
          </w:p>
        </w:tc>
        <w:tc>
          <w:tcPr>
            <w:tcW w:w="4311" w:type="pct"/>
            <w:shd w:val="clear" w:color="auto" w:fill="auto"/>
            <w:noWrap/>
            <w:vAlign w:val="center"/>
            <w:hideMark/>
          </w:tcPr>
          <w:p w14:paraId="506DC8BD" w14:textId="03A0E8CF"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Communauté </w:t>
            </w:r>
            <w:r w:rsidR="00126AC0" w:rsidRPr="00E01239">
              <w:rPr>
                <w:rFonts w:asciiTheme="minorHAnsi" w:hAnsiTheme="minorHAnsi" w:cstheme="minorHAnsi"/>
                <w:color w:val="000000"/>
                <w:sz w:val="22"/>
                <w:szCs w:val="22"/>
              </w:rPr>
              <w:t>E</w:t>
            </w:r>
            <w:r w:rsidRPr="00E01239">
              <w:rPr>
                <w:rFonts w:asciiTheme="minorHAnsi" w:hAnsiTheme="minorHAnsi" w:cstheme="minorHAnsi"/>
                <w:color w:val="000000"/>
                <w:sz w:val="22"/>
                <w:szCs w:val="22"/>
              </w:rPr>
              <w:t>conomique des États de l'Afrique de l'Ouest</w:t>
            </w:r>
          </w:p>
        </w:tc>
      </w:tr>
      <w:tr w:rsidR="004040F0" w:rsidRPr="00E01239" w14:paraId="258EAB10" w14:textId="77777777" w:rsidTr="00047AA4">
        <w:trPr>
          <w:trHeight w:val="293"/>
        </w:trPr>
        <w:tc>
          <w:tcPr>
            <w:tcW w:w="689" w:type="pct"/>
            <w:shd w:val="clear" w:color="auto" w:fill="auto"/>
            <w:noWrap/>
            <w:vAlign w:val="center"/>
            <w:hideMark/>
          </w:tcPr>
          <w:p w14:paraId="02BBAA0D"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CERC</w:t>
            </w:r>
          </w:p>
        </w:tc>
        <w:tc>
          <w:tcPr>
            <w:tcW w:w="4311" w:type="pct"/>
            <w:shd w:val="clear" w:color="auto" w:fill="auto"/>
            <w:noWrap/>
            <w:vAlign w:val="center"/>
            <w:hideMark/>
          </w:tcPr>
          <w:p w14:paraId="74777349" w14:textId="143D2059"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Composante </w:t>
            </w:r>
            <w:r w:rsidR="00815121" w:rsidRPr="00E01239">
              <w:rPr>
                <w:rFonts w:asciiTheme="minorHAnsi" w:hAnsiTheme="minorHAnsi" w:cstheme="minorHAnsi"/>
                <w:color w:val="000000"/>
                <w:sz w:val="22"/>
                <w:szCs w:val="22"/>
              </w:rPr>
              <w:t>C</w:t>
            </w:r>
            <w:r w:rsidRPr="00E01239">
              <w:rPr>
                <w:rFonts w:asciiTheme="minorHAnsi" w:hAnsiTheme="minorHAnsi" w:cstheme="minorHAnsi"/>
                <w:color w:val="000000"/>
                <w:sz w:val="22"/>
                <w:szCs w:val="22"/>
              </w:rPr>
              <w:t>ontingente d'</w:t>
            </w:r>
            <w:r w:rsidR="00815121" w:rsidRPr="00E01239">
              <w:rPr>
                <w:rFonts w:asciiTheme="minorHAnsi" w:hAnsiTheme="minorHAnsi" w:cstheme="minorHAnsi"/>
                <w:color w:val="000000"/>
                <w:sz w:val="22"/>
                <w:szCs w:val="22"/>
              </w:rPr>
              <w:t>I</w:t>
            </w:r>
            <w:r w:rsidRPr="00E01239">
              <w:rPr>
                <w:rFonts w:asciiTheme="minorHAnsi" w:hAnsiTheme="minorHAnsi" w:cstheme="minorHAnsi"/>
                <w:color w:val="000000"/>
                <w:sz w:val="22"/>
                <w:szCs w:val="22"/>
              </w:rPr>
              <w:t>ntervention d'</w:t>
            </w:r>
            <w:r w:rsidR="00815121" w:rsidRPr="00E01239">
              <w:rPr>
                <w:rFonts w:asciiTheme="minorHAnsi" w:hAnsiTheme="minorHAnsi" w:cstheme="minorHAnsi"/>
                <w:color w:val="000000"/>
                <w:sz w:val="22"/>
                <w:szCs w:val="22"/>
              </w:rPr>
              <w:t>U</w:t>
            </w:r>
            <w:r w:rsidRPr="00E01239">
              <w:rPr>
                <w:rFonts w:asciiTheme="minorHAnsi" w:hAnsiTheme="minorHAnsi" w:cstheme="minorHAnsi"/>
                <w:color w:val="000000"/>
                <w:sz w:val="22"/>
                <w:szCs w:val="22"/>
              </w:rPr>
              <w:t>rgence</w:t>
            </w:r>
          </w:p>
        </w:tc>
      </w:tr>
      <w:tr w:rsidR="004040F0" w:rsidRPr="00E01239" w14:paraId="2A50CE46" w14:textId="77777777" w:rsidTr="00047AA4">
        <w:trPr>
          <w:trHeight w:val="293"/>
        </w:trPr>
        <w:tc>
          <w:tcPr>
            <w:tcW w:w="689" w:type="pct"/>
            <w:shd w:val="clear" w:color="auto" w:fill="auto"/>
            <w:noWrap/>
            <w:vAlign w:val="center"/>
            <w:hideMark/>
          </w:tcPr>
          <w:p w14:paraId="6D4552CF"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CES </w:t>
            </w:r>
          </w:p>
        </w:tc>
        <w:tc>
          <w:tcPr>
            <w:tcW w:w="4311" w:type="pct"/>
            <w:shd w:val="clear" w:color="auto" w:fill="auto"/>
            <w:noWrap/>
            <w:vAlign w:val="center"/>
            <w:hideMark/>
          </w:tcPr>
          <w:p w14:paraId="1786D2C7"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Cadre Environnemental et Social</w:t>
            </w:r>
          </w:p>
        </w:tc>
      </w:tr>
      <w:tr w:rsidR="004040F0" w:rsidRPr="00E01239" w14:paraId="057BEE79" w14:textId="77777777" w:rsidTr="00047AA4">
        <w:trPr>
          <w:trHeight w:val="293"/>
        </w:trPr>
        <w:tc>
          <w:tcPr>
            <w:tcW w:w="689" w:type="pct"/>
            <w:shd w:val="clear" w:color="auto" w:fill="auto"/>
            <w:noWrap/>
            <w:vAlign w:val="center"/>
            <w:hideMark/>
          </w:tcPr>
          <w:p w14:paraId="79060CD2"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CGES</w:t>
            </w:r>
          </w:p>
        </w:tc>
        <w:tc>
          <w:tcPr>
            <w:tcW w:w="4311" w:type="pct"/>
            <w:shd w:val="clear" w:color="auto" w:fill="auto"/>
            <w:noWrap/>
            <w:vAlign w:val="center"/>
            <w:hideMark/>
          </w:tcPr>
          <w:p w14:paraId="7826D9B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Cadre de Gestion Environnementale et Sociale</w:t>
            </w:r>
          </w:p>
        </w:tc>
      </w:tr>
      <w:tr w:rsidR="004040F0" w:rsidRPr="00E01239" w14:paraId="37D4197D" w14:textId="77777777" w:rsidTr="00047AA4">
        <w:trPr>
          <w:trHeight w:val="293"/>
        </w:trPr>
        <w:tc>
          <w:tcPr>
            <w:tcW w:w="689" w:type="pct"/>
            <w:shd w:val="clear" w:color="auto" w:fill="auto"/>
            <w:noWrap/>
            <w:vAlign w:val="center"/>
            <w:hideMark/>
          </w:tcPr>
          <w:p w14:paraId="7E783E1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CGIAR</w:t>
            </w:r>
          </w:p>
        </w:tc>
        <w:tc>
          <w:tcPr>
            <w:tcW w:w="4311" w:type="pct"/>
            <w:shd w:val="clear" w:color="auto" w:fill="auto"/>
            <w:noWrap/>
            <w:vAlign w:val="center"/>
            <w:hideMark/>
          </w:tcPr>
          <w:p w14:paraId="65F30A04" w14:textId="1F695CF1"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Groupe </w:t>
            </w:r>
            <w:r w:rsidR="00815121" w:rsidRPr="00E01239">
              <w:rPr>
                <w:rFonts w:asciiTheme="minorHAnsi" w:hAnsiTheme="minorHAnsi" w:cstheme="minorHAnsi"/>
                <w:color w:val="000000"/>
                <w:sz w:val="22"/>
                <w:szCs w:val="22"/>
              </w:rPr>
              <w:t>C</w:t>
            </w:r>
            <w:r w:rsidRPr="00E01239">
              <w:rPr>
                <w:rFonts w:asciiTheme="minorHAnsi" w:hAnsiTheme="minorHAnsi" w:cstheme="minorHAnsi"/>
                <w:color w:val="000000"/>
                <w:sz w:val="22"/>
                <w:szCs w:val="22"/>
              </w:rPr>
              <w:t xml:space="preserve">onsultatif pour la </w:t>
            </w:r>
            <w:r w:rsidR="00815121" w:rsidRPr="00E01239">
              <w:rPr>
                <w:rFonts w:asciiTheme="minorHAnsi" w:hAnsiTheme="minorHAnsi" w:cstheme="minorHAnsi"/>
                <w:color w:val="000000"/>
                <w:sz w:val="22"/>
                <w:szCs w:val="22"/>
              </w:rPr>
              <w:t>R</w:t>
            </w:r>
            <w:r w:rsidRPr="00E01239">
              <w:rPr>
                <w:rFonts w:asciiTheme="minorHAnsi" w:hAnsiTheme="minorHAnsi" w:cstheme="minorHAnsi"/>
                <w:color w:val="000000"/>
                <w:sz w:val="22"/>
                <w:szCs w:val="22"/>
              </w:rPr>
              <w:t xml:space="preserve">echerche </w:t>
            </w:r>
            <w:r w:rsidR="00815121" w:rsidRPr="00E01239">
              <w:rPr>
                <w:rFonts w:asciiTheme="minorHAnsi" w:hAnsiTheme="minorHAnsi" w:cstheme="minorHAnsi"/>
                <w:color w:val="000000"/>
                <w:sz w:val="22"/>
                <w:szCs w:val="22"/>
              </w:rPr>
              <w:t>A</w:t>
            </w:r>
            <w:r w:rsidRPr="00E01239">
              <w:rPr>
                <w:rFonts w:asciiTheme="minorHAnsi" w:hAnsiTheme="minorHAnsi" w:cstheme="minorHAnsi"/>
                <w:color w:val="000000"/>
                <w:sz w:val="22"/>
                <w:szCs w:val="22"/>
              </w:rPr>
              <w:t xml:space="preserve">gricole </w:t>
            </w:r>
            <w:r w:rsidR="00815121" w:rsidRPr="00E01239">
              <w:rPr>
                <w:rFonts w:asciiTheme="minorHAnsi" w:hAnsiTheme="minorHAnsi" w:cstheme="minorHAnsi"/>
                <w:color w:val="000000"/>
                <w:sz w:val="22"/>
                <w:szCs w:val="22"/>
              </w:rPr>
              <w:t>I</w:t>
            </w:r>
            <w:r w:rsidRPr="00E01239">
              <w:rPr>
                <w:rFonts w:asciiTheme="minorHAnsi" w:hAnsiTheme="minorHAnsi" w:cstheme="minorHAnsi"/>
                <w:color w:val="000000"/>
                <w:sz w:val="22"/>
                <w:szCs w:val="22"/>
              </w:rPr>
              <w:t>nternationale</w:t>
            </w:r>
          </w:p>
        </w:tc>
      </w:tr>
      <w:tr w:rsidR="004040F0" w:rsidRPr="00E01239" w14:paraId="6776C96B" w14:textId="77777777" w:rsidTr="00047AA4">
        <w:trPr>
          <w:trHeight w:val="293"/>
        </w:trPr>
        <w:tc>
          <w:tcPr>
            <w:tcW w:w="689" w:type="pct"/>
            <w:shd w:val="clear" w:color="auto" w:fill="auto"/>
            <w:noWrap/>
            <w:vAlign w:val="center"/>
            <w:hideMark/>
          </w:tcPr>
          <w:p w14:paraId="5EE2A8AD"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CILSS</w:t>
            </w:r>
          </w:p>
        </w:tc>
        <w:tc>
          <w:tcPr>
            <w:tcW w:w="4311" w:type="pct"/>
            <w:shd w:val="clear" w:color="auto" w:fill="auto"/>
            <w:noWrap/>
            <w:vAlign w:val="center"/>
            <w:hideMark/>
          </w:tcPr>
          <w:p w14:paraId="386DCDA3"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Comité Permanent Inter-Etats de Lutte contre la Sécheresse dans le Sahel </w:t>
            </w:r>
          </w:p>
        </w:tc>
      </w:tr>
      <w:tr w:rsidR="004040F0" w:rsidRPr="00E01239" w14:paraId="31571538" w14:textId="77777777" w:rsidTr="00047AA4">
        <w:trPr>
          <w:trHeight w:val="293"/>
        </w:trPr>
        <w:tc>
          <w:tcPr>
            <w:tcW w:w="689" w:type="pct"/>
            <w:shd w:val="clear" w:color="auto" w:fill="auto"/>
            <w:noWrap/>
            <w:vAlign w:val="center"/>
            <w:hideMark/>
          </w:tcPr>
          <w:p w14:paraId="5319FA97" w14:textId="77777777" w:rsidR="00DA3DF6" w:rsidRPr="00E01239" w:rsidRDefault="00DA3DF6" w:rsidP="00DA3DF6">
            <w:pPr>
              <w:jc w:val="both"/>
              <w:rPr>
                <w:rFonts w:asciiTheme="minorHAnsi" w:hAnsiTheme="minorHAnsi" w:cstheme="minorHAnsi"/>
                <w:b/>
                <w:bCs/>
                <w:color w:val="0070C0"/>
                <w:sz w:val="22"/>
                <w:szCs w:val="22"/>
              </w:rPr>
            </w:pPr>
            <w:proofErr w:type="spellStart"/>
            <w:r w:rsidRPr="00E01239">
              <w:rPr>
                <w:rFonts w:asciiTheme="minorHAnsi" w:hAnsiTheme="minorHAnsi" w:cstheme="minorHAnsi"/>
                <w:b/>
                <w:bCs/>
                <w:color w:val="0070C0"/>
                <w:sz w:val="22"/>
                <w:szCs w:val="22"/>
              </w:rPr>
              <w:t>CIMELs</w:t>
            </w:r>
            <w:proofErr w:type="spellEnd"/>
          </w:p>
        </w:tc>
        <w:tc>
          <w:tcPr>
            <w:tcW w:w="4311" w:type="pct"/>
            <w:shd w:val="clear" w:color="auto" w:fill="auto"/>
            <w:noWrap/>
            <w:vAlign w:val="center"/>
            <w:hideMark/>
          </w:tcPr>
          <w:p w14:paraId="26AF6233" w14:textId="281F41AD"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Centres d'</w:t>
            </w:r>
            <w:r w:rsidR="005441B7" w:rsidRPr="00E01239">
              <w:rPr>
                <w:rFonts w:asciiTheme="minorHAnsi" w:hAnsiTheme="minorHAnsi" w:cstheme="minorHAnsi"/>
                <w:color w:val="000000"/>
                <w:sz w:val="22"/>
                <w:szCs w:val="22"/>
              </w:rPr>
              <w:t>I</w:t>
            </w:r>
            <w:r w:rsidRPr="00E01239">
              <w:rPr>
                <w:rFonts w:asciiTheme="minorHAnsi" w:hAnsiTheme="minorHAnsi" w:cstheme="minorHAnsi"/>
                <w:color w:val="000000"/>
                <w:sz w:val="22"/>
                <w:szCs w:val="22"/>
              </w:rPr>
              <w:t xml:space="preserve">mpulsion et de Modernisation de l'Elevage </w:t>
            </w:r>
          </w:p>
        </w:tc>
      </w:tr>
      <w:tr w:rsidR="004040F0" w:rsidRPr="00E01239" w14:paraId="4ADEFCFF" w14:textId="77777777" w:rsidTr="00047AA4">
        <w:trPr>
          <w:trHeight w:val="293"/>
        </w:trPr>
        <w:tc>
          <w:tcPr>
            <w:tcW w:w="689" w:type="pct"/>
            <w:shd w:val="clear" w:color="auto" w:fill="auto"/>
            <w:noWrap/>
            <w:vAlign w:val="center"/>
            <w:hideMark/>
          </w:tcPr>
          <w:p w14:paraId="74D5E54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CORAF</w:t>
            </w:r>
          </w:p>
        </w:tc>
        <w:tc>
          <w:tcPr>
            <w:tcW w:w="4311" w:type="pct"/>
            <w:shd w:val="clear" w:color="auto" w:fill="auto"/>
            <w:noWrap/>
            <w:vAlign w:val="center"/>
            <w:hideMark/>
          </w:tcPr>
          <w:p w14:paraId="4CC8B545"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Conseil Ouest et Centre Africain pour la Recherche et le Développement Agricole</w:t>
            </w:r>
          </w:p>
        </w:tc>
      </w:tr>
      <w:tr w:rsidR="004040F0" w:rsidRPr="00E01239" w14:paraId="23DB9325" w14:textId="77777777" w:rsidTr="00047AA4">
        <w:trPr>
          <w:trHeight w:val="293"/>
        </w:trPr>
        <w:tc>
          <w:tcPr>
            <w:tcW w:w="689" w:type="pct"/>
            <w:shd w:val="clear" w:color="auto" w:fill="auto"/>
            <w:noWrap/>
            <w:vAlign w:val="center"/>
            <w:hideMark/>
          </w:tcPr>
          <w:p w14:paraId="679C8FD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CP</w:t>
            </w:r>
          </w:p>
        </w:tc>
        <w:tc>
          <w:tcPr>
            <w:tcW w:w="4311" w:type="pct"/>
            <w:shd w:val="clear" w:color="auto" w:fill="auto"/>
            <w:noWrap/>
            <w:vAlign w:val="center"/>
            <w:hideMark/>
          </w:tcPr>
          <w:p w14:paraId="7C45FBD8"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Comité de Pilotage </w:t>
            </w:r>
          </w:p>
        </w:tc>
      </w:tr>
      <w:tr w:rsidR="004040F0" w:rsidRPr="00E01239" w14:paraId="55AC3EC3" w14:textId="77777777" w:rsidTr="00047AA4">
        <w:trPr>
          <w:trHeight w:val="293"/>
        </w:trPr>
        <w:tc>
          <w:tcPr>
            <w:tcW w:w="689" w:type="pct"/>
            <w:shd w:val="clear" w:color="auto" w:fill="auto"/>
            <w:noWrap/>
            <w:vAlign w:val="center"/>
            <w:hideMark/>
          </w:tcPr>
          <w:p w14:paraId="39A8A7B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CPR</w:t>
            </w:r>
          </w:p>
        </w:tc>
        <w:tc>
          <w:tcPr>
            <w:tcW w:w="4311" w:type="pct"/>
            <w:shd w:val="clear" w:color="auto" w:fill="auto"/>
            <w:noWrap/>
            <w:vAlign w:val="center"/>
            <w:hideMark/>
          </w:tcPr>
          <w:p w14:paraId="1636F6F1"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Cadre de Politique de Réinstallation</w:t>
            </w:r>
          </w:p>
        </w:tc>
      </w:tr>
      <w:tr w:rsidR="004040F0" w:rsidRPr="00E01239" w14:paraId="52A66951" w14:textId="77777777" w:rsidTr="00047AA4">
        <w:trPr>
          <w:trHeight w:val="293"/>
        </w:trPr>
        <w:tc>
          <w:tcPr>
            <w:tcW w:w="689" w:type="pct"/>
            <w:shd w:val="clear" w:color="auto" w:fill="auto"/>
            <w:noWrap/>
            <w:vAlign w:val="center"/>
            <w:hideMark/>
          </w:tcPr>
          <w:p w14:paraId="4BF0960E" w14:textId="77777777" w:rsidR="00DA3DF6" w:rsidRPr="00E01239" w:rsidRDefault="00DA3DF6" w:rsidP="00DA3DF6">
            <w:pPr>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CRSE</w:t>
            </w:r>
          </w:p>
        </w:tc>
        <w:tc>
          <w:tcPr>
            <w:tcW w:w="4311" w:type="pct"/>
            <w:shd w:val="clear" w:color="auto" w:fill="auto"/>
            <w:noWrap/>
            <w:vAlign w:val="center"/>
            <w:hideMark/>
          </w:tcPr>
          <w:p w14:paraId="67B98168" w14:textId="77777777" w:rsidR="00DA3DF6" w:rsidRPr="00E01239" w:rsidRDefault="00DA3DF6" w:rsidP="00DA3DF6">
            <w:p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Comité Régional de Suivi Environnemental  </w:t>
            </w:r>
          </w:p>
        </w:tc>
      </w:tr>
      <w:tr w:rsidR="004040F0" w:rsidRPr="00E01239" w14:paraId="6981F05D" w14:textId="77777777" w:rsidTr="00047AA4">
        <w:trPr>
          <w:trHeight w:val="293"/>
        </w:trPr>
        <w:tc>
          <w:tcPr>
            <w:tcW w:w="689" w:type="pct"/>
            <w:shd w:val="clear" w:color="auto" w:fill="auto"/>
            <w:noWrap/>
            <w:vAlign w:val="center"/>
            <w:hideMark/>
          </w:tcPr>
          <w:p w14:paraId="55232FE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CSDH</w:t>
            </w:r>
          </w:p>
        </w:tc>
        <w:tc>
          <w:tcPr>
            <w:tcW w:w="4311" w:type="pct"/>
            <w:shd w:val="clear" w:color="auto" w:fill="auto"/>
            <w:noWrap/>
            <w:vAlign w:val="center"/>
            <w:hideMark/>
          </w:tcPr>
          <w:p w14:paraId="41F184D6"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Comité Sénégalais des Droits de l’Homme </w:t>
            </w:r>
          </w:p>
        </w:tc>
      </w:tr>
      <w:tr w:rsidR="004040F0" w:rsidRPr="00E01239" w14:paraId="02F82EEF" w14:textId="77777777" w:rsidTr="00047AA4">
        <w:trPr>
          <w:trHeight w:val="293"/>
        </w:trPr>
        <w:tc>
          <w:tcPr>
            <w:tcW w:w="689" w:type="pct"/>
            <w:shd w:val="clear" w:color="auto" w:fill="auto"/>
            <w:noWrap/>
            <w:vAlign w:val="center"/>
            <w:hideMark/>
          </w:tcPr>
          <w:p w14:paraId="38EF0BD5"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CSE</w:t>
            </w:r>
          </w:p>
        </w:tc>
        <w:tc>
          <w:tcPr>
            <w:tcW w:w="4311" w:type="pct"/>
            <w:shd w:val="clear" w:color="auto" w:fill="auto"/>
            <w:noWrap/>
            <w:vAlign w:val="center"/>
            <w:hideMark/>
          </w:tcPr>
          <w:p w14:paraId="45A5C15F"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Centre de suivi écologique</w:t>
            </w:r>
          </w:p>
        </w:tc>
      </w:tr>
      <w:tr w:rsidR="004040F0" w:rsidRPr="00E01239" w14:paraId="15BC2764" w14:textId="77777777" w:rsidTr="00047AA4">
        <w:trPr>
          <w:trHeight w:val="293"/>
        </w:trPr>
        <w:tc>
          <w:tcPr>
            <w:tcW w:w="689" w:type="pct"/>
            <w:shd w:val="clear" w:color="auto" w:fill="auto"/>
            <w:noWrap/>
            <w:vAlign w:val="center"/>
            <w:hideMark/>
          </w:tcPr>
          <w:p w14:paraId="062D3D00" w14:textId="77777777" w:rsidR="00DA3DF6" w:rsidRPr="00E01239" w:rsidRDefault="00DA3DF6" w:rsidP="00DA3DF6">
            <w:pPr>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CT </w:t>
            </w:r>
          </w:p>
        </w:tc>
        <w:tc>
          <w:tcPr>
            <w:tcW w:w="4311" w:type="pct"/>
            <w:shd w:val="clear" w:color="auto" w:fill="auto"/>
            <w:noWrap/>
            <w:vAlign w:val="center"/>
            <w:hideMark/>
          </w:tcPr>
          <w:p w14:paraId="1089E8FF" w14:textId="77777777" w:rsidR="00DA3DF6" w:rsidRPr="00E01239" w:rsidRDefault="00DA3DF6" w:rsidP="00DA3DF6">
            <w:p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Collectivité Territoriale </w:t>
            </w:r>
          </w:p>
        </w:tc>
      </w:tr>
      <w:tr w:rsidR="004040F0" w:rsidRPr="00E01239" w14:paraId="59A6547E" w14:textId="77777777" w:rsidTr="00047AA4">
        <w:trPr>
          <w:trHeight w:val="293"/>
        </w:trPr>
        <w:tc>
          <w:tcPr>
            <w:tcW w:w="689" w:type="pct"/>
            <w:shd w:val="clear" w:color="auto" w:fill="auto"/>
            <w:noWrap/>
            <w:vAlign w:val="center"/>
            <w:hideMark/>
          </w:tcPr>
          <w:p w14:paraId="6E3FEAB9"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CTNE</w:t>
            </w:r>
          </w:p>
        </w:tc>
        <w:tc>
          <w:tcPr>
            <w:tcW w:w="4311" w:type="pct"/>
            <w:shd w:val="clear" w:color="auto" w:fill="auto"/>
            <w:noWrap/>
            <w:vAlign w:val="center"/>
            <w:hideMark/>
          </w:tcPr>
          <w:p w14:paraId="251CB707"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Comité Technique National pour l’Environnement</w:t>
            </w:r>
          </w:p>
        </w:tc>
      </w:tr>
      <w:tr w:rsidR="004040F0" w:rsidRPr="00E01239" w14:paraId="3701CFA4" w14:textId="77777777" w:rsidTr="00047AA4">
        <w:trPr>
          <w:trHeight w:val="293"/>
        </w:trPr>
        <w:tc>
          <w:tcPr>
            <w:tcW w:w="689" w:type="pct"/>
            <w:shd w:val="clear" w:color="auto" w:fill="auto"/>
            <w:noWrap/>
            <w:vAlign w:val="center"/>
            <w:hideMark/>
          </w:tcPr>
          <w:p w14:paraId="5D045484" w14:textId="77777777" w:rsidR="00DA3DF6" w:rsidRPr="00E01239" w:rsidRDefault="00DA3DF6" w:rsidP="00DA3DF6">
            <w:pPr>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DAO</w:t>
            </w:r>
          </w:p>
        </w:tc>
        <w:tc>
          <w:tcPr>
            <w:tcW w:w="4311" w:type="pct"/>
            <w:shd w:val="clear" w:color="auto" w:fill="auto"/>
            <w:noWrap/>
            <w:vAlign w:val="center"/>
            <w:hideMark/>
          </w:tcPr>
          <w:p w14:paraId="0A2B37A1" w14:textId="77777777" w:rsidR="00DA3DF6" w:rsidRPr="00E01239" w:rsidRDefault="00DA3DF6" w:rsidP="00DA3DF6">
            <w:pPr>
              <w:rPr>
                <w:rFonts w:asciiTheme="minorHAnsi" w:hAnsiTheme="minorHAnsi" w:cstheme="minorHAnsi"/>
                <w:color w:val="000000"/>
                <w:sz w:val="22"/>
                <w:szCs w:val="22"/>
              </w:rPr>
            </w:pPr>
            <w:r w:rsidRPr="00E01239">
              <w:rPr>
                <w:rFonts w:asciiTheme="minorHAnsi" w:hAnsiTheme="minorHAnsi" w:cstheme="minorHAnsi"/>
                <w:color w:val="000000"/>
                <w:sz w:val="22"/>
                <w:szCs w:val="22"/>
              </w:rPr>
              <w:t>Dossier d'Appel d'Offre</w:t>
            </w:r>
          </w:p>
        </w:tc>
      </w:tr>
      <w:tr w:rsidR="004040F0" w:rsidRPr="00E01239" w14:paraId="1A2B1040" w14:textId="77777777" w:rsidTr="00047AA4">
        <w:trPr>
          <w:trHeight w:val="293"/>
        </w:trPr>
        <w:tc>
          <w:tcPr>
            <w:tcW w:w="689" w:type="pct"/>
            <w:shd w:val="clear" w:color="auto" w:fill="auto"/>
            <w:noWrap/>
            <w:vAlign w:val="center"/>
            <w:hideMark/>
          </w:tcPr>
          <w:p w14:paraId="5B878A3D"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DBO </w:t>
            </w:r>
          </w:p>
        </w:tc>
        <w:tc>
          <w:tcPr>
            <w:tcW w:w="4311" w:type="pct"/>
            <w:shd w:val="clear" w:color="auto" w:fill="auto"/>
            <w:noWrap/>
            <w:vAlign w:val="center"/>
            <w:hideMark/>
          </w:tcPr>
          <w:p w14:paraId="79CF20D2"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Demande Biologique en Oxygène</w:t>
            </w:r>
          </w:p>
        </w:tc>
      </w:tr>
      <w:tr w:rsidR="004040F0" w:rsidRPr="00E01239" w14:paraId="1F7D19A7" w14:textId="77777777" w:rsidTr="00047AA4">
        <w:trPr>
          <w:trHeight w:val="293"/>
        </w:trPr>
        <w:tc>
          <w:tcPr>
            <w:tcW w:w="689" w:type="pct"/>
            <w:shd w:val="clear" w:color="auto" w:fill="auto"/>
            <w:noWrap/>
            <w:vAlign w:val="center"/>
            <w:hideMark/>
          </w:tcPr>
          <w:p w14:paraId="011B39C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DEEC </w:t>
            </w:r>
          </w:p>
        </w:tc>
        <w:tc>
          <w:tcPr>
            <w:tcW w:w="4311" w:type="pct"/>
            <w:shd w:val="clear" w:color="auto" w:fill="auto"/>
            <w:noWrap/>
            <w:vAlign w:val="center"/>
            <w:hideMark/>
          </w:tcPr>
          <w:p w14:paraId="0C832DB4"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Direction de l’Environnement et des Etablissements classés </w:t>
            </w:r>
          </w:p>
        </w:tc>
      </w:tr>
      <w:tr w:rsidR="004040F0" w:rsidRPr="00E01239" w14:paraId="6418FCAE" w14:textId="77777777" w:rsidTr="00047AA4">
        <w:trPr>
          <w:trHeight w:val="293"/>
        </w:trPr>
        <w:tc>
          <w:tcPr>
            <w:tcW w:w="689" w:type="pct"/>
            <w:shd w:val="clear" w:color="auto" w:fill="auto"/>
            <w:noWrap/>
            <w:vAlign w:val="center"/>
            <w:hideMark/>
          </w:tcPr>
          <w:p w14:paraId="1D4DD0AF"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DEFCCS </w:t>
            </w:r>
          </w:p>
        </w:tc>
        <w:tc>
          <w:tcPr>
            <w:tcW w:w="4311" w:type="pct"/>
            <w:shd w:val="clear" w:color="auto" w:fill="auto"/>
            <w:noWrap/>
            <w:vAlign w:val="center"/>
            <w:hideMark/>
          </w:tcPr>
          <w:p w14:paraId="4D4B7D76"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Direction des Eaux et Forêts, Chasses et de la Conservation des Sols</w:t>
            </w:r>
          </w:p>
        </w:tc>
      </w:tr>
      <w:tr w:rsidR="004040F0" w:rsidRPr="00E01239" w14:paraId="67B70CE5" w14:textId="77777777" w:rsidTr="00047AA4">
        <w:trPr>
          <w:trHeight w:val="293"/>
        </w:trPr>
        <w:tc>
          <w:tcPr>
            <w:tcW w:w="689" w:type="pct"/>
            <w:shd w:val="clear" w:color="auto" w:fill="auto"/>
            <w:noWrap/>
            <w:vAlign w:val="center"/>
            <w:hideMark/>
          </w:tcPr>
          <w:p w14:paraId="2DA29B72"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DGPRE </w:t>
            </w:r>
          </w:p>
        </w:tc>
        <w:tc>
          <w:tcPr>
            <w:tcW w:w="4311" w:type="pct"/>
            <w:shd w:val="clear" w:color="auto" w:fill="auto"/>
            <w:noWrap/>
            <w:vAlign w:val="center"/>
            <w:hideMark/>
          </w:tcPr>
          <w:p w14:paraId="52321E08"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Direction de la Gestion et de la Planification des Ressources en Eau</w:t>
            </w:r>
          </w:p>
        </w:tc>
      </w:tr>
      <w:tr w:rsidR="004040F0" w:rsidRPr="00E01239" w14:paraId="50DB883F" w14:textId="77777777" w:rsidTr="00047AA4">
        <w:trPr>
          <w:trHeight w:val="293"/>
        </w:trPr>
        <w:tc>
          <w:tcPr>
            <w:tcW w:w="689" w:type="pct"/>
            <w:shd w:val="clear" w:color="auto" w:fill="auto"/>
            <w:noWrap/>
            <w:vAlign w:val="center"/>
            <w:hideMark/>
          </w:tcPr>
          <w:p w14:paraId="74768DEC"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DPV</w:t>
            </w:r>
          </w:p>
        </w:tc>
        <w:tc>
          <w:tcPr>
            <w:tcW w:w="4311" w:type="pct"/>
            <w:shd w:val="clear" w:color="auto" w:fill="auto"/>
            <w:noWrap/>
            <w:vAlign w:val="center"/>
            <w:hideMark/>
          </w:tcPr>
          <w:p w14:paraId="032F83AF"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Direction de la Protection des Végétaux</w:t>
            </w:r>
          </w:p>
        </w:tc>
      </w:tr>
      <w:tr w:rsidR="004040F0" w:rsidRPr="00E01239" w14:paraId="187BFB82" w14:textId="77777777" w:rsidTr="00047AA4">
        <w:trPr>
          <w:trHeight w:val="293"/>
        </w:trPr>
        <w:tc>
          <w:tcPr>
            <w:tcW w:w="689" w:type="pct"/>
            <w:shd w:val="clear" w:color="auto" w:fill="auto"/>
            <w:noWrap/>
            <w:vAlign w:val="center"/>
            <w:hideMark/>
          </w:tcPr>
          <w:p w14:paraId="1106B12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DREEC </w:t>
            </w:r>
          </w:p>
        </w:tc>
        <w:tc>
          <w:tcPr>
            <w:tcW w:w="4311" w:type="pct"/>
            <w:shd w:val="clear" w:color="auto" w:fill="auto"/>
            <w:noWrap/>
            <w:vAlign w:val="center"/>
            <w:hideMark/>
          </w:tcPr>
          <w:p w14:paraId="48C714F6" w14:textId="52273F32"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Direction Régionale de l’Environnement et des Etablissements </w:t>
            </w:r>
            <w:r w:rsidR="00760CF8" w:rsidRPr="00E01239">
              <w:rPr>
                <w:rFonts w:asciiTheme="minorHAnsi" w:hAnsiTheme="minorHAnsi" w:cstheme="minorHAnsi"/>
                <w:color w:val="000000"/>
                <w:sz w:val="22"/>
                <w:szCs w:val="22"/>
              </w:rPr>
              <w:t>C</w:t>
            </w:r>
            <w:r w:rsidRPr="00E01239">
              <w:rPr>
                <w:rFonts w:asciiTheme="minorHAnsi" w:hAnsiTheme="minorHAnsi" w:cstheme="minorHAnsi"/>
                <w:color w:val="000000"/>
                <w:sz w:val="22"/>
                <w:szCs w:val="22"/>
              </w:rPr>
              <w:t xml:space="preserve">lassés </w:t>
            </w:r>
          </w:p>
        </w:tc>
      </w:tr>
      <w:tr w:rsidR="004040F0" w:rsidRPr="00E01239" w14:paraId="42BACC72" w14:textId="77777777" w:rsidTr="00047AA4">
        <w:trPr>
          <w:trHeight w:val="293"/>
        </w:trPr>
        <w:tc>
          <w:tcPr>
            <w:tcW w:w="689" w:type="pct"/>
            <w:shd w:val="clear" w:color="auto" w:fill="auto"/>
            <w:noWrap/>
            <w:vAlign w:val="center"/>
            <w:hideMark/>
          </w:tcPr>
          <w:p w14:paraId="676C716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E&amp;S</w:t>
            </w:r>
          </w:p>
        </w:tc>
        <w:tc>
          <w:tcPr>
            <w:tcW w:w="4311" w:type="pct"/>
            <w:shd w:val="clear" w:color="auto" w:fill="auto"/>
            <w:noWrap/>
            <w:vAlign w:val="center"/>
            <w:hideMark/>
          </w:tcPr>
          <w:p w14:paraId="4647920D" w14:textId="46B0479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Environnemental et </w:t>
            </w:r>
            <w:r w:rsidR="00694856" w:rsidRPr="00E01239">
              <w:rPr>
                <w:rFonts w:asciiTheme="minorHAnsi" w:hAnsiTheme="minorHAnsi" w:cstheme="minorHAnsi"/>
                <w:color w:val="000000"/>
                <w:sz w:val="22"/>
                <w:szCs w:val="22"/>
              </w:rPr>
              <w:t>S</w:t>
            </w:r>
            <w:r w:rsidRPr="00E01239">
              <w:rPr>
                <w:rFonts w:asciiTheme="minorHAnsi" w:hAnsiTheme="minorHAnsi" w:cstheme="minorHAnsi"/>
                <w:color w:val="000000"/>
                <w:sz w:val="22"/>
                <w:szCs w:val="22"/>
              </w:rPr>
              <w:t>ocial</w:t>
            </w:r>
          </w:p>
        </w:tc>
      </w:tr>
      <w:tr w:rsidR="004040F0" w:rsidRPr="00E01239" w14:paraId="76E5A109" w14:textId="77777777" w:rsidTr="00047AA4">
        <w:trPr>
          <w:trHeight w:val="293"/>
        </w:trPr>
        <w:tc>
          <w:tcPr>
            <w:tcW w:w="689" w:type="pct"/>
            <w:shd w:val="clear" w:color="auto" w:fill="auto"/>
            <w:noWrap/>
            <w:vAlign w:val="center"/>
            <w:hideMark/>
          </w:tcPr>
          <w:p w14:paraId="13421572"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EAS</w:t>
            </w:r>
          </w:p>
        </w:tc>
        <w:tc>
          <w:tcPr>
            <w:tcW w:w="4311" w:type="pct"/>
            <w:shd w:val="clear" w:color="auto" w:fill="auto"/>
            <w:noWrap/>
            <w:vAlign w:val="center"/>
            <w:hideMark/>
          </w:tcPr>
          <w:p w14:paraId="693D7CB2"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Exploitation et Abus Sexuel</w:t>
            </w:r>
          </w:p>
        </w:tc>
      </w:tr>
      <w:tr w:rsidR="004040F0" w:rsidRPr="00E01239" w14:paraId="4F45A775" w14:textId="77777777" w:rsidTr="00047AA4">
        <w:trPr>
          <w:trHeight w:val="293"/>
        </w:trPr>
        <w:tc>
          <w:tcPr>
            <w:tcW w:w="689" w:type="pct"/>
            <w:shd w:val="clear" w:color="auto" w:fill="auto"/>
            <w:noWrap/>
            <w:vAlign w:val="center"/>
            <w:hideMark/>
          </w:tcPr>
          <w:p w14:paraId="625FD772"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EES </w:t>
            </w:r>
          </w:p>
        </w:tc>
        <w:tc>
          <w:tcPr>
            <w:tcW w:w="4311" w:type="pct"/>
            <w:shd w:val="clear" w:color="auto" w:fill="auto"/>
            <w:noWrap/>
            <w:vAlign w:val="center"/>
            <w:hideMark/>
          </w:tcPr>
          <w:p w14:paraId="11D90FF3"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Evaluation Environnementale Stratégique</w:t>
            </w:r>
          </w:p>
        </w:tc>
      </w:tr>
      <w:tr w:rsidR="004040F0" w:rsidRPr="00E01239" w14:paraId="7E05C4CE" w14:textId="77777777" w:rsidTr="00047AA4">
        <w:trPr>
          <w:trHeight w:val="293"/>
        </w:trPr>
        <w:tc>
          <w:tcPr>
            <w:tcW w:w="689" w:type="pct"/>
            <w:shd w:val="clear" w:color="auto" w:fill="auto"/>
            <w:noWrap/>
            <w:vAlign w:val="center"/>
            <w:hideMark/>
          </w:tcPr>
          <w:p w14:paraId="3E36069A"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EHS </w:t>
            </w:r>
          </w:p>
        </w:tc>
        <w:tc>
          <w:tcPr>
            <w:tcW w:w="4311" w:type="pct"/>
            <w:shd w:val="clear" w:color="auto" w:fill="auto"/>
            <w:noWrap/>
            <w:vAlign w:val="center"/>
            <w:hideMark/>
          </w:tcPr>
          <w:p w14:paraId="39A80648"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Environnement, Hygiène Santé</w:t>
            </w:r>
          </w:p>
        </w:tc>
      </w:tr>
      <w:tr w:rsidR="004040F0" w:rsidRPr="00E01239" w14:paraId="1D1529A3" w14:textId="77777777" w:rsidTr="00047AA4">
        <w:trPr>
          <w:trHeight w:val="293"/>
        </w:trPr>
        <w:tc>
          <w:tcPr>
            <w:tcW w:w="689" w:type="pct"/>
            <w:shd w:val="clear" w:color="auto" w:fill="auto"/>
            <w:noWrap/>
            <w:vAlign w:val="center"/>
            <w:hideMark/>
          </w:tcPr>
          <w:p w14:paraId="3E5C0C12" w14:textId="6491F221"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EIE</w:t>
            </w:r>
            <w:r w:rsidR="00EB5FD1" w:rsidRPr="00E01239">
              <w:rPr>
                <w:rFonts w:asciiTheme="minorHAnsi" w:hAnsiTheme="minorHAnsi" w:cstheme="minorHAnsi"/>
                <w:b/>
                <w:bCs/>
                <w:color w:val="0070C0"/>
                <w:sz w:val="22"/>
                <w:szCs w:val="22"/>
              </w:rPr>
              <w:t>S</w:t>
            </w:r>
            <w:r w:rsidRPr="00E01239">
              <w:rPr>
                <w:rFonts w:asciiTheme="minorHAnsi" w:hAnsiTheme="minorHAnsi" w:cstheme="minorHAnsi"/>
                <w:b/>
                <w:bCs/>
                <w:color w:val="0070C0"/>
                <w:sz w:val="22"/>
                <w:szCs w:val="22"/>
              </w:rPr>
              <w:t xml:space="preserve"> </w:t>
            </w:r>
          </w:p>
        </w:tc>
        <w:tc>
          <w:tcPr>
            <w:tcW w:w="4311" w:type="pct"/>
            <w:shd w:val="clear" w:color="auto" w:fill="auto"/>
            <w:noWrap/>
            <w:vAlign w:val="center"/>
            <w:hideMark/>
          </w:tcPr>
          <w:p w14:paraId="6C47E47B" w14:textId="4DD8820A"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Etude d’Impact Environnemental</w:t>
            </w:r>
            <w:r w:rsidR="00EB5FD1" w:rsidRPr="00E01239">
              <w:rPr>
                <w:rFonts w:asciiTheme="minorHAnsi" w:hAnsiTheme="minorHAnsi" w:cstheme="minorHAnsi"/>
                <w:color w:val="000000"/>
                <w:sz w:val="22"/>
                <w:szCs w:val="22"/>
              </w:rPr>
              <w:t xml:space="preserve"> et Social</w:t>
            </w:r>
          </w:p>
        </w:tc>
      </w:tr>
      <w:tr w:rsidR="004040F0" w:rsidRPr="00E01239" w14:paraId="4E09217B" w14:textId="77777777" w:rsidTr="00047AA4">
        <w:trPr>
          <w:trHeight w:val="293"/>
        </w:trPr>
        <w:tc>
          <w:tcPr>
            <w:tcW w:w="689" w:type="pct"/>
            <w:shd w:val="clear" w:color="auto" w:fill="auto"/>
            <w:noWrap/>
            <w:vAlign w:val="center"/>
            <w:hideMark/>
          </w:tcPr>
          <w:p w14:paraId="4FEB1BDE"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EISMV</w:t>
            </w:r>
          </w:p>
        </w:tc>
        <w:tc>
          <w:tcPr>
            <w:tcW w:w="4311" w:type="pct"/>
            <w:shd w:val="clear" w:color="auto" w:fill="auto"/>
            <w:noWrap/>
            <w:vAlign w:val="center"/>
            <w:hideMark/>
          </w:tcPr>
          <w:p w14:paraId="099902B2"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Ecole Inter-Etats des Sciences et Médecine Vétérinaires de Dakar</w:t>
            </w:r>
          </w:p>
        </w:tc>
      </w:tr>
      <w:tr w:rsidR="004040F0" w:rsidRPr="00E01239" w14:paraId="77A9922C" w14:textId="77777777" w:rsidTr="00047AA4">
        <w:trPr>
          <w:trHeight w:val="293"/>
        </w:trPr>
        <w:tc>
          <w:tcPr>
            <w:tcW w:w="689" w:type="pct"/>
            <w:shd w:val="clear" w:color="auto" w:fill="auto"/>
            <w:noWrap/>
            <w:vAlign w:val="center"/>
            <w:hideMark/>
          </w:tcPr>
          <w:p w14:paraId="4F565C13"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EPI </w:t>
            </w:r>
          </w:p>
        </w:tc>
        <w:tc>
          <w:tcPr>
            <w:tcW w:w="4311" w:type="pct"/>
            <w:shd w:val="clear" w:color="auto" w:fill="auto"/>
            <w:noWrap/>
            <w:vAlign w:val="center"/>
            <w:hideMark/>
          </w:tcPr>
          <w:p w14:paraId="3F17306D"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Equipement de Protection Individuelle</w:t>
            </w:r>
          </w:p>
        </w:tc>
      </w:tr>
      <w:tr w:rsidR="004040F0" w:rsidRPr="00E01239" w14:paraId="129C44C6" w14:textId="77777777" w:rsidTr="00047AA4">
        <w:trPr>
          <w:trHeight w:val="293"/>
        </w:trPr>
        <w:tc>
          <w:tcPr>
            <w:tcW w:w="689" w:type="pct"/>
            <w:shd w:val="clear" w:color="auto" w:fill="auto"/>
            <w:noWrap/>
            <w:vAlign w:val="center"/>
            <w:hideMark/>
          </w:tcPr>
          <w:p w14:paraId="3F59944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EPS</w:t>
            </w:r>
          </w:p>
        </w:tc>
        <w:tc>
          <w:tcPr>
            <w:tcW w:w="4311" w:type="pct"/>
            <w:shd w:val="clear" w:color="auto" w:fill="auto"/>
            <w:noWrap/>
            <w:vAlign w:val="center"/>
            <w:hideMark/>
          </w:tcPr>
          <w:p w14:paraId="6A99353D"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Etablissement Public de Santé</w:t>
            </w:r>
          </w:p>
        </w:tc>
      </w:tr>
      <w:tr w:rsidR="004040F0" w:rsidRPr="00E01239" w14:paraId="2F669637" w14:textId="77777777" w:rsidTr="00047AA4">
        <w:trPr>
          <w:trHeight w:val="293"/>
        </w:trPr>
        <w:tc>
          <w:tcPr>
            <w:tcW w:w="689" w:type="pct"/>
            <w:shd w:val="clear" w:color="auto" w:fill="auto"/>
            <w:noWrap/>
            <w:vAlign w:val="center"/>
            <w:hideMark/>
          </w:tcPr>
          <w:p w14:paraId="10070AB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FADSR</w:t>
            </w:r>
          </w:p>
        </w:tc>
        <w:tc>
          <w:tcPr>
            <w:tcW w:w="4311" w:type="pct"/>
            <w:shd w:val="clear" w:color="auto" w:fill="auto"/>
            <w:noWrap/>
            <w:vAlign w:val="center"/>
            <w:hideMark/>
          </w:tcPr>
          <w:p w14:paraId="7932DD74"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Fonds d'Appui au Développement du Secteur Rural </w:t>
            </w:r>
          </w:p>
        </w:tc>
      </w:tr>
      <w:tr w:rsidR="004040F0" w:rsidRPr="00E01239" w14:paraId="1EC96508" w14:textId="77777777" w:rsidTr="00047AA4">
        <w:trPr>
          <w:trHeight w:val="293"/>
        </w:trPr>
        <w:tc>
          <w:tcPr>
            <w:tcW w:w="689" w:type="pct"/>
            <w:shd w:val="clear" w:color="auto" w:fill="auto"/>
            <w:noWrap/>
            <w:vAlign w:val="center"/>
            <w:hideMark/>
          </w:tcPr>
          <w:p w14:paraId="0D9D853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FAO</w:t>
            </w:r>
          </w:p>
        </w:tc>
        <w:tc>
          <w:tcPr>
            <w:tcW w:w="4311" w:type="pct"/>
            <w:shd w:val="clear" w:color="auto" w:fill="auto"/>
            <w:noWrap/>
            <w:vAlign w:val="center"/>
            <w:hideMark/>
          </w:tcPr>
          <w:p w14:paraId="6F0B47AB"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Organisation des Nations unies pour l'alimentation et l'agriculture</w:t>
            </w:r>
          </w:p>
        </w:tc>
      </w:tr>
      <w:tr w:rsidR="004040F0" w:rsidRPr="00E01239" w14:paraId="7E9A4513" w14:textId="77777777" w:rsidTr="00047AA4">
        <w:trPr>
          <w:trHeight w:val="293"/>
        </w:trPr>
        <w:tc>
          <w:tcPr>
            <w:tcW w:w="689" w:type="pct"/>
            <w:shd w:val="clear" w:color="auto" w:fill="auto"/>
            <w:noWrap/>
            <w:vAlign w:val="center"/>
            <w:hideMark/>
          </w:tcPr>
          <w:p w14:paraId="2F35ABC4"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FID</w:t>
            </w:r>
            <w:r w:rsidRPr="00E01239">
              <w:rPr>
                <w:rFonts w:asciiTheme="minorHAnsi" w:hAnsiTheme="minorHAnsi" w:cstheme="minorHAnsi"/>
                <w:color w:val="000000"/>
                <w:sz w:val="22"/>
                <w:szCs w:val="22"/>
              </w:rPr>
              <w:t xml:space="preserve"> </w:t>
            </w:r>
          </w:p>
        </w:tc>
        <w:tc>
          <w:tcPr>
            <w:tcW w:w="4311" w:type="pct"/>
            <w:shd w:val="clear" w:color="auto" w:fill="auto"/>
            <w:noWrap/>
            <w:vAlign w:val="center"/>
            <w:hideMark/>
          </w:tcPr>
          <w:p w14:paraId="390B3919"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Fonds d’Innovation pour le Développement </w:t>
            </w:r>
          </w:p>
        </w:tc>
      </w:tr>
      <w:tr w:rsidR="004040F0" w:rsidRPr="00E01239" w14:paraId="2068295C" w14:textId="77777777" w:rsidTr="00047AA4">
        <w:trPr>
          <w:trHeight w:val="293"/>
        </w:trPr>
        <w:tc>
          <w:tcPr>
            <w:tcW w:w="689" w:type="pct"/>
            <w:shd w:val="clear" w:color="auto" w:fill="auto"/>
            <w:noWrap/>
            <w:vAlign w:val="center"/>
            <w:hideMark/>
          </w:tcPr>
          <w:p w14:paraId="7F58F7AA"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FNDASP</w:t>
            </w:r>
          </w:p>
        </w:tc>
        <w:tc>
          <w:tcPr>
            <w:tcW w:w="4311" w:type="pct"/>
            <w:shd w:val="clear" w:color="auto" w:fill="auto"/>
            <w:noWrap/>
            <w:vAlign w:val="center"/>
            <w:hideMark/>
          </w:tcPr>
          <w:p w14:paraId="13222813"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Fonds National de Développement Agro-</w:t>
            </w:r>
            <w:proofErr w:type="spellStart"/>
            <w:r w:rsidRPr="00E01239">
              <w:rPr>
                <w:rFonts w:asciiTheme="minorHAnsi" w:hAnsiTheme="minorHAnsi" w:cstheme="minorHAnsi"/>
                <w:color w:val="000000"/>
                <w:sz w:val="22"/>
                <w:szCs w:val="22"/>
              </w:rPr>
              <w:t>Sylvo</w:t>
            </w:r>
            <w:proofErr w:type="spellEnd"/>
            <w:r w:rsidRPr="00E01239">
              <w:rPr>
                <w:rFonts w:asciiTheme="minorHAnsi" w:hAnsiTheme="minorHAnsi" w:cstheme="minorHAnsi"/>
                <w:color w:val="000000"/>
                <w:sz w:val="22"/>
                <w:szCs w:val="22"/>
              </w:rPr>
              <w:t>-Pastoral</w:t>
            </w:r>
          </w:p>
        </w:tc>
      </w:tr>
      <w:tr w:rsidR="004040F0" w:rsidRPr="00E01239" w14:paraId="3B8C2245" w14:textId="77777777" w:rsidTr="00047AA4">
        <w:trPr>
          <w:trHeight w:val="293"/>
        </w:trPr>
        <w:tc>
          <w:tcPr>
            <w:tcW w:w="689" w:type="pct"/>
            <w:shd w:val="clear" w:color="auto" w:fill="auto"/>
            <w:noWrap/>
            <w:vAlign w:val="center"/>
            <w:hideMark/>
          </w:tcPr>
          <w:p w14:paraId="57077AB3"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FNRAA</w:t>
            </w:r>
          </w:p>
        </w:tc>
        <w:tc>
          <w:tcPr>
            <w:tcW w:w="4311" w:type="pct"/>
            <w:shd w:val="clear" w:color="auto" w:fill="auto"/>
            <w:noWrap/>
            <w:vAlign w:val="center"/>
            <w:hideMark/>
          </w:tcPr>
          <w:p w14:paraId="54FAFB6B"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Fonds National pour la Recherche Agricole et Agro-Alimentaire</w:t>
            </w:r>
          </w:p>
        </w:tc>
      </w:tr>
      <w:tr w:rsidR="004040F0" w:rsidRPr="00E01239" w14:paraId="67A300F7" w14:textId="77777777" w:rsidTr="00047AA4">
        <w:trPr>
          <w:trHeight w:val="293"/>
        </w:trPr>
        <w:tc>
          <w:tcPr>
            <w:tcW w:w="689" w:type="pct"/>
            <w:shd w:val="clear" w:color="auto" w:fill="auto"/>
            <w:noWrap/>
            <w:vAlign w:val="center"/>
            <w:hideMark/>
          </w:tcPr>
          <w:p w14:paraId="0A0B8836"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lastRenderedPageBreak/>
              <w:t>FONGIP</w:t>
            </w:r>
          </w:p>
        </w:tc>
        <w:tc>
          <w:tcPr>
            <w:tcW w:w="4311" w:type="pct"/>
            <w:shd w:val="clear" w:color="auto" w:fill="auto"/>
            <w:noWrap/>
            <w:vAlign w:val="center"/>
            <w:hideMark/>
          </w:tcPr>
          <w:p w14:paraId="77753C9B" w14:textId="3D9ECCC3"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Fonds de </w:t>
            </w:r>
            <w:r w:rsidR="000F37BD" w:rsidRPr="00E01239">
              <w:rPr>
                <w:rFonts w:asciiTheme="minorHAnsi" w:hAnsiTheme="minorHAnsi" w:cstheme="minorHAnsi"/>
                <w:color w:val="000000"/>
                <w:sz w:val="22"/>
                <w:szCs w:val="22"/>
              </w:rPr>
              <w:t>G</w:t>
            </w:r>
            <w:r w:rsidRPr="00E01239">
              <w:rPr>
                <w:rFonts w:asciiTheme="minorHAnsi" w:hAnsiTheme="minorHAnsi" w:cstheme="minorHAnsi"/>
                <w:color w:val="000000"/>
                <w:sz w:val="22"/>
                <w:szCs w:val="22"/>
              </w:rPr>
              <w:t xml:space="preserve">arantie des </w:t>
            </w:r>
            <w:r w:rsidR="000F37BD" w:rsidRPr="00E01239">
              <w:rPr>
                <w:rFonts w:asciiTheme="minorHAnsi" w:hAnsiTheme="minorHAnsi" w:cstheme="minorHAnsi"/>
                <w:color w:val="000000"/>
                <w:sz w:val="22"/>
                <w:szCs w:val="22"/>
              </w:rPr>
              <w:t>I</w:t>
            </w:r>
            <w:r w:rsidRPr="00E01239">
              <w:rPr>
                <w:rFonts w:asciiTheme="minorHAnsi" w:hAnsiTheme="minorHAnsi" w:cstheme="minorHAnsi"/>
                <w:color w:val="000000"/>
                <w:sz w:val="22"/>
                <w:szCs w:val="22"/>
              </w:rPr>
              <w:t xml:space="preserve">nvestissements </w:t>
            </w:r>
            <w:r w:rsidR="000F37BD" w:rsidRPr="00E01239">
              <w:rPr>
                <w:rFonts w:asciiTheme="minorHAnsi" w:hAnsiTheme="minorHAnsi" w:cstheme="minorHAnsi"/>
                <w:color w:val="000000"/>
                <w:sz w:val="22"/>
                <w:szCs w:val="22"/>
              </w:rPr>
              <w:t>P</w:t>
            </w:r>
            <w:r w:rsidRPr="00E01239">
              <w:rPr>
                <w:rFonts w:asciiTheme="minorHAnsi" w:hAnsiTheme="minorHAnsi" w:cstheme="minorHAnsi"/>
                <w:color w:val="000000"/>
                <w:sz w:val="22"/>
                <w:szCs w:val="22"/>
              </w:rPr>
              <w:t xml:space="preserve">rioritaires </w:t>
            </w:r>
          </w:p>
        </w:tc>
      </w:tr>
      <w:tr w:rsidR="004040F0" w:rsidRPr="00E01239" w14:paraId="35A2EF0C" w14:textId="77777777" w:rsidTr="00047AA4">
        <w:trPr>
          <w:trHeight w:val="293"/>
        </w:trPr>
        <w:tc>
          <w:tcPr>
            <w:tcW w:w="689" w:type="pct"/>
            <w:shd w:val="clear" w:color="auto" w:fill="auto"/>
            <w:noWrap/>
            <w:vAlign w:val="center"/>
            <w:hideMark/>
          </w:tcPr>
          <w:p w14:paraId="7368EAE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FONSIS</w:t>
            </w:r>
          </w:p>
        </w:tc>
        <w:tc>
          <w:tcPr>
            <w:tcW w:w="4311" w:type="pct"/>
            <w:shd w:val="clear" w:color="auto" w:fill="auto"/>
            <w:noWrap/>
            <w:vAlign w:val="center"/>
            <w:hideMark/>
          </w:tcPr>
          <w:p w14:paraId="1B08A4B2"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Fonds Souverain d'Investissements Stratégiques </w:t>
            </w:r>
            <w:r w:rsidRPr="00E01239">
              <w:rPr>
                <w:rFonts w:asciiTheme="minorHAnsi" w:hAnsiTheme="minorHAnsi" w:cstheme="minorHAnsi"/>
                <w:color w:val="000000"/>
                <w:sz w:val="20"/>
                <w:szCs w:val="20"/>
              </w:rPr>
              <w:t xml:space="preserve">(Sovereign Strategic Investment </w:t>
            </w:r>
            <w:proofErr w:type="spellStart"/>
            <w:r w:rsidRPr="00E01239">
              <w:rPr>
                <w:rFonts w:asciiTheme="minorHAnsi" w:hAnsiTheme="minorHAnsi" w:cstheme="minorHAnsi"/>
                <w:color w:val="000000"/>
                <w:sz w:val="20"/>
                <w:szCs w:val="20"/>
              </w:rPr>
              <w:t>Fund</w:t>
            </w:r>
            <w:proofErr w:type="spellEnd"/>
            <w:r w:rsidRPr="00E01239">
              <w:rPr>
                <w:rFonts w:asciiTheme="minorHAnsi" w:hAnsiTheme="minorHAnsi" w:cstheme="minorHAnsi"/>
                <w:color w:val="000000"/>
                <w:sz w:val="20"/>
                <w:szCs w:val="20"/>
              </w:rPr>
              <w:t>)</w:t>
            </w:r>
          </w:p>
        </w:tc>
      </w:tr>
      <w:tr w:rsidR="004040F0" w:rsidRPr="00E01239" w14:paraId="3A7ED284" w14:textId="77777777" w:rsidTr="00047AA4">
        <w:trPr>
          <w:trHeight w:val="293"/>
        </w:trPr>
        <w:tc>
          <w:tcPr>
            <w:tcW w:w="689" w:type="pct"/>
            <w:shd w:val="clear" w:color="auto" w:fill="auto"/>
            <w:noWrap/>
            <w:vAlign w:val="center"/>
            <w:hideMark/>
          </w:tcPr>
          <w:p w14:paraId="46B9638B"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FSRP</w:t>
            </w:r>
          </w:p>
        </w:tc>
        <w:tc>
          <w:tcPr>
            <w:tcW w:w="4311" w:type="pct"/>
            <w:shd w:val="clear" w:color="auto" w:fill="auto"/>
            <w:noWrap/>
            <w:vAlign w:val="center"/>
            <w:hideMark/>
          </w:tcPr>
          <w:p w14:paraId="1E5388B3" w14:textId="30F8B6F1" w:rsidR="00AD348C" w:rsidRPr="00E01239" w:rsidRDefault="00563E4F"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Food System </w:t>
            </w:r>
            <w:proofErr w:type="spellStart"/>
            <w:r w:rsidRPr="00E01239">
              <w:rPr>
                <w:rFonts w:asciiTheme="minorHAnsi" w:hAnsiTheme="minorHAnsi" w:cstheme="minorHAnsi"/>
                <w:color w:val="000000"/>
                <w:sz w:val="22"/>
                <w:szCs w:val="22"/>
              </w:rPr>
              <w:t>Resilience</w:t>
            </w:r>
            <w:proofErr w:type="spellEnd"/>
            <w:r w:rsidRPr="00E01239">
              <w:rPr>
                <w:rFonts w:asciiTheme="minorHAnsi" w:hAnsiTheme="minorHAnsi" w:cstheme="minorHAnsi"/>
                <w:color w:val="000000"/>
                <w:sz w:val="22"/>
                <w:szCs w:val="22"/>
              </w:rPr>
              <w:t xml:space="preserve"> Program</w:t>
            </w:r>
          </w:p>
          <w:p w14:paraId="512CB093" w14:textId="7F69057E"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Programme de </w:t>
            </w:r>
            <w:r w:rsidR="00D00068" w:rsidRPr="00E01239">
              <w:rPr>
                <w:rFonts w:asciiTheme="minorHAnsi" w:hAnsiTheme="minorHAnsi" w:cstheme="minorHAnsi"/>
                <w:color w:val="000000"/>
                <w:sz w:val="22"/>
                <w:szCs w:val="22"/>
              </w:rPr>
              <w:t>R</w:t>
            </w:r>
            <w:r w:rsidRPr="00E01239">
              <w:rPr>
                <w:rFonts w:asciiTheme="minorHAnsi" w:hAnsiTheme="minorHAnsi" w:cstheme="minorHAnsi"/>
                <w:color w:val="000000"/>
                <w:sz w:val="22"/>
                <w:szCs w:val="22"/>
              </w:rPr>
              <w:t xml:space="preserve">ésilience du </w:t>
            </w:r>
            <w:r w:rsidR="00D00068" w:rsidRPr="00E01239">
              <w:rPr>
                <w:rFonts w:asciiTheme="minorHAnsi" w:hAnsiTheme="minorHAnsi" w:cstheme="minorHAnsi"/>
                <w:color w:val="000000"/>
                <w:sz w:val="22"/>
                <w:szCs w:val="22"/>
              </w:rPr>
              <w:t>S</w:t>
            </w:r>
            <w:r w:rsidRPr="00E01239">
              <w:rPr>
                <w:rFonts w:asciiTheme="minorHAnsi" w:hAnsiTheme="minorHAnsi" w:cstheme="minorHAnsi"/>
                <w:color w:val="000000"/>
                <w:sz w:val="22"/>
                <w:szCs w:val="22"/>
              </w:rPr>
              <w:t xml:space="preserve">ystème </w:t>
            </w:r>
            <w:r w:rsidR="00D00068" w:rsidRPr="00E01239">
              <w:rPr>
                <w:rFonts w:asciiTheme="minorHAnsi" w:hAnsiTheme="minorHAnsi" w:cstheme="minorHAnsi"/>
                <w:color w:val="000000"/>
                <w:sz w:val="22"/>
                <w:szCs w:val="22"/>
              </w:rPr>
              <w:t>A</w:t>
            </w:r>
            <w:r w:rsidRPr="00E01239">
              <w:rPr>
                <w:rFonts w:asciiTheme="minorHAnsi" w:hAnsiTheme="minorHAnsi" w:cstheme="minorHAnsi"/>
                <w:color w:val="000000"/>
                <w:sz w:val="22"/>
                <w:szCs w:val="22"/>
              </w:rPr>
              <w:t>limentaire en Afrique de l'Ouest</w:t>
            </w:r>
            <w:r w:rsidR="00AD348C" w:rsidRPr="00E01239">
              <w:rPr>
                <w:rFonts w:asciiTheme="minorHAnsi" w:hAnsiTheme="minorHAnsi" w:cstheme="minorHAnsi"/>
                <w:color w:val="000000"/>
                <w:sz w:val="22"/>
                <w:szCs w:val="22"/>
              </w:rPr>
              <w:t xml:space="preserve"> </w:t>
            </w:r>
          </w:p>
        </w:tc>
      </w:tr>
      <w:tr w:rsidR="004040F0" w:rsidRPr="00E01239" w14:paraId="244B1543" w14:textId="77777777" w:rsidTr="00047AA4">
        <w:trPr>
          <w:trHeight w:val="293"/>
        </w:trPr>
        <w:tc>
          <w:tcPr>
            <w:tcW w:w="689" w:type="pct"/>
            <w:shd w:val="clear" w:color="auto" w:fill="auto"/>
            <w:noWrap/>
            <w:vAlign w:val="center"/>
            <w:hideMark/>
          </w:tcPr>
          <w:p w14:paraId="2E5EE700" w14:textId="77777777" w:rsidR="00DA3DF6" w:rsidRPr="00E01239" w:rsidRDefault="00DA3DF6" w:rsidP="00DA3DF6">
            <w:pPr>
              <w:jc w:val="both"/>
              <w:rPr>
                <w:rFonts w:asciiTheme="minorHAnsi" w:hAnsiTheme="minorHAnsi" w:cstheme="minorHAnsi"/>
                <w:b/>
                <w:bCs/>
                <w:color w:val="0070C0"/>
                <w:sz w:val="22"/>
                <w:szCs w:val="22"/>
              </w:rPr>
            </w:pPr>
            <w:proofErr w:type="spellStart"/>
            <w:r w:rsidRPr="00E01239">
              <w:rPr>
                <w:rFonts w:asciiTheme="minorHAnsi" w:hAnsiTheme="minorHAnsi" w:cstheme="minorHAnsi"/>
                <w:b/>
                <w:bCs/>
                <w:color w:val="0070C0"/>
                <w:sz w:val="22"/>
                <w:szCs w:val="22"/>
              </w:rPr>
              <w:t>GdS</w:t>
            </w:r>
            <w:proofErr w:type="spellEnd"/>
          </w:p>
        </w:tc>
        <w:tc>
          <w:tcPr>
            <w:tcW w:w="4311" w:type="pct"/>
            <w:shd w:val="clear" w:color="auto" w:fill="auto"/>
            <w:noWrap/>
            <w:vAlign w:val="center"/>
            <w:hideMark/>
          </w:tcPr>
          <w:p w14:paraId="09D0A4B3"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Gouvernement du Sénégal</w:t>
            </w:r>
          </w:p>
        </w:tc>
      </w:tr>
      <w:tr w:rsidR="004040F0" w:rsidRPr="00E01239" w14:paraId="35CE9A00" w14:textId="77777777" w:rsidTr="00047AA4">
        <w:trPr>
          <w:trHeight w:val="293"/>
        </w:trPr>
        <w:tc>
          <w:tcPr>
            <w:tcW w:w="689" w:type="pct"/>
            <w:shd w:val="clear" w:color="auto" w:fill="auto"/>
            <w:noWrap/>
            <w:vAlign w:val="center"/>
            <w:hideMark/>
          </w:tcPr>
          <w:p w14:paraId="6F7B6196"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GES</w:t>
            </w:r>
          </w:p>
        </w:tc>
        <w:tc>
          <w:tcPr>
            <w:tcW w:w="4311" w:type="pct"/>
            <w:shd w:val="clear" w:color="auto" w:fill="auto"/>
            <w:noWrap/>
            <w:vAlign w:val="center"/>
            <w:hideMark/>
          </w:tcPr>
          <w:p w14:paraId="6B5BA4CF"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Gaz à Effet de Serre </w:t>
            </w:r>
          </w:p>
        </w:tc>
      </w:tr>
      <w:tr w:rsidR="004040F0" w:rsidRPr="00E01239" w14:paraId="179C9E21" w14:textId="77777777" w:rsidTr="00047AA4">
        <w:trPr>
          <w:trHeight w:val="293"/>
        </w:trPr>
        <w:tc>
          <w:tcPr>
            <w:tcW w:w="689" w:type="pct"/>
            <w:shd w:val="clear" w:color="auto" w:fill="auto"/>
            <w:noWrap/>
            <w:vAlign w:val="center"/>
            <w:hideMark/>
          </w:tcPr>
          <w:p w14:paraId="51F6D521"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HS</w:t>
            </w:r>
          </w:p>
        </w:tc>
        <w:tc>
          <w:tcPr>
            <w:tcW w:w="4311" w:type="pct"/>
            <w:shd w:val="clear" w:color="auto" w:fill="auto"/>
            <w:noWrap/>
            <w:vAlign w:val="center"/>
            <w:hideMark/>
          </w:tcPr>
          <w:p w14:paraId="055B38BF"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Harcèlement Sexuel</w:t>
            </w:r>
          </w:p>
        </w:tc>
      </w:tr>
      <w:tr w:rsidR="004040F0" w:rsidRPr="00E01239" w14:paraId="3132F786" w14:textId="77777777" w:rsidTr="00047AA4">
        <w:trPr>
          <w:trHeight w:val="293"/>
        </w:trPr>
        <w:tc>
          <w:tcPr>
            <w:tcW w:w="689" w:type="pct"/>
            <w:shd w:val="clear" w:color="auto" w:fill="auto"/>
            <w:noWrap/>
            <w:vAlign w:val="center"/>
            <w:hideMark/>
          </w:tcPr>
          <w:p w14:paraId="6E6B07F1"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ICPE</w:t>
            </w:r>
          </w:p>
        </w:tc>
        <w:tc>
          <w:tcPr>
            <w:tcW w:w="4311" w:type="pct"/>
            <w:shd w:val="clear" w:color="auto" w:fill="auto"/>
            <w:noWrap/>
            <w:vAlign w:val="center"/>
            <w:hideMark/>
          </w:tcPr>
          <w:p w14:paraId="1B1C8BF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Installation Classée pour la Protection de l’Environnement</w:t>
            </w:r>
          </w:p>
        </w:tc>
      </w:tr>
      <w:tr w:rsidR="004040F0" w:rsidRPr="00E01239" w14:paraId="6D48FDC5" w14:textId="77777777" w:rsidTr="00047AA4">
        <w:trPr>
          <w:trHeight w:val="293"/>
        </w:trPr>
        <w:tc>
          <w:tcPr>
            <w:tcW w:w="689" w:type="pct"/>
            <w:shd w:val="clear" w:color="auto" w:fill="auto"/>
            <w:noWrap/>
            <w:vAlign w:val="center"/>
            <w:hideMark/>
          </w:tcPr>
          <w:p w14:paraId="0B4E9345"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IDA</w:t>
            </w:r>
          </w:p>
        </w:tc>
        <w:tc>
          <w:tcPr>
            <w:tcW w:w="4311" w:type="pct"/>
            <w:shd w:val="clear" w:color="auto" w:fill="auto"/>
            <w:noWrap/>
            <w:vAlign w:val="center"/>
            <w:hideMark/>
          </w:tcPr>
          <w:p w14:paraId="60746B65" w14:textId="7C5EC911"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Association </w:t>
            </w:r>
            <w:r w:rsidR="00097730" w:rsidRPr="00E01239">
              <w:rPr>
                <w:rFonts w:asciiTheme="minorHAnsi" w:hAnsiTheme="minorHAnsi" w:cstheme="minorHAnsi"/>
                <w:color w:val="000000"/>
                <w:sz w:val="22"/>
                <w:szCs w:val="22"/>
              </w:rPr>
              <w:t>I</w:t>
            </w:r>
            <w:r w:rsidRPr="00E01239">
              <w:rPr>
                <w:rFonts w:asciiTheme="minorHAnsi" w:hAnsiTheme="minorHAnsi" w:cstheme="minorHAnsi"/>
                <w:color w:val="000000"/>
                <w:sz w:val="22"/>
                <w:szCs w:val="22"/>
              </w:rPr>
              <w:t xml:space="preserve">nternationale de </w:t>
            </w:r>
            <w:r w:rsidR="008E2C14" w:rsidRPr="00E01239">
              <w:rPr>
                <w:rFonts w:asciiTheme="minorHAnsi" w:hAnsiTheme="minorHAnsi" w:cstheme="minorHAnsi"/>
                <w:color w:val="000000"/>
                <w:sz w:val="22"/>
                <w:szCs w:val="22"/>
              </w:rPr>
              <w:t>D</w:t>
            </w:r>
            <w:r w:rsidRPr="00E01239">
              <w:rPr>
                <w:rFonts w:asciiTheme="minorHAnsi" w:hAnsiTheme="minorHAnsi" w:cstheme="minorHAnsi"/>
                <w:color w:val="000000"/>
                <w:sz w:val="22"/>
                <w:szCs w:val="22"/>
              </w:rPr>
              <w:t>éveloppement</w:t>
            </w:r>
          </w:p>
        </w:tc>
      </w:tr>
      <w:tr w:rsidR="004040F0" w:rsidRPr="00E01239" w14:paraId="1871D1CB" w14:textId="77777777" w:rsidTr="00047AA4">
        <w:trPr>
          <w:trHeight w:val="293"/>
        </w:trPr>
        <w:tc>
          <w:tcPr>
            <w:tcW w:w="689" w:type="pct"/>
            <w:shd w:val="clear" w:color="auto" w:fill="auto"/>
            <w:noWrap/>
            <w:vAlign w:val="center"/>
            <w:hideMark/>
          </w:tcPr>
          <w:p w14:paraId="243C66FA"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IRA</w:t>
            </w:r>
          </w:p>
        </w:tc>
        <w:tc>
          <w:tcPr>
            <w:tcW w:w="4311" w:type="pct"/>
            <w:shd w:val="clear" w:color="auto" w:fill="auto"/>
            <w:noWrap/>
            <w:vAlign w:val="center"/>
            <w:hideMark/>
          </w:tcPr>
          <w:p w14:paraId="3C475AC3"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Infection Respiratoire Aiguë</w:t>
            </w:r>
          </w:p>
        </w:tc>
      </w:tr>
      <w:tr w:rsidR="004040F0" w:rsidRPr="00E01239" w14:paraId="36A2D67C" w14:textId="77777777" w:rsidTr="00047AA4">
        <w:trPr>
          <w:trHeight w:val="293"/>
        </w:trPr>
        <w:tc>
          <w:tcPr>
            <w:tcW w:w="689" w:type="pct"/>
            <w:shd w:val="clear" w:color="auto" w:fill="auto"/>
            <w:noWrap/>
            <w:vAlign w:val="center"/>
            <w:hideMark/>
          </w:tcPr>
          <w:p w14:paraId="618A224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IST </w:t>
            </w:r>
          </w:p>
        </w:tc>
        <w:tc>
          <w:tcPr>
            <w:tcW w:w="4311" w:type="pct"/>
            <w:shd w:val="clear" w:color="auto" w:fill="auto"/>
            <w:noWrap/>
            <w:vAlign w:val="center"/>
            <w:hideMark/>
          </w:tcPr>
          <w:p w14:paraId="0B50D25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Infection Sexuellement Transmissible</w:t>
            </w:r>
          </w:p>
        </w:tc>
      </w:tr>
      <w:tr w:rsidR="004040F0" w:rsidRPr="00E01239" w14:paraId="7851F844" w14:textId="77777777" w:rsidTr="00047AA4">
        <w:trPr>
          <w:trHeight w:val="293"/>
        </w:trPr>
        <w:tc>
          <w:tcPr>
            <w:tcW w:w="689" w:type="pct"/>
            <w:shd w:val="clear" w:color="auto" w:fill="auto"/>
            <w:noWrap/>
            <w:vAlign w:val="center"/>
            <w:hideMark/>
          </w:tcPr>
          <w:p w14:paraId="200B1C54"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LNERV</w:t>
            </w:r>
          </w:p>
        </w:tc>
        <w:tc>
          <w:tcPr>
            <w:tcW w:w="4311" w:type="pct"/>
            <w:shd w:val="clear" w:color="auto" w:fill="auto"/>
            <w:noWrap/>
            <w:vAlign w:val="center"/>
            <w:hideMark/>
          </w:tcPr>
          <w:p w14:paraId="654A8EB7"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Laboratoire National de l'Elevage et de Recherches Vétérinaires </w:t>
            </w:r>
          </w:p>
        </w:tc>
      </w:tr>
      <w:tr w:rsidR="004040F0" w:rsidRPr="00E01239" w14:paraId="61B054C7" w14:textId="77777777" w:rsidTr="00047AA4">
        <w:trPr>
          <w:trHeight w:val="293"/>
        </w:trPr>
        <w:tc>
          <w:tcPr>
            <w:tcW w:w="689" w:type="pct"/>
            <w:shd w:val="clear" w:color="auto" w:fill="auto"/>
            <w:noWrap/>
            <w:vAlign w:val="center"/>
            <w:hideMark/>
          </w:tcPr>
          <w:p w14:paraId="7BAE373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LOASP</w:t>
            </w:r>
          </w:p>
        </w:tc>
        <w:tc>
          <w:tcPr>
            <w:tcW w:w="4311" w:type="pct"/>
            <w:shd w:val="clear" w:color="auto" w:fill="auto"/>
            <w:noWrap/>
            <w:vAlign w:val="center"/>
            <w:hideMark/>
          </w:tcPr>
          <w:p w14:paraId="65895C8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Loi d’Orientation Agrosylvopastorale </w:t>
            </w:r>
          </w:p>
        </w:tc>
      </w:tr>
      <w:tr w:rsidR="004040F0" w:rsidRPr="00E01239" w14:paraId="1C974D71" w14:textId="77777777" w:rsidTr="00047AA4">
        <w:trPr>
          <w:trHeight w:val="293"/>
        </w:trPr>
        <w:tc>
          <w:tcPr>
            <w:tcW w:w="689" w:type="pct"/>
            <w:shd w:val="clear" w:color="auto" w:fill="auto"/>
            <w:noWrap/>
            <w:vAlign w:val="center"/>
            <w:hideMark/>
          </w:tcPr>
          <w:p w14:paraId="44B1420A"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LP/SEDD</w:t>
            </w:r>
          </w:p>
        </w:tc>
        <w:tc>
          <w:tcPr>
            <w:tcW w:w="4311" w:type="pct"/>
            <w:shd w:val="clear" w:color="auto" w:fill="auto"/>
            <w:noWrap/>
            <w:vAlign w:val="center"/>
            <w:hideMark/>
          </w:tcPr>
          <w:p w14:paraId="5F3F5B1D"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Lettre de Politique du Secteur de l’Environnement et du Développement Durable </w:t>
            </w:r>
          </w:p>
        </w:tc>
      </w:tr>
      <w:tr w:rsidR="004040F0" w:rsidRPr="00E01239" w14:paraId="0552F346" w14:textId="77777777" w:rsidTr="00047AA4">
        <w:trPr>
          <w:trHeight w:val="293"/>
        </w:trPr>
        <w:tc>
          <w:tcPr>
            <w:tcW w:w="689" w:type="pct"/>
            <w:shd w:val="clear" w:color="auto" w:fill="auto"/>
            <w:noWrap/>
            <w:vAlign w:val="center"/>
            <w:hideMark/>
          </w:tcPr>
          <w:p w14:paraId="73829CB9"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LPSDA</w:t>
            </w:r>
          </w:p>
        </w:tc>
        <w:tc>
          <w:tcPr>
            <w:tcW w:w="4311" w:type="pct"/>
            <w:shd w:val="clear" w:color="auto" w:fill="auto"/>
            <w:noWrap/>
            <w:vAlign w:val="center"/>
            <w:hideMark/>
          </w:tcPr>
          <w:p w14:paraId="74C359A5"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Lettre de Politique Sectorielle de Développement de l'Agriculture</w:t>
            </w:r>
          </w:p>
        </w:tc>
      </w:tr>
      <w:tr w:rsidR="004040F0" w:rsidRPr="00E01239" w14:paraId="2F824DC9" w14:textId="77777777" w:rsidTr="00047AA4">
        <w:trPr>
          <w:trHeight w:val="293"/>
        </w:trPr>
        <w:tc>
          <w:tcPr>
            <w:tcW w:w="689" w:type="pct"/>
            <w:shd w:val="clear" w:color="auto" w:fill="auto"/>
            <w:noWrap/>
            <w:vAlign w:val="center"/>
            <w:hideMark/>
          </w:tcPr>
          <w:p w14:paraId="5A4B804C"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LPSDE</w:t>
            </w:r>
          </w:p>
        </w:tc>
        <w:tc>
          <w:tcPr>
            <w:tcW w:w="4311" w:type="pct"/>
            <w:shd w:val="clear" w:color="auto" w:fill="auto"/>
            <w:noWrap/>
            <w:vAlign w:val="center"/>
            <w:hideMark/>
          </w:tcPr>
          <w:p w14:paraId="1D85C279"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Lettre de Politique Sectorielle de Développement de l'Elevage</w:t>
            </w:r>
          </w:p>
        </w:tc>
      </w:tr>
      <w:tr w:rsidR="004040F0" w:rsidRPr="00E01239" w14:paraId="75B59C4E" w14:textId="77777777" w:rsidTr="00047AA4">
        <w:trPr>
          <w:trHeight w:val="293"/>
        </w:trPr>
        <w:tc>
          <w:tcPr>
            <w:tcW w:w="689" w:type="pct"/>
            <w:shd w:val="clear" w:color="auto" w:fill="auto"/>
            <w:noWrap/>
            <w:vAlign w:val="center"/>
            <w:hideMark/>
          </w:tcPr>
          <w:p w14:paraId="34EEE9D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MAERSA</w:t>
            </w:r>
          </w:p>
        </w:tc>
        <w:tc>
          <w:tcPr>
            <w:tcW w:w="4311" w:type="pct"/>
            <w:shd w:val="clear" w:color="auto" w:fill="auto"/>
            <w:noWrap/>
            <w:vAlign w:val="center"/>
            <w:hideMark/>
          </w:tcPr>
          <w:p w14:paraId="4C8DC46E"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Ministère de l'Agriculture, de l'Équipement Rural et de la Souveraineté Alimentaire</w:t>
            </w:r>
          </w:p>
        </w:tc>
      </w:tr>
      <w:tr w:rsidR="004040F0" w:rsidRPr="00E01239" w14:paraId="54FC568F" w14:textId="77777777" w:rsidTr="00047AA4">
        <w:trPr>
          <w:trHeight w:val="293"/>
        </w:trPr>
        <w:tc>
          <w:tcPr>
            <w:tcW w:w="689" w:type="pct"/>
            <w:shd w:val="clear" w:color="auto" w:fill="auto"/>
            <w:noWrap/>
            <w:vAlign w:val="center"/>
            <w:hideMark/>
          </w:tcPr>
          <w:p w14:paraId="533A4F33" w14:textId="77777777" w:rsidR="00DA3DF6" w:rsidRPr="00E01239" w:rsidRDefault="00DA3DF6" w:rsidP="00DA3DF6">
            <w:pPr>
              <w:jc w:val="both"/>
              <w:rPr>
                <w:rFonts w:asciiTheme="minorHAnsi" w:hAnsiTheme="minorHAnsi" w:cstheme="minorHAnsi"/>
                <w:b/>
                <w:bCs/>
                <w:color w:val="0070C0"/>
                <w:sz w:val="22"/>
                <w:szCs w:val="22"/>
              </w:rPr>
            </w:pPr>
            <w:proofErr w:type="spellStart"/>
            <w:r w:rsidRPr="00E01239">
              <w:rPr>
                <w:rFonts w:asciiTheme="minorHAnsi" w:hAnsiTheme="minorHAnsi" w:cstheme="minorHAnsi"/>
                <w:b/>
                <w:bCs/>
                <w:color w:val="0070C0"/>
                <w:sz w:val="22"/>
                <w:szCs w:val="22"/>
              </w:rPr>
              <w:t>MdC</w:t>
            </w:r>
            <w:proofErr w:type="spellEnd"/>
          </w:p>
        </w:tc>
        <w:tc>
          <w:tcPr>
            <w:tcW w:w="4311" w:type="pct"/>
            <w:shd w:val="clear" w:color="auto" w:fill="auto"/>
            <w:noWrap/>
            <w:vAlign w:val="center"/>
            <w:hideMark/>
          </w:tcPr>
          <w:p w14:paraId="7EFD42E5"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Mission de Contrôle</w:t>
            </w:r>
          </w:p>
        </w:tc>
      </w:tr>
      <w:tr w:rsidR="004040F0" w:rsidRPr="00E01239" w14:paraId="65AB4AEF" w14:textId="77777777" w:rsidTr="00047AA4">
        <w:trPr>
          <w:trHeight w:val="293"/>
        </w:trPr>
        <w:tc>
          <w:tcPr>
            <w:tcW w:w="689" w:type="pct"/>
            <w:shd w:val="clear" w:color="auto" w:fill="auto"/>
            <w:noWrap/>
            <w:vAlign w:val="center"/>
            <w:hideMark/>
          </w:tcPr>
          <w:p w14:paraId="6F91801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MEPA</w:t>
            </w:r>
          </w:p>
        </w:tc>
        <w:tc>
          <w:tcPr>
            <w:tcW w:w="4311" w:type="pct"/>
            <w:shd w:val="clear" w:color="auto" w:fill="auto"/>
            <w:noWrap/>
            <w:vAlign w:val="center"/>
            <w:hideMark/>
          </w:tcPr>
          <w:p w14:paraId="3BEBF1E2"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Ministère de l'Elevage et des Productions Animales</w:t>
            </w:r>
          </w:p>
        </w:tc>
      </w:tr>
      <w:tr w:rsidR="004040F0" w:rsidRPr="00E01239" w14:paraId="46DDEC9A" w14:textId="77777777" w:rsidTr="00047AA4">
        <w:trPr>
          <w:trHeight w:val="293"/>
        </w:trPr>
        <w:tc>
          <w:tcPr>
            <w:tcW w:w="689" w:type="pct"/>
            <w:shd w:val="clear" w:color="auto" w:fill="auto"/>
            <w:noWrap/>
            <w:vAlign w:val="center"/>
            <w:hideMark/>
          </w:tcPr>
          <w:p w14:paraId="776698E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MGP</w:t>
            </w:r>
          </w:p>
        </w:tc>
        <w:tc>
          <w:tcPr>
            <w:tcW w:w="4311" w:type="pct"/>
            <w:shd w:val="clear" w:color="auto" w:fill="auto"/>
            <w:noWrap/>
            <w:vAlign w:val="center"/>
            <w:hideMark/>
          </w:tcPr>
          <w:p w14:paraId="3603B25A"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Mécanisme de Gestion des Plaintes</w:t>
            </w:r>
          </w:p>
        </w:tc>
      </w:tr>
      <w:tr w:rsidR="004040F0" w:rsidRPr="00E01239" w14:paraId="188DF058" w14:textId="77777777" w:rsidTr="00047AA4">
        <w:trPr>
          <w:trHeight w:val="293"/>
        </w:trPr>
        <w:tc>
          <w:tcPr>
            <w:tcW w:w="689" w:type="pct"/>
            <w:shd w:val="clear" w:color="auto" w:fill="auto"/>
            <w:noWrap/>
            <w:vAlign w:val="center"/>
            <w:hideMark/>
          </w:tcPr>
          <w:p w14:paraId="4ACABBD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NES</w:t>
            </w:r>
          </w:p>
        </w:tc>
        <w:tc>
          <w:tcPr>
            <w:tcW w:w="4311" w:type="pct"/>
            <w:shd w:val="clear" w:color="auto" w:fill="auto"/>
            <w:noWrap/>
            <w:vAlign w:val="center"/>
            <w:hideMark/>
          </w:tcPr>
          <w:p w14:paraId="5E951686"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Norme Environnementale et Sociale</w:t>
            </w:r>
          </w:p>
        </w:tc>
      </w:tr>
      <w:tr w:rsidR="004040F0" w:rsidRPr="00E01239" w14:paraId="078DBC8B" w14:textId="77777777" w:rsidTr="00047AA4">
        <w:trPr>
          <w:trHeight w:val="293"/>
        </w:trPr>
        <w:tc>
          <w:tcPr>
            <w:tcW w:w="689" w:type="pct"/>
            <w:shd w:val="clear" w:color="auto" w:fill="auto"/>
            <w:noWrap/>
            <w:vAlign w:val="center"/>
            <w:hideMark/>
          </w:tcPr>
          <w:p w14:paraId="184A1565"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NO</w:t>
            </w:r>
          </w:p>
        </w:tc>
        <w:tc>
          <w:tcPr>
            <w:tcW w:w="4311" w:type="pct"/>
            <w:shd w:val="clear" w:color="auto" w:fill="auto"/>
            <w:noWrap/>
            <w:vAlign w:val="center"/>
            <w:hideMark/>
          </w:tcPr>
          <w:p w14:paraId="6D238AB9"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Note d’Orientation</w:t>
            </w:r>
          </w:p>
        </w:tc>
      </w:tr>
      <w:tr w:rsidR="004040F0" w:rsidRPr="00E01239" w14:paraId="325CE301" w14:textId="77777777" w:rsidTr="00047AA4">
        <w:trPr>
          <w:trHeight w:val="293"/>
        </w:trPr>
        <w:tc>
          <w:tcPr>
            <w:tcW w:w="689" w:type="pct"/>
            <w:shd w:val="clear" w:color="auto" w:fill="auto"/>
            <w:noWrap/>
            <w:vAlign w:val="center"/>
            <w:hideMark/>
          </w:tcPr>
          <w:p w14:paraId="6386D22C" w14:textId="77777777" w:rsidR="00DA3DF6" w:rsidRPr="00E01239" w:rsidRDefault="00DA3DF6" w:rsidP="00DA3DF6">
            <w:pPr>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OCB</w:t>
            </w:r>
          </w:p>
        </w:tc>
        <w:tc>
          <w:tcPr>
            <w:tcW w:w="4311" w:type="pct"/>
            <w:shd w:val="clear" w:color="auto" w:fill="auto"/>
            <w:noWrap/>
            <w:vAlign w:val="center"/>
            <w:hideMark/>
          </w:tcPr>
          <w:p w14:paraId="4639CC3C" w14:textId="77777777" w:rsidR="00DA3DF6" w:rsidRPr="00E01239" w:rsidRDefault="00DA3DF6" w:rsidP="00DA3DF6">
            <w:pPr>
              <w:rPr>
                <w:rFonts w:asciiTheme="minorHAnsi" w:hAnsiTheme="minorHAnsi" w:cstheme="minorHAnsi"/>
                <w:color w:val="000000"/>
                <w:sz w:val="22"/>
                <w:szCs w:val="22"/>
              </w:rPr>
            </w:pPr>
            <w:r w:rsidRPr="00E01239">
              <w:rPr>
                <w:rFonts w:asciiTheme="minorHAnsi" w:hAnsiTheme="minorHAnsi" w:cstheme="minorHAnsi"/>
                <w:color w:val="000000"/>
                <w:sz w:val="22"/>
                <w:szCs w:val="22"/>
              </w:rPr>
              <w:t>Organisation Communautaire de Base</w:t>
            </w:r>
          </w:p>
        </w:tc>
      </w:tr>
      <w:tr w:rsidR="004040F0" w:rsidRPr="00E01239" w14:paraId="0780C8C6" w14:textId="77777777" w:rsidTr="00047AA4">
        <w:trPr>
          <w:trHeight w:val="293"/>
        </w:trPr>
        <w:tc>
          <w:tcPr>
            <w:tcW w:w="689" w:type="pct"/>
            <w:shd w:val="clear" w:color="auto" w:fill="auto"/>
            <w:noWrap/>
            <w:vAlign w:val="center"/>
            <w:hideMark/>
          </w:tcPr>
          <w:p w14:paraId="307D6299"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ODP</w:t>
            </w:r>
          </w:p>
        </w:tc>
        <w:tc>
          <w:tcPr>
            <w:tcW w:w="4311" w:type="pct"/>
            <w:shd w:val="clear" w:color="auto" w:fill="auto"/>
            <w:noWrap/>
            <w:vAlign w:val="center"/>
            <w:hideMark/>
          </w:tcPr>
          <w:p w14:paraId="553C5B20" w14:textId="5590D109"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Objectif de </w:t>
            </w:r>
            <w:r w:rsidR="008E2C14" w:rsidRPr="00E01239">
              <w:rPr>
                <w:rFonts w:asciiTheme="minorHAnsi" w:hAnsiTheme="minorHAnsi" w:cstheme="minorHAnsi"/>
                <w:color w:val="000000"/>
                <w:sz w:val="22"/>
                <w:szCs w:val="22"/>
              </w:rPr>
              <w:t>D</w:t>
            </w:r>
            <w:r w:rsidRPr="00E01239">
              <w:rPr>
                <w:rFonts w:asciiTheme="minorHAnsi" w:hAnsiTheme="minorHAnsi" w:cstheme="minorHAnsi"/>
                <w:color w:val="000000"/>
                <w:sz w:val="22"/>
                <w:szCs w:val="22"/>
              </w:rPr>
              <w:t xml:space="preserve">éveloppement du </w:t>
            </w:r>
            <w:r w:rsidR="008E2C14" w:rsidRPr="00E01239">
              <w:rPr>
                <w:rFonts w:asciiTheme="minorHAnsi" w:hAnsiTheme="minorHAnsi" w:cstheme="minorHAnsi"/>
                <w:color w:val="000000"/>
                <w:sz w:val="22"/>
                <w:szCs w:val="22"/>
              </w:rPr>
              <w:t>P</w:t>
            </w:r>
            <w:r w:rsidRPr="00E01239">
              <w:rPr>
                <w:rFonts w:asciiTheme="minorHAnsi" w:hAnsiTheme="minorHAnsi" w:cstheme="minorHAnsi"/>
                <w:color w:val="000000"/>
                <w:sz w:val="22"/>
                <w:szCs w:val="22"/>
              </w:rPr>
              <w:t>rojet</w:t>
            </w:r>
          </w:p>
        </w:tc>
      </w:tr>
      <w:tr w:rsidR="004040F0" w:rsidRPr="00E01239" w14:paraId="588BA0DF" w14:textId="77777777" w:rsidTr="00047AA4">
        <w:trPr>
          <w:trHeight w:val="293"/>
        </w:trPr>
        <w:tc>
          <w:tcPr>
            <w:tcW w:w="689" w:type="pct"/>
            <w:shd w:val="clear" w:color="auto" w:fill="auto"/>
            <w:noWrap/>
            <w:vAlign w:val="center"/>
            <w:hideMark/>
          </w:tcPr>
          <w:p w14:paraId="72A307DA" w14:textId="77777777" w:rsidR="00DA3DF6" w:rsidRPr="00E01239" w:rsidRDefault="00DA3DF6" w:rsidP="00DA3DF6">
            <w:pPr>
              <w:jc w:val="both"/>
              <w:rPr>
                <w:rFonts w:asciiTheme="minorHAnsi" w:hAnsiTheme="minorHAnsi" w:cstheme="minorHAnsi"/>
                <w:b/>
                <w:bCs/>
                <w:color w:val="0070C0"/>
                <w:sz w:val="22"/>
                <w:szCs w:val="22"/>
              </w:rPr>
            </w:pPr>
            <w:proofErr w:type="spellStart"/>
            <w:r w:rsidRPr="00E01239">
              <w:rPr>
                <w:rFonts w:asciiTheme="minorHAnsi" w:hAnsiTheme="minorHAnsi" w:cstheme="minorHAnsi"/>
                <w:b/>
                <w:bCs/>
                <w:color w:val="0070C0"/>
                <w:sz w:val="22"/>
                <w:szCs w:val="22"/>
              </w:rPr>
              <w:t>ODPr</w:t>
            </w:r>
            <w:proofErr w:type="spellEnd"/>
          </w:p>
        </w:tc>
        <w:tc>
          <w:tcPr>
            <w:tcW w:w="4311" w:type="pct"/>
            <w:shd w:val="clear" w:color="auto" w:fill="auto"/>
            <w:noWrap/>
            <w:vAlign w:val="center"/>
            <w:hideMark/>
          </w:tcPr>
          <w:p w14:paraId="737131AD" w14:textId="16C35632"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Objectif de </w:t>
            </w:r>
            <w:r w:rsidR="008E2C14" w:rsidRPr="00E01239">
              <w:rPr>
                <w:rFonts w:asciiTheme="minorHAnsi" w:hAnsiTheme="minorHAnsi" w:cstheme="minorHAnsi"/>
                <w:color w:val="000000"/>
                <w:sz w:val="22"/>
                <w:szCs w:val="22"/>
              </w:rPr>
              <w:t>D</w:t>
            </w:r>
            <w:r w:rsidRPr="00E01239">
              <w:rPr>
                <w:rFonts w:asciiTheme="minorHAnsi" w:hAnsiTheme="minorHAnsi" w:cstheme="minorHAnsi"/>
                <w:color w:val="000000"/>
                <w:sz w:val="22"/>
                <w:szCs w:val="22"/>
              </w:rPr>
              <w:t xml:space="preserve">éveloppement du </w:t>
            </w:r>
            <w:r w:rsidR="008E2C14" w:rsidRPr="00E01239">
              <w:rPr>
                <w:rFonts w:asciiTheme="minorHAnsi" w:hAnsiTheme="minorHAnsi" w:cstheme="minorHAnsi"/>
                <w:color w:val="000000"/>
                <w:sz w:val="22"/>
                <w:szCs w:val="22"/>
              </w:rPr>
              <w:t>P</w:t>
            </w:r>
            <w:r w:rsidRPr="00E01239">
              <w:rPr>
                <w:rFonts w:asciiTheme="minorHAnsi" w:hAnsiTheme="minorHAnsi" w:cstheme="minorHAnsi"/>
                <w:color w:val="000000"/>
                <w:sz w:val="22"/>
                <w:szCs w:val="22"/>
              </w:rPr>
              <w:t xml:space="preserve">rogramme </w:t>
            </w:r>
          </w:p>
        </w:tc>
      </w:tr>
      <w:tr w:rsidR="004040F0" w:rsidRPr="00E01239" w14:paraId="49162BC4" w14:textId="77777777" w:rsidTr="00047AA4">
        <w:trPr>
          <w:trHeight w:val="293"/>
        </w:trPr>
        <w:tc>
          <w:tcPr>
            <w:tcW w:w="689" w:type="pct"/>
            <w:shd w:val="clear" w:color="auto" w:fill="auto"/>
            <w:noWrap/>
            <w:vAlign w:val="center"/>
            <w:hideMark/>
          </w:tcPr>
          <w:p w14:paraId="7FA781EB"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OFOR</w:t>
            </w:r>
          </w:p>
        </w:tc>
        <w:tc>
          <w:tcPr>
            <w:tcW w:w="4311" w:type="pct"/>
            <w:shd w:val="clear" w:color="auto" w:fill="auto"/>
            <w:noWrap/>
            <w:vAlign w:val="center"/>
            <w:hideMark/>
          </w:tcPr>
          <w:p w14:paraId="58301EB0"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Office des Forages Ruraux </w:t>
            </w:r>
          </w:p>
        </w:tc>
      </w:tr>
      <w:tr w:rsidR="004040F0" w:rsidRPr="00E01239" w14:paraId="21267302" w14:textId="77777777" w:rsidTr="00047AA4">
        <w:trPr>
          <w:trHeight w:val="293"/>
        </w:trPr>
        <w:tc>
          <w:tcPr>
            <w:tcW w:w="689" w:type="pct"/>
            <w:shd w:val="clear" w:color="auto" w:fill="auto"/>
            <w:noWrap/>
            <w:vAlign w:val="center"/>
            <w:hideMark/>
          </w:tcPr>
          <w:p w14:paraId="7299D245" w14:textId="77777777" w:rsidR="00DA3DF6" w:rsidRPr="00E01239" w:rsidRDefault="00DA3DF6" w:rsidP="00DA3DF6">
            <w:pPr>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OIT</w:t>
            </w:r>
          </w:p>
        </w:tc>
        <w:tc>
          <w:tcPr>
            <w:tcW w:w="4311" w:type="pct"/>
            <w:shd w:val="clear" w:color="auto" w:fill="auto"/>
            <w:noWrap/>
            <w:vAlign w:val="center"/>
            <w:hideMark/>
          </w:tcPr>
          <w:p w14:paraId="122499A1" w14:textId="77777777" w:rsidR="00DA3DF6" w:rsidRPr="00E01239" w:rsidRDefault="00DA3DF6" w:rsidP="00DA3DF6">
            <w:p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Organisation Internationale du Travail </w:t>
            </w:r>
          </w:p>
        </w:tc>
      </w:tr>
      <w:tr w:rsidR="004040F0" w:rsidRPr="00E01239" w14:paraId="4F753B98" w14:textId="77777777" w:rsidTr="00047AA4">
        <w:trPr>
          <w:trHeight w:val="293"/>
        </w:trPr>
        <w:tc>
          <w:tcPr>
            <w:tcW w:w="689" w:type="pct"/>
            <w:shd w:val="clear" w:color="auto" w:fill="auto"/>
            <w:noWrap/>
            <w:vAlign w:val="center"/>
            <w:hideMark/>
          </w:tcPr>
          <w:p w14:paraId="5B16CC12"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OMS</w:t>
            </w:r>
          </w:p>
        </w:tc>
        <w:tc>
          <w:tcPr>
            <w:tcW w:w="4311" w:type="pct"/>
            <w:shd w:val="clear" w:color="auto" w:fill="auto"/>
            <w:noWrap/>
            <w:vAlign w:val="center"/>
            <w:hideMark/>
          </w:tcPr>
          <w:p w14:paraId="149FBF29"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Organisation Mondiale pour la Santé</w:t>
            </w:r>
          </w:p>
        </w:tc>
      </w:tr>
      <w:tr w:rsidR="004040F0" w:rsidRPr="00E01239" w14:paraId="670B8D10" w14:textId="77777777" w:rsidTr="00047AA4">
        <w:trPr>
          <w:trHeight w:val="293"/>
        </w:trPr>
        <w:tc>
          <w:tcPr>
            <w:tcW w:w="689" w:type="pct"/>
            <w:shd w:val="clear" w:color="auto" w:fill="auto"/>
            <w:noWrap/>
            <w:vAlign w:val="center"/>
            <w:hideMark/>
          </w:tcPr>
          <w:p w14:paraId="5F7C1CCB"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ONG</w:t>
            </w:r>
          </w:p>
        </w:tc>
        <w:tc>
          <w:tcPr>
            <w:tcW w:w="4311" w:type="pct"/>
            <w:shd w:val="clear" w:color="auto" w:fill="auto"/>
            <w:noWrap/>
            <w:vAlign w:val="center"/>
            <w:hideMark/>
          </w:tcPr>
          <w:p w14:paraId="37698B23" w14:textId="310253BA"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Organisation </w:t>
            </w:r>
            <w:r w:rsidR="003A644E" w:rsidRPr="00E01239">
              <w:rPr>
                <w:rFonts w:asciiTheme="minorHAnsi" w:hAnsiTheme="minorHAnsi" w:cstheme="minorHAnsi"/>
                <w:color w:val="000000"/>
                <w:sz w:val="22"/>
                <w:szCs w:val="22"/>
              </w:rPr>
              <w:t>N</w:t>
            </w:r>
            <w:r w:rsidRPr="00E01239">
              <w:rPr>
                <w:rFonts w:asciiTheme="minorHAnsi" w:hAnsiTheme="minorHAnsi" w:cstheme="minorHAnsi"/>
                <w:color w:val="000000"/>
                <w:sz w:val="22"/>
                <w:szCs w:val="22"/>
              </w:rPr>
              <w:t xml:space="preserve">on </w:t>
            </w:r>
            <w:r w:rsidR="003A644E" w:rsidRPr="00E01239">
              <w:rPr>
                <w:rFonts w:asciiTheme="minorHAnsi" w:hAnsiTheme="minorHAnsi" w:cstheme="minorHAnsi"/>
                <w:color w:val="000000"/>
                <w:sz w:val="22"/>
                <w:szCs w:val="22"/>
              </w:rPr>
              <w:t>G</w:t>
            </w:r>
            <w:r w:rsidRPr="00E01239">
              <w:rPr>
                <w:rFonts w:asciiTheme="minorHAnsi" w:hAnsiTheme="minorHAnsi" w:cstheme="minorHAnsi"/>
                <w:color w:val="000000"/>
                <w:sz w:val="22"/>
                <w:szCs w:val="22"/>
              </w:rPr>
              <w:t>ouvernementale</w:t>
            </w:r>
          </w:p>
        </w:tc>
      </w:tr>
      <w:tr w:rsidR="004040F0" w:rsidRPr="00E01239" w14:paraId="2C1C44FD" w14:textId="77777777" w:rsidTr="00047AA4">
        <w:trPr>
          <w:trHeight w:val="293"/>
        </w:trPr>
        <w:tc>
          <w:tcPr>
            <w:tcW w:w="689" w:type="pct"/>
            <w:shd w:val="clear" w:color="auto" w:fill="auto"/>
            <w:noWrap/>
            <w:vAlign w:val="center"/>
            <w:hideMark/>
          </w:tcPr>
          <w:p w14:paraId="412F865D"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OP</w:t>
            </w:r>
          </w:p>
        </w:tc>
        <w:tc>
          <w:tcPr>
            <w:tcW w:w="4311" w:type="pct"/>
            <w:shd w:val="clear" w:color="auto" w:fill="auto"/>
            <w:noWrap/>
            <w:vAlign w:val="center"/>
            <w:hideMark/>
          </w:tcPr>
          <w:p w14:paraId="574278AC" w14:textId="4152C2D0"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Organisation de </w:t>
            </w:r>
            <w:r w:rsidR="003A644E" w:rsidRPr="00E01239">
              <w:rPr>
                <w:rFonts w:asciiTheme="minorHAnsi" w:hAnsiTheme="minorHAnsi" w:cstheme="minorHAnsi"/>
                <w:color w:val="000000"/>
                <w:sz w:val="22"/>
                <w:szCs w:val="22"/>
              </w:rPr>
              <w:t>P</w:t>
            </w:r>
            <w:r w:rsidRPr="00E01239">
              <w:rPr>
                <w:rFonts w:asciiTheme="minorHAnsi" w:hAnsiTheme="minorHAnsi" w:cstheme="minorHAnsi"/>
                <w:color w:val="000000"/>
                <w:sz w:val="22"/>
                <w:szCs w:val="22"/>
              </w:rPr>
              <w:t>roducteurs</w:t>
            </w:r>
          </w:p>
        </w:tc>
      </w:tr>
      <w:tr w:rsidR="004040F0" w:rsidRPr="00E01239" w14:paraId="3C851F7D" w14:textId="77777777" w:rsidTr="00047AA4">
        <w:trPr>
          <w:trHeight w:val="293"/>
        </w:trPr>
        <w:tc>
          <w:tcPr>
            <w:tcW w:w="689" w:type="pct"/>
            <w:shd w:val="clear" w:color="auto" w:fill="auto"/>
            <w:noWrap/>
            <w:vAlign w:val="center"/>
            <w:hideMark/>
          </w:tcPr>
          <w:p w14:paraId="538F63F8" w14:textId="77777777" w:rsidR="00DA3DF6" w:rsidRPr="00E01239" w:rsidRDefault="00DA3DF6" w:rsidP="00DA3DF6">
            <w:pPr>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OSC</w:t>
            </w:r>
          </w:p>
        </w:tc>
        <w:tc>
          <w:tcPr>
            <w:tcW w:w="4311" w:type="pct"/>
            <w:shd w:val="clear" w:color="auto" w:fill="auto"/>
            <w:noWrap/>
            <w:vAlign w:val="center"/>
            <w:hideMark/>
          </w:tcPr>
          <w:p w14:paraId="3EFAF490" w14:textId="77777777" w:rsidR="00DA3DF6" w:rsidRPr="00E01239" w:rsidRDefault="00DA3DF6" w:rsidP="00DA3DF6">
            <w:pPr>
              <w:rPr>
                <w:rFonts w:asciiTheme="minorHAnsi" w:hAnsiTheme="minorHAnsi" w:cstheme="minorHAnsi"/>
                <w:color w:val="000000"/>
                <w:sz w:val="22"/>
                <w:szCs w:val="22"/>
              </w:rPr>
            </w:pPr>
            <w:r w:rsidRPr="00E01239">
              <w:rPr>
                <w:rFonts w:asciiTheme="minorHAnsi" w:hAnsiTheme="minorHAnsi" w:cstheme="minorHAnsi"/>
                <w:color w:val="000000"/>
                <w:sz w:val="22"/>
                <w:szCs w:val="22"/>
              </w:rPr>
              <w:t>Organisation de la Société Civile</w:t>
            </w:r>
          </w:p>
        </w:tc>
      </w:tr>
      <w:tr w:rsidR="004040F0" w:rsidRPr="00E01239" w14:paraId="1029D275" w14:textId="77777777" w:rsidTr="00047AA4">
        <w:trPr>
          <w:trHeight w:val="293"/>
        </w:trPr>
        <w:tc>
          <w:tcPr>
            <w:tcW w:w="689" w:type="pct"/>
            <w:shd w:val="clear" w:color="auto" w:fill="auto"/>
            <w:noWrap/>
            <w:vAlign w:val="center"/>
            <w:hideMark/>
          </w:tcPr>
          <w:p w14:paraId="5A15DCD2"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PAFS</w:t>
            </w:r>
          </w:p>
        </w:tc>
        <w:tc>
          <w:tcPr>
            <w:tcW w:w="4311" w:type="pct"/>
            <w:shd w:val="clear" w:color="auto" w:fill="auto"/>
            <w:noWrap/>
            <w:vAlign w:val="center"/>
            <w:hideMark/>
          </w:tcPr>
          <w:p w14:paraId="13C53909"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Plan d’Action Forestier du Sénégal </w:t>
            </w:r>
          </w:p>
        </w:tc>
      </w:tr>
      <w:tr w:rsidR="004040F0" w:rsidRPr="00E01239" w14:paraId="4A42198C" w14:textId="77777777" w:rsidTr="00047AA4">
        <w:trPr>
          <w:trHeight w:val="293"/>
        </w:trPr>
        <w:tc>
          <w:tcPr>
            <w:tcW w:w="689" w:type="pct"/>
            <w:shd w:val="clear" w:color="auto" w:fill="auto"/>
            <w:noWrap/>
            <w:vAlign w:val="center"/>
            <w:hideMark/>
          </w:tcPr>
          <w:p w14:paraId="2F7B913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PAR</w:t>
            </w:r>
          </w:p>
        </w:tc>
        <w:tc>
          <w:tcPr>
            <w:tcW w:w="4311" w:type="pct"/>
            <w:shd w:val="clear" w:color="auto" w:fill="auto"/>
            <w:noWrap/>
            <w:vAlign w:val="center"/>
            <w:hideMark/>
          </w:tcPr>
          <w:p w14:paraId="327EEC75"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Plan d’Action de Réinstallation </w:t>
            </w:r>
          </w:p>
        </w:tc>
      </w:tr>
      <w:tr w:rsidR="004040F0" w:rsidRPr="00E01239" w14:paraId="40A08658" w14:textId="77777777" w:rsidTr="00047AA4">
        <w:trPr>
          <w:trHeight w:val="293"/>
        </w:trPr>
        <w:tc>
          <w:tcPr>
            <w:tcW w:w="689" w:type="pct"/>
            <w:shd w:val="clear" w:color="auto" w:fill="auto"/>
            <w:noWrap/>
            <w:vAlign w:val="center"/>
            <w:hideMark/>
          </w:tcPr>
          <w:p w14:paraId="64DAEFEA"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PASNEEG</w:t>
            </w:r>
          </w:p>
        </w:tc>
        <w:tc>
          <w:tcPr>
            <w:tcW w:w="4311" w:type="pct"/>
            <w:shd w:val="clear" w:color="auto" w:fill="auto"/>
            <w:noWrap/>
            <w:vAlign w:val="center"/>
            <w:hideMark/>
          </w:tcPr>
          <w:p w14:paraId="3E32DEF7"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Projet d’Appui à la Stratégie Nationale de l’Equité et l’Egalité de Genre </w:t>
            </w:r>
          </w:p>
        </w:tc>
      </w:tr>
      <w:tr w:rsidR="004040F0" w:rsidRPr="00E01239" w14:paraId="437774F4" w14:textId="77777777" w:rsidTr="00047AA4">
        <w:trPr>
          <w:trHeight w:val="293"/>
        </w:trPr>
        <w:tc>
          <w:tcPr>
            <w:tcW w:w="689" w:type="pct"/>
            <w:shd w:val="clear" w:color="auto" w:fill="auto"/>
            <w:noWrap/>
            <w:vAlign w:val="center"/>
            <w:hideMark/>
          </w:tcPr>
          <w:p w14:paraId="694EA4EC"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PCGES</w:t>
            </w:r>
          </w:p>
        </w:tc>
        <w:tc>
          <w:tcPr>
            <w:tcW w:w="4311" w:type="pct"/>
            <w:shd w:val="clear" w:color="auto" w:fill="auto"/>
            <w:noWrap/>
            <w:vAlign w:val="center"/>
            <w:hideMark/>
          </w:tcPr>
          <w:p w14:paraId="0919F277"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Cadre de Gestion Environnementale et Sociale</w:t>
            </w:r>
          </w:p>
        </w:tc>
      </w:tr>
      <w:tr w:rsidR="004040F0" w:rsidRPr="00E01239" w14:paraId="63404737" w14:textId="77777777" w:rsidTr="00047AA4">
        <w:trPr>
          <w:trHeight w:val="293"/>
        </w:trPr>
        <w:tc>
          <w:tcPr>
            <w:tcW w:w="689" w:type="pct"/>
            <w:shd w:val="clear" w:color="auto" w:fill="auto"/>
            <w:noWrap/>
            <w:vAlign w:val="center"/>
            <w:hideMark/>
          </w:tcPr>
          <w:p w14:paraId="58CE978B" w14:textId="77777777" w:rsidR="00DA3DF6" w:rsidRPr="00E01239" w:rsidRDefault="00DA3DF6" w:rsidP="00DA3DF6">
            <w:pPr>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PDL</w:t>
            </w:r>
          </w:p>
        </w:tc>
        <w:tc>
          <w:tcPr>
            <w:tcW w:w="4311" w:type="pct"/>
            <w:shd w:val="clear" w:color="auto" w:fill="auto"/>
            <w:noWrap/>
            <w:vAlign w:val="center"/>
            <w:hideMark/>
          </w:tcPr>
          <w:p w14:paraId="0898A6B6" w14:textId="77777777" w:rsidR="00DA3DF6" w:rsidRPr="00E01239" w:rsidRDefault="00DA3DF6" w:rsidP="00DA3DF6">
            <w:pPr>
              <w:rPr>
                <w:rFonts w:asciiTheme="minorHAnsi" w:hAnsiTheme="minorHAnsi" w:cstheme="minorHAnsi"/>
                <w:color w:val="000000"/>
                <w:sz w:val="22"/>
                <w:szCs w:val="22"/>
              </w:rPr>
            </w:pPr>
            <w:r w:rsidRPr="00E01239">
              <w:rPr>
                <w:rFonts w:asciiTheme="minorHAnsi" w:hAnsiTheme="minorHAnsi" w:cstheme="minorHAnsi"/>
                <w:color w:val="000000"/>
                <w:sz w:val="22"/>
                <w:szCs w:val="22"/>
              </w:rPr>
              <w:t>PDL Plan de Développement Local</w:t>
            </w:r>
          </w:p>
        </w:tc>
      </w:tr>
      <w:tr w:rsidR="004040F0" w:rsidRPr="00E01239" w14:paraId="1027D08F" w14:textId="77777777" w:rsidTr="00047AA4">
        <w:trPr>
          <w:trHeight w:val="293"/>
        </w:trPr>
        <w:tc>
          <w:tcPr>
            <w:tcW w:w="689" w:type="pct"/>
            <w:shd w:val="clear" w:color="auto" w:fill="auto"/>
            <w:noWrap/>
            <w:vAlign w:val="center"/>
            <w:hideMark/>
          </w:tcPr>
          <w:p w14:paraId="33F9048A"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PGD</w:t>
            </w:r>
          </w:p>
        </w:tc>
        <w:tc>
          <w:tcPr>
            <w:tcW w:w="4311" w:type="pct"/>
            <w:shd w:val="clear" w:color="auto" w:fill="auto"/>
            <w:noWrap/>
            <w:vAlign w:val="center"/>
            <w:hideMark/>
          </w:tcPr>
          <w:p w14:paraId="732FE9C3"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de Gestion des Déchets</w:t>
            </w:r>
          </w:p>
        </w:tc>
      </w:tr>
      <w:tr w:rsidR="004040F0" w:rsidRPr="00E01239" w14:paraId="701C2F35" w14:textId="77777777" w:rsidTr="00047AA4">
        <w:trPr>
          <w:trHeight w:val="293"/>
        </w:trPr>
        <w:tc>
          <w:tcPr>
            <w:tcW w:w="689" w:type="pct"/>
            <w:shd w:val="clear" w:color="auto" w:fill="auto"/>
            <w:noWrap/>
            <w:vAlign w:val="center"/>
            <w:hideMark/>
          </w:tcPr>
          <w:p w14:paraId="6278B505"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PGES</w:t>
            </w:r>
          </w:p>
        </w:tc>
        <w:tc>
          <w:tcPr>
            <w:tcW w:w="4311" w:type="pct"/>
            <w:shd w:val="clear" w:color="auto" w:fill="auto"/>
            <w:noWrap/>
            <w:vAlign w:val="center"/>
            <w:hideMark/>
          </w:tcPr>
          <w:p w14:paraId="4BC56E10"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Plan de Gestion Environnementale et Sociale </w:t>
            </w:r>
          </w:p>
        </w:tc>
      </w:tr>
      <w:tr w:rsidR="004040F0" w:rsidRPr="00E01239" w14:paraId="01A6CE6E" w14:textId="77777777" w:rsidTr="00047AA4">
        <w:trPr>
          <w:trHeight w:val="293"/>
        </w:trPr>
        <w:tc>
          <w:tcPr>
            <w:tcW w:w="689" w:type="pct"/>
            <w:shd w:val="clear" w:color="auto" w:fill="auto"/>
            <w:noWrap/>
            <w:vAlign w:val="center"/>
            <w:hideMark/>
          </w:tcPr>
          <w:p w14:paraId="044BE47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PGES-C</w:t>
            </w:r>
          </w:p>
        </w:tc>
        <w:tc>
          <w:tcPr>
            <w:tcW w:w="4311" w:type="pct"/>
            <w:shd w:val="clear" w:color="auto" w:fill="auto"/>
            <w:noWrap/>
            <w:vAlign w:val="center"/>
            <w:hideMark/>
          </w:tcPr>
          <w:p w14:paraId="6E886565" w14:textId="2CBB74AB"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Plans de </w:t>
            </w:r>
            <w:r w:rsidR="00735578" w:rsidRPr="00E01239">
              <w:rPr>
                <w:rFonts w:asciiTheme="minorHAnsi" w:hAnsiTheme="minorHAnsi" w:cstheme="minorHAnsi"/>
                <w:color w:val="000000"/>
                <w:sz w:val="22"/>
                <w:szCs w:val="22"/>
              </w:rPr>
              <w:t>G</w:t>
            </w:r>
            <w:r w:rsidRPr="00E01239">
              <w:rPr>
                <w:rFonts w:asciiTheme="minorHAnsi" w:hAnsiTheme="minorHAnsi" w:cstheme="minorHAnsi"/>
                <w:color w:val="000000"/>
                <w:sz w:val="22"/>
                <w:szCs w:val="22"/>
              </w:rPr>
              <w:t xml:space="preserve">estion </w:t>
            </w:r>
            <w:r w:rsidR="00735578" w:rsidRPr="00E01239">
              <w:rPr>
                <w:rFonts w:asciiTheme="minorHAnsi" w:hAnsiTheme="minorHAnsi" w:cstheme="minorHAnsi"/>
                <w:color w:val="000000"/>
                <w:sz w:val="22"/>
                <w:szCs w:val="22"/>
              </w:rPr>
              <w:t>E</w:t>
            </w:r>
            <w:r w:rsidRPr="00E01239">
              <w:rPr>
                <w:rFonts w:asciiTheme="minorHAnsi" w:hAnsiTheme="minorHAnsi" w:cstheme="minorHAnsi"/>
                <w:color w:val="000000"/>
                <w:sz w:val="22"/>
                <w:szCs w:val="22"/>
              </w:rPr>
              <w:t xml:space="preserve">nvironnementale et </w:t>
            </w:r>
            <w:r w:rsidR="00735578" w:rsidRPr="00E01239">
              <w:rPr>
                <w:rFonts w:asciiTheme="minorHAnsi" w:hAnsiTheme="minorHAnsi" w:cstheme="minorHAnsi"/>
                <w:color w:val="000000"/>
                <w:sz w:val="22"/>
                <w:szCs w:val="22"/>
              </w:rPr>
              <w:t>S</w:t>
            </w:r>
            <w:r w:rsidRPr="00E01239">
              <w:rPr>
                <w:rFonts w:asciiTheme="minorHAnsi" w:hAnsiTheme="minorHAnsi" w:cstheme="minorHAnsi"/>
                <w:color w:val="000000"/>
                <w:sz w:val="22"/>
                <w:szCs w:val="22"/>
              </w:rPr>
              <w:t xml:space="preserve">ociale de </w:t>
            </w:r>
            <w:r w:rsidR="00735578" w:rsidRPr="00E01239">
              <w:rPr>
                <w:rFonts w:asciiTheme="minorHAnsi" w:hAnsiTheme="minorHAnsi" w:cstheme="minorHAnsi"/>
                <w:color w:val="000000"/>
                <w:sz w:val="22"/>
                <w:szCs w:val="22"/>
              </w:rPr>
              <w:t>C</w:t>
            </w:r>
            <w:r w:rsidRPr="00E01239">
              <w:rPr>
                <w:rFonts w:asciiTheme="minorHAnsi" w:hAnsiTheme="minorHAnsi" w:cstheme="minorHAnsi"/>
                <w:color w:val="000000"/>
                <w:sz w:val="22"/>
                <w:szCs w:val="22"/>
              </w:rPr>
              <w:t>hantier</w:t>
            </w:r>
          </w:p>
        </w:tc>
      </w:tr>
      <w:tr w:rsidR="004040F0" w:rsidRPr="00E01239" w14:paraId="01834798" w14:textId="77777777" w:rsidTr="00047AA4">
        <w:trPr>
          <w:trHeight w:val="293"/>
        </w:trPr>
        <w:tc>
          <w:tcPr>
            <w:tcW w:w="689" w:type="pct"/>
            <w:shd w:val="clear" w:color="auto" w:fill="auto"/>
            <w:noWrap/>
            <w:vAlign w:val="center"/>
            <w:hideMark/>
          </w:tcPr>
          <w:p w14:paraId="7749F373"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PGMO</w:t>
            </w:r>
          </w:p>
        </w:tc>
        <w:tc>
          <w:tcPr>
            <w:tcW w:w="4311" w:type="pct"/>
            <w:shd w:val="clear" w:color="auto" w:fill="auto"/>
            <w:noWrap/>
            <w:vAlign w:val="center"/>
            <w:hideMark/>
          </w:tcPr>
          <w:p w14:paraId="6B0D8A65"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Plan de Gestion de la Main d’œuvre </w:t>
            </w:r>
          </w:p>
        </w:tc>
      </w:tr>
      <w:tr w:rsidR="004040F0" w:rsidRPr="00E01239" w14:paraId="555138C3" w14:textId="77777777" w:rsidTr="00047AA4">
        <w:trPr>
          <w:trHeight w:val="293"/>
        </w:trPr>
        <w:tc>
          <w:tcPr>
            <w:tcW w:w="689" w:type="pct"/>
            <w:shd w:val="clear" w:color="auto" w:fill="auto"/>
            <w:noWrap/>
            <w:vAlign w:val="center"/>
            <w:hideMark/>
          </w:tcPr>
          <w:p w14:paraId="245E5249"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PGSSE</w:t>
            </w:r>
          </w:p>
        </w:tc>
        <w:tc>
          <w:tcPr>
            <w:tcW w:w="4311" w:type="pct"/>
            <w:shd w:val="clear" w:color="auto" w:fill="auto"/>
            <w:noWrap/>
            <w:vAlign w:val="center"/>
            <w:hideMark/>
          </w:tcPr>
          <w:p w14:paraId="5187799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de Gestion de la Sécurité Sanitaire de l’Eau</w:t>
            </w:r>
          </w:p>
        </w:tc>
      </w:tr>
      <w:tr w:rsidR="004040F0" w:rsidRPr="00E01239" w14:paraId="494E6725" w14:textId="77777777" w:rsidTr="00047AA4">
        <w:trPr>
          <w:trHeight w:val="293"/>
        </w:trPr>
        <w:tc>
          <w:tcPr>
            <w:tcW w:w="689" w:type="pct"/>
            <w:shd w:val="clear" w:color="auto" w:fill="auto"/>
            <w:noWrap/>
            <w:vAlign w:val="center"/>
            <w:hideMark/>
          </w:tcPr>
          <w:p w14:paraId="27FB8654"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PMPP</w:t>
            </w:r>
          </w:p>
        </w:tc>
        <w:tc>
          <w:tcPr>
            <w:tcW w:w="4311" w:type="pct"/>
            <w:shd w:val="clear" w:color="auto" w:fill="auto"/>
            <w:noWrap/>
            <w:vAlign w:val="center"/>
            <w:hideMark/>
          </w:tcPr>
          <w:p w14:paraId="775D1729"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de Mobilisation des Parties Prenantes</w:t>
            </w:r>
          </w:p>
        </w:tc>
      </w:tr>
      <w:tr w:rsidR="004040F0" w:rsidRPr="00E01239" w14:paraId="6BACC459" w14:textId="77777777" w:rsidTr="00047AA4">
        <w:trPr>
          <w:trHeight w:val="293"/>
        </w:trPr>
        <w:tc>
          <w:tcPr>
            <w:tcW w:w="689" w:type="pct"/>
            <w:shd w:val="clear" w:color="auto" w:fill="auto"/>
            <w:noWrap/>
            <w:vAlign w:val="center"/>
            <w:hideMark/>
          </w:tcPr>
          <w:p w14:paraId="5FD7DBF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PNADT</w:t>
            </w:r>
          </w:p>
        </w:tc>
        <w:tc>
          <w:tcPr>
            <w:tcW w:w="4311" w:type="pct"/>
            <w:shd w:val="clear" w:color="auto" w:fill="auto"/>
            <w:noWrap/>
            <w:vAlign w:val="center"/>
            <w:hideMark/>
          </w:tcPr>
          <w:p w14:paraId="771E97A6"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National d’Aménagement et de Développement Territorial</w:t>
            </w:r>
          </w:p>
        </w:tc>
      </w:tr>
      <w:tr w:rsidR="004040F0" w:rsidRPr="00E01239" w14:paraId="7AA6B6D3" w14:textId="77777777" w:rsidTr="00047AA4">
        <w:trPr>
          <w:trHeight w:val="293"/>
        </w:trPr>
        <w:tc>
          <w:tcPr>
            <w:tcW w:w="689" w:type="pct"/>
            <w:shd w:val="clear" w:color="auto" w:fill="auto"/>
            <w:noWrap/>
            <w:vAlign w:val="center"/>
            <w:hideMark/>
          </w:tcPr>
          <w:p w14:paraId="5DF56CB6"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PNAE</w:t>
            </w:r>
          </w:p>
        </w:tc>
        <w:tc>
          <w:tcPr>
            <w:tcW w:w="4311" w:type="pct"/>
            <w:shd w:val="clear" w:color="auto" w:fill="auto"/>
            <w:noWrap/>
            <w:vAlign w:val="center"/>
            <w:hideMark/>
          </w:tcPr>
          <w:p w14:paraId="2B586EFD"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Plan National d’Action pour l’Environnement </w:t>
            </w:r>
          </w:p>
        </w:tc>
      </w:tr>
      <w:tr w:rsidR="004040F0" w:rsidRPr="00E01239" w14:paraId="152F8451" w14:textId="77777777" w:rsidTr="00047AA4">
        <w:trPr>
          <w:trHeight w:val="293"/>
        </w:trPr>
        <w:tc>
          <w:tcPr>
            <w:tcW w:w="689" w:type="pct"/>
            <w:shd w:val="clear" w:color="auto" w:fill="auto"/>
            <w:noWrap/>
            <w:vAlign w:val="center"/>
            <w:hideMark/>
          </w:tcPr>
          <w:p w14:paraId="68C0B17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PNDE</w:t>
            </w:r>
          </w:p>
        </w:tc>
        <w:tc>
          <w:tcPr>
            <w:tcW w:w="4311" w:type="pct"/>
            <w:shd w:val="clear" w:color="auto" w:fill="auto"/>
            <w:noWrap/>
            <w:vAlign w:val="center"/>
            <w:hideMark/>
          </w:tcPr>
          <w:p w14:paraId="436502F7"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National de Développement de l’Élevage</w:t>
            </w:r>
          </w:p>
        </w:tc>
      </w:tr>
      <w:tr w:rsidR="004040F0" w:rsidRPr="00E01239" w14:paraId="643EBD57" w14:textId="77777777" w:rsidTr="00047AA4">
        <w:trPr>
          <w:trHeight w:val="293"/>
        </w:trPr>
        <w:tc>
          <w:tcPr>
            <w:tcW w:w="689" w:type="pct"/>
            <w:shd w:val="clear" w:color="auto" w:fill="auto"/>
            <w:noWrap/>
            <w:vAlign w:val="center"/>
            <w:hideMark/>
          </w:tcPr>
          <w:p w14:paraId="5AF3CEF2"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PNZH</w:t>
            </w:r>
          </w:p>
        </w:tc>
        <w:tc>
          <w:tcPr>
            <w:tcW w:w="4311" w:type="pct"/>
            <w:shd w:val="clear" w:color="auto" w:fill="auto"/>
            <w:noWrap/>
            <w:vAlign w:val="center"/>
            <w:hideMark/>
          </w:tcPr>
          <w:p w14:paraId="56570A9B"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Politique Nationale de Gestion des Zones humides</w:t>
            </w:r>
          </w:p>
        </w:tc>
      </w:tr>
      <w:tr w:rsidR="004040F0" w:rsidRPr="00E01239" w14:paraId="6FA48DCE" w14:textId="77777777" w:rsidTr="00047AA4">
        <w:trPr>
          <w:trHeight w:val="293"/>
        </w:trPr>
        <w:tc>
          <w:tcPr>
            <w:tcW w:w="689" w:type="pct"/>
            <w:shd w:val="clear" w:color="auto" w:fill="auto"/>
            <w:noWrap/>
            <w:vAlign w:val="center"/>
            <w:hideMark/>
          </w:tcPr>
          <w:p w14:paraId="55F2950F"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POAS</w:t>
            </w:r>
          </w:p>
        </w:tc>
        <w:tc>
          <w:tcPr>
            <w:tcW w:w="4311" w:type="pct"/>
            <w:shd w:val="clear" w:color="auto" w:fill="auto"/>
            <w:noWrap/>
            <w:vAlign w:val="center"/>
            <w:hideMark/>
          </w:tcPr>
          <w:p w14:paraId="564D5436" w14:textId="7D4D2C64"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Plans d'</w:t>
            </w:r>
            <w:r w:rsidR="00735578" w:rsidRPr="00E01239">
              <w:rPr>
                <w:rFonts w:asciiTheme="minorHAnsi" w:hAnsiTheme="minorHAnsi" w:cstheme="minorHAnsi"/>
                <w:color w:val="000000"/>
                <w:sz w:val="22"/>
                <w:szCs w:val="22"/>
              </w:rPr>
              <w:t>O</w:t>
            </w:r>
            <w:r w:rsidRPr="00E01239">
              <w:rPr>
                <w:rFonts w:asciiTheme="minorHAnsi" w:hAnsiTheme="minorHAnsi" w:cstheme="minorHAnsi"/>
                <w:color w:val="000000"/>
                <w:sz w:val="22"/>
                <w:szCs w:val="22"/>
              </w:rPr>
              <w:t>ccupation et d'</w:t>
            </w:r>
            <w:r w:rsidR="00735578" w:rsidRPr="00E01239">
              <w:rPr>
                <w:rFonts w:asciiTheme="minorHAnsi" w:hAnsiTheme="minorHAnsi" w:cstheme="minorHAnsi"/>
                <w:color w:val="000000"/>
                <w:sz w:val="22"/>
                <w:szCs w:val="22"/>
              </w:rPr>
              <w:t>A</w:t>
            </w:r>
            <w:r w:rsidRPr="00E01239">
              <w:rPr>
                <w:rFonts w:asciiTheme="minorHAnsi" w:hAnsiTheme="minorHAnsi" w:cstheme="minorHAnsi"/>
                <w:color w:val="000000"/>
                <w:sz w:val="22"/>
                <w:szCs w:val="22"/>
              </w:rPr>
              <w:t xml:space="preserve">ffectation des </w:t>
            </w:r>
            <w:r w:rsidR="00735578" w:rsidRPr="00E01239">
              <w:rPr>
                <w:rFonts w:asciiTheme="minorHAnsi" w:hAnsiTheme="minorHAnsi" w:cstheme="minorHAnsi"/>
                <w:color w:val="000000"/>
                <w:sz w:val="22"/>
                <w:szCs w:val="22"/>
              </w:rPr>
              <w:t>S</w:t>
            </w:r>
            <w:r w:rsidRPr="00E01239">
              <w:rPr>
                <w:rFonts w:asciiTheme="minorHAnsi" w:hAnsiTheme="minorHAnsi" w:cstheme="minorHAnsi"/>
                <w:color w:val="000000"/>
                <w:sz w:val="22"/>
                <w:szCs w:val="22"/>
              </w:rPr>
              <w:t xml:space="preserve">ols </w:t>
            </w:r>
          </w:p>
        </w:tc>
      </w:tr>
      <w:tr w:rsidR="004040F0" w:rsidRPr="00E01239" w14:paraId="7B7AA0A7" w14:textId="77777777" w:rsidTr="00047AA4">
        <w:trPr>
          <w:trHeight w:val="293"/>
        </w:trPr>
        <w:tc>
          <w:tcPr>
            <w:tcW w:w="689" w:type="pct"/>
            <w:shd w:val="clear" w:color="auto" w:fill="auto"/>
            <w:noWrap/>
            <w:vAlign w:val="center"/>
            <w:hideMark/>
          </w:tcPr>
          <w:p w14:paraId="16E11126"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lastRenderedPageBreak/>
              <w:t>PPM</w:t>
            </w:r>
          </w:p>
        </w:tc>
        <w:tc>
          <w:tcPr>
            <w:tcW w:w="4311" w:type="pct"/>
            <w:shd w:val="clear" w:color="auto" w:fill="auto"/>
            <w:noWrap/>
            <w:vAlign w:val="center"/>
            <w:hideMark/>
          </w:tcPr>
          <w:p w14:paraId="535B9547"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de Passation des Marchés</w:t>
            </w:r>
          </w:p>
        </w:tc>
      </w:tr>
      <w:tr w:rsidR="004040F0" w:rsidRPr="00E01239" w14:paraId="3C163A1C" w14:textId="77777777" w:rsidTr="00047AA4">
        <w:trPr>
          <w:trHeight w:val="293"/>
        </w:trPr>
        <w:tc>
          <w:tcPr>
            <w:tcW w:w="689" w:type="pct"/>
            <w:shd w:val="clear" w:color="auto" w:fill="auto"/>
            <w:noWrap/>
            <w:vAlign w:val="center"/>
            <w:hideMark/>
          </w:tcPr>
          <w:p w14:paraId="2A721B09"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PRAPS-2</w:t>
            </w:r>
          </w:p>
        </w:tc>
        <w:tc>
          <w:tcPr>
            <w:tcW w:w="4311" w:type="pct"/>
            <w:shd w:val="clear" w:color="auto" w:fill="auto"/>
            <w:noWrap/>
            <w:vAlign w:val="center"/>
            <w:hideMark/>
          </w:tcPr>
          <w:p w14:paraId="7683DF30"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Projet Régional d'Appui au Pastoralisme au Sahel -Phase 2</w:t>
            </w:r>
          </w:p>
        </w:tc>
      </w:tr>
      <w:tr w:rsidR="004040F0" w:rsidRPr="00E01239" w14:paraId="5FAB419B" w14:textId="77777777" w:rsidTr="00047AA4">
        <w:trPr>
          <w:trHeight w:val="293"/>
        </w:trPr>
        <w:tc>
          <w:tcPr>
            <w:tcW w:w="689" w:type="pct"/>
            <w:shd w:val="clear" w:color="auto" w:fill="auto"/>
            <w:noWrap/>
            <w:vAlign w:val="center"/>
            <w:hideMark/>
          </w:tcPr>
          <w:p w14:paraId="3BC01FCF"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PSE</w:t>
            </w:r>
          </w:p>
        </w:tc>
        <w:tc>
          <w:tcPr>
            <w:tcW w:w="4311" w:type="pct"/>
            <w:shd w:val="clear" w:color="auto" w:fill="auto"/>
            <w:noWrap/>
            <w:vAlign w:val="center"/>
            <w:hideMark/>
          </w:tcPr>
          <w:p w14:paraId="549127A8"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Sénégal Emergent</w:t>
            </w:r>
          </w:p>
        </w:tc>
      </w:tr>
      <w:tr w:rsidR="004040F0" w:rsidRPr="00E01239" w14:paraId="36E2378A" w14:textId="77777777" w:rsidTr="00047AA4">
        <w:trPr>
          <w:trHeight w:val="293"/>
        </w:trPr>
        <w:tc>
          <w:tcPr>
            <w:tcW w:w="689" w:type="pct"/>
            <w:shd w:val="clear" w:color="auto" w:fill="auto"/>
            <w:noWrap/>
            <w:vAlign w:val="center"/>
            <w:hideMark/>
          </w:tcPr>
          <w:p w14:paraId="4800AE86"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PSS</w:t>
            </w:r>
          </w:p>
        </w:tc>
        <w:tc>
          <w:tcPr>
            <w:tcW w:w="4311" w:type="pct"/>
            <w:shd w:val="clear" w:color="auto" w:fill="auto"/>
            <w:noWrap/>
            <w:vAlign w:val="center"/>
            <w:hideMark/>
          </w:tcPr>
          <w:p w14:paraId="5D343500"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Santé Sécurité</w:t>
            </w:r>
          </w:p>
        </w:tc>
      </w:tr>
      <w:tr w:rsidR="004040F0" w:rsidRPr="00E01239" w14:paraId="2FF0B776" w14:textId="77777777" w:rsidTr="00047AA4">
        <w:trPr>
          <w:trHeight w:val="293"/>
        </w:trPr>
        <w:tc>
          <w:tcPr>
            <w:tcW w:w="689" w:type="pct"/>
            <w:shd w:val="clear" w:color="auto" w:fill="auto"/>
            <w:noWrap/>
            <w:vAlign w:val="center"/>
            <w:hideMark/>
          </w:tcPr>
          <w:p w14:paraId="1F796A3F"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PTBA</w:t>
            </w:r>
          </w:p>
        </w:tc>
        <w:tc>
          <w:tcPr>
            <w:tcW w:w="4311" w:type="pct"/>
            <w:shd w:val="clear" w:color="auto" w:fill="auto"/>
            <w:noWrap/>
            <w:vAlign w:val="center"/>
            <w:hideMark/>
          </w:tcPr>
          <w:p w14:paraId="0FEDC6CF"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Plan de Travail et Budget Annuel</w:t>
            </w:r>
          </w:p>
        </w:tc>
      </w:tr>
      <w:tr w:rsidR="004040F0" w:rsidRPr="00E01239" w14:paraId="2774D267" w14:textId="77777777" w:rsidTr="00047AA4">
        <w:trPr>
          <w:trHeight w:val="293"/>
        </w:trPr>
        <w:tc>
          <w:tcPr>
            <w:tcW w:w="689" w:type="pct"/>
            <w:shd w:val="clear" w:color="auto" w:fill="auto"/>
            <w:noWrap/>
            <w:vAlign w:val="center"/>
            <w:hideMark/>
          </w:tcPr>
          <w:p w14:paraId="40BAEF8D"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RADDHO</w:t>
            </w:r>
          </w:p>
        </w:tc>
        <w:tc>
          <w:tcPr>
            <w:tcW w:w="4311" w:type="pct"/>
            <w:shd w:val="clear" w:color="auto" w:fill="auto"/>
            <w:noWrap/>
            <w:vAlign w:val="center"/>
            <w:hideMark/>
          </w:tcPr>
          <w:p w14:paraId="5E84CB36"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Rencontre Africaine pour la Défense des Droits de l'Homme</w:t>
            </w:r>
          </w:p>
        </w:tc>
      </w:tr>
      <w:tr w:rsidR="004040F0" w:rsidRPr="00E01239" w14:paraId="07C901BE" w14:textId="77777777" w:rsidTr="00047AA4">
        <w:trPr>
          <w:trHeight w:val="293"/>
        </w:trPr>
        <w:tc>
          <w:tcPr>
            <w:tcW w:w="689" w:type="pct"/>
            <w:shd w:val="clear" w:color="auto" w:fill="auto"/>
            <w:noWrap/>
            <w:vAlign w:val="center"/>
            <w:hideMark/>
          </w:tcPr>
          <w:p w14:paraId="47B86F9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RAF</w:t>
            </w:r>
          </w:p>
        </w:tc>
        <w:tc>
          <w:tcPr>
            <w:tcW w:w="4311" w:type="pct"/>
            <w:shd w:val="clear" w:color="auto" w:fill="auto"/>
            <w:noWrap/>
            <w:vAlign w:val="center"/>
            <w:hideMark/>
          </w:tcPr>
          <w:p w14:paraId="099DDA36"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Responsable Administratif et Financier</w:t>
            </w:r>
          </w:p>
        </w:tc>
      </w:tr>
      <w:tr w:rsidR="004040F0" w:rsidRPr="00E01239" w14:paraId="0A1859A5" w14:textId="77777777" w:rsidTr="00047AA4">
        <w:trPr>
          <w:trHeight w:val="293"/>
        </w:trPr>
        <w:tc>
          <w:tcPr>
            <w:tcW w:w="689" w:type="pct"/>
            <w:shd w:val="clear" w:color="auto" w:fill="auto"/>
            <w:noWrap/>
            <w:vAlign w:val="center"/>
            <w:hideMark/>
          </w:tcPr>
          <w:p w14:paraId="45548B5F"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RSE</w:t>
            </w:r>
          </w:p>
        </w:tc>
        <w:tc>
          <w:tcPr>
            <w:tcW w:w="4311" w:type="pct"/>
            <w:shd w:val="clear" w:color="auto" w:fill="auto"/>
            <w:noWrap/>
            <w:vAlign w:val="center"/>
            <w:hideMark/>
          </w:tcPr>
          <w:p w14:paraId="5773A1F0"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Responsable Suivi Evaluation</w:t>
            </w:r>
          </w:p>
        </w:tc>
      </w:tr>
      <w:tr w:rsidR="004040F0" w:rsidRPr="00E01239" w14:paraId="2895C92B" w14:textId="77777777" w:rsidTr="00047AA4">
        <w:trPr>
          <w:trHeight w:val="293"/>
        </w:trPr>
        <w:tc>
          <w:tcPr>
            <w:tcW w:w="689" w:type="pct"/>
            <w:shd w:val="clear" w:color="auto" w:fill="auto"/>
            <w:noWrap/>
            <w:vAlign w:val="center"/>
            <w:hideMark/>
          </w:tcPr>
          <w:p w14:paraId="6333C02B"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SAED</w:t>
            </w:r>
          </w:p>
        </w:tc>
        <w:tc>
          <w:tcPr>
            <w:tcW w:w="4311" w:type="pct"/>
            <w:shd w:val="clear" w:color="auto" w:fill="auto"/>
            <w:noWrap/>
            <w:vAlign w:val="center"/>
            <w:hideMark/>
          </w:tcPr>
          <w:p w14:paraId="5360186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Société d'Aménagement et d'Exploitation des Terres du Delta du Fleuve Sénégal </w:t>
            </w:r>
          </w:p>
        </w:tc>
      </w:tr>
      <w:tr w:rsidR="004040F0" w:rsidRPr="00E01239" w14:paraId="0ACBAEE0" w14:textId="77777777" w:rsidTr="00047AA4">
        <w:trPr>
          <w:trHeight w:val="293"/>
        </w:trPr>
        <w:tc>
          <w:tcPr>
            <w:tcW w:w="689" w:type="pct"/>
            <w:shd w:val="clear" w:color="auto" w:fill="auto"/>
            <w:noWrap/>
            <w:vAlign w:val="center"/>
            <w:hideMark/>
          </w:tcPr>
          <w:p w14:paraId="1553399C"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SIDA </w:t>
            </w:r>
          </w:p>
        </w:tc>
        <w:tc>
          <w:tcPr>
            <w:tcW w:w="4311" w:type="pct"/>
            <w:shd w:val="clear" w:color="auto" w:fill="auto"/>
            <w:noWrap/>
            <w:vAlign w:val="center"/>
            <w:hideMark/>
          </w:tcPr>
          <w:p w14:paraId="34D5D7F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Syndrome d'</w:t>
            </w:r>
            <w:proofErr w:type="spellStart"/>
            <w:r w:rsidRPr="00E01239">
              <w:rPr>
                <w:rFonts w:asciiTheme="minorHAnsi" w:hAnsiTheme="minorHAnsi" w:cstheme="minorHAnsi"/>
                <w:color w:val="000000"/>
                <w:sz w:val="22"/>
                <w:szCs w:val="22"/>
              </w:rPr>
              <w:t>Immuno-Déficience</w:t>
            </w:r>
            <w:proofErr w:type="spellEnd"/>
            <w:r w:rsidRPr="00E01239">
              <w:rPr>
                <w:rFonts w:asciiTheme="minorHAnsi" w:hAnsiTheme="minorHAnsi" w:cstheme="minorHAnsi"/>
                <w:color w:val="000000"/>
                <w:sz w:val="22"/>
                <w:szCs w:val="22"/>
              </w:rPr>
              <w:t xml:space="preserve"> Acquise</w:t>
            </w:r>
          </w:p>
        </w:tc>
      </w:tr>
      <w:tr w:rsidR="004040F0" w:rsidRPr="00E01239" w14:paraId="2EF263C9" w14:textId="77777777" w:rsidTr="00047AA4">
        <w:trPr>
          <w:trHeight w:val="293"/>
        </w:trPr>
        <w:tc>
          <w:tcPr>
            <w:tcW w:w="689" w:type="pct"/>
            <w:shd w:val="clear" w:color="auto" w:fill="auto"/>
            <w:noWrap/>
            <w:vAlign w:val="center"/>
            <w:hideMark/>
          </w:tcPr>
          <w:p w14:paraId="43007010" w14:textId="77777777" w:rsidR="00DA3DF6" w:rsidRPr="00E01239" w:rsidRDefault="00DA3DF6" w:rsidP="00DA3DF6">
            <w:pPr>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SIG </w:t>
            </w:r>
          </w:p>
        </w:tc>
        <w:tc>
          <w:tcPr>
            <w:tcW w:w="4311" w:type="pct"/>
            <w:shd w:val="clear" w:color="auto" w:fill="auto"/>
            <w:noWrap/>
            <w:vAlign w:val="center"/>
            <w:hideMark/>
          </w:tcPr>
          <w:p w14:paraId="02D7E17E" w14:textId="77777777" w:rsidR="00DA3DF6" w:rsidRPr="00E01239" w:rsidRDefault="00DA3DF6" w:rsidP="00DA3DF6">
            <w:p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Système d'Information Géographique </w:t>
            </w:r>
          </w:p>
        </w:tc>
      </w:tr>
      <w:tr w:rsidR="004040F0" w:rsidRPr="00E01239" w14:paraId="631E9E98" w14:textId="77777777" w:rsidTr="00047AA4">
        <w:trPr>
          <w:trHeight w:val="293"/>
        </w:trPr>
        <w:tc>
          <w:tcPr>
            <w:tcW w:w="689" w:type="pct"/>
            <w:shd w:val="clear" w:color="auto" w:fill="auto"/>
            <w:noWrap/>
            <w:vAlign w:val="center"/>
            <w:hideMark/>
          </w:tcPr>
          <w:p w14:paraId="23EAD4AA"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SIM </w:t>
            </w:r>
          </w:p>
        </w:tc>
        <w:tc>
          <w:tcPr>
            <w:tcW w:w="4311" w:type="pct"/>
            <w:shd w:val="clear" w:color="auto" w:fill="auto"/>
            <w:noWrap/>
            <w:vAlign w:val="center"/>
            <w:hideMark/>
          </w:tcPr>
          <w:p w14:paraId="02ED428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Système d’Informations Météorologiques </w:t>
            </w:r>
          </w:p>
        </w:tc>
      </w:tr>
      <w:tr w:rsidR="004040F0" w:rsidRPr="00E01239" w14:paraId="56DD7337" w14:textId="77777777" w:rsidTr="00047AA4">
        <w:trPr>
          <w:trHeight w:val="293"/>
        </w:trPr>
        <w:tc>
          <w:tcPr>
            <w:tcW w:w="689" w:type="pct"/>
            <w:shd w:val="clear" w:color="auto" w:fill="auto"/>
            <w:noWrap/>
            <w:vAlign w:val="center"/>
            <w:hideMark/>
          </w:tcPr>
          <w:p w14:paraId="28B70DBB"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SNAPS</w:t>
            </w:r>
          </w:p>
        </w:tc>
        <w:tc>
          <w:tcPr>
            <w:tcW w:w="4311" w:type="pct"/>
            <w:shd w:val="clear" w:color="auto" w:fill="auto"/>
            <w:noWrap/>
            <w:vAlign w:val="center"/>
            <w:hideMark/>
          </w:tcPr>
          <w:p w14:paraId="1196879E"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Stratégie Nationale Aires Protégées du Sénégal</w:t>
            </w:r>
          </w:p>
        </w:tc>
      </w:tr>
      <w:tr w:rsidR="004040F0" w:rsidRPr="00E01239" w14:paraId="319E0AD9" w14:textId="77777777" w:rsidTr="00047AA4">
        <w:trPr>
          <w:trHeight w:val="293"/>
        </w:trPr>
        <w:tc>
          <w:tcPr>
            <w:tcW w:w="689" w:type="pct"/>
            <w:shd w:val="clear" w:color="auto" w:fill="auto"/>
            <w:noWrap/>
            <w:vAlign w:val="center"/>
            <w:hideMark/>
          </w:tcPr>
          <w:p w14:paraId="0899F56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SNCC</w:t>
            </w:r>
          </w:p>
        </w:tc>
        <w:tc>
          <w:tcPr>
            <w:tcW w:w="4311" w:type="pct"/>
            <w:shd w:val="clear" w:color="auto" w:fill="auto"/>
            <w:noWrap/>
            <w:vAlign w:val="center"/>
            <w:hideMark/>
          </w:tcPr>
          <w:p w14:paraId="15672909"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Stratégie Nationale d’Adaptation aux Changements Climatiques</w:t>
            </w:r>
          </w:p>
        </w:tc>
      </w:tr>
      <w:tr w:rsidR="004040F0" w:rsidRPr="00E01239" w14:paraId="386A2042" w14:textId="77777777" w:rsidTr="00047AA4">
        <w:trPr>
          <w:trHeight w:val="293"/>
        </w:trPr>
        <w:tc>
          <w:tcPr>
            <w:tcW w:w="689" w:type="pct"/>
            <w:shd w:val="clear" w:color="auto" w:fill="auto"/>
            <w:noWrap/>
            <w:vAlign w:val="center"/>
            <w:hideMark/>
          </w:tcPr>
          <w:p w14:paraId="1712F2BD"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SNDD</w:t>
            </w:r>
          </w:p>
        </w:tc>
        <w:tc>
          <w:tcPr>
            <w:tcW w:w="4311" w:type="pct"/>
            <w:shd w:val="clear" w:color="auto" w:fill="auto"/>
            <w:noWrap/>
            <w:vAlign w:val="center"/>
            <w:hideMark/>
          </w:tcPr>
          <w:p w14:paraId="4CF6F036"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Stratégie Nationale de Développement Durable</w:t>
            </w:r>
          </w:p>
        </w:tc>
      </w:tr>
      <w:tr w:rsidR="004040F0" w:rsidRPr="00E01239" w14:paraId="350D47A4" w14:textId="77777777" w:rsidTr="00047AA4">
        <w:trPr>
          <w:trHeight w:val="293"/>
        </w:trPr>
        <w:tc>
          <w:tcPr>
            <w:tcW w:w="689" w:type="pct"/>
            <w:shd w:val="clear" w:color="auto" w:fill="auto"/>
            <w:noWrap/>
            <w:vAlign w:val="center"/>
            <w:hideMark/>
          </w:tcPr>
          <w:p w14:paraId="5A64593E"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SNEEG</w:t>
            </w:r>
          </w:p>
        </w:tc>
        <w:tc>
          <w:tcPr>
            <w:tcW w:w="4311" w:type="pct"/>
            <w:shd w:val="clear" w:color="auto" w:fill="auto"/>
            <w:noWrap/>
            <w:vAlign w:val="center"/>
            <w:hideMark/>
          </w:tcPr>
          <w:p w14:paraId="56C0947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Stratégie Nationale pour l’Equité et l’Egalité de Genre </w:t>
            </w:r>
          </w:p>
        </w:tc>
      </w:tr>
      <w:tr w:rsidR="004040F0" w:rsidRPr="00E01239" w14:paraId="55DC5A33" w14:textId="77777777" w:rsidTr="00047AA4">
        <w:trPr>
          <w:trHeight w:val="293"/>
        </w:trPr>
        <w:tc>
          <w:tcPr>
            <w:tcW w:w="689" w:type="pct"/>
            <w:shd w:val="clear" w:color="auto" w:fill="auto"/>
            <w:noWrap/>
            <w:vAlign w:val="center"/>
            <w:hideMark/>
          </w:tcPr>
          <w:p w14:paraId="59823C50" w14:textId="0DDD8E93"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 xml:space="preserve">SNRASP </w:t>
            </w:r>
          </w:p>
        </w:tc>
        <w:tc>
          <w:tcPr>
            <w:tcW w:w="4311" w:type="pct"/>
            <w:shd w:val="clear" w:color="auto" w:fill="auto"/>
            <w:noWrap/>
            <w:vAlign w:val="bottom"/>
            <w:hideMark/>
          </w:tcPr>
          <w:p w14:paraId="7450ABD1" w14:textId="14ACEC52" w:rsidR="00DA3DF6" w:rsidRPr="00E01239" w:rsidRDefault="000A38BF" w:rsidP="00DA3DF6">
            <w:pPr>
              <w:rPr>
                <w:rFonts w:asciiTheme="minorHAnsi" w:hAnsiTheme="minorHAnsi" w:cstheme="minorHAnsi"/>
                <w:color w:val="000000"/>
                <w:sz w:val="22"/>
                <w:szCs w:val="22"/>
              </w:rPr>
            </w:pPr>
            <w:r w:rsidRPr="00E01239">
              <w:rPr>
                <w:rFonts w:asciiTheme="minorHAnsi" w:hAnsiTheme="minorHAnsi" w:cstheme="minorHAnsi"/>
                <w:color w:val="000000"/>
                <w:sz w:val="22"/>
                <w:szCs w:val="22"/>
              </w:rPr>
              <w:t>Système National de Recherches Agro-</w:t>
            </w:r>
            <w:proofErr w:type="spellStart"/>
            <w:r w:rsidRPr="00E01239">
              <w:rPr>
                <w:rFonts w:asciiTheme="minorHAnsi" w:hAnsiTheme="minorHAnsi" w:cstheme="minorHAnsi"/>
                <w:color w:val="000000"/>
                <w:sz w:val="22"/>
                <w:szCs w:val="22"/>
              </w:rPr>
              <w:t>Sylvo</w:t>
            </w:r>
            <w:proofErr w:type="spellEnd"/>
            <w:r w:rsidRPr="00E01239">
              <w:rPr>
                <w:rFonts w:asciiTheme="minorHAnsi" w:hAnsiTheme="minorHAnsi" w:cstheme="minorHAnsi"/>
                <w:color w:val="000000"/>
                <w:sz w:val="22"/>
                <w:szCs w:val="22"/>
              </w:rPr>
              <w:t>-Pastorales</w:t>
            </w:r>
          </w:p>
        </w:tc>
      </w:tr>
      <w:tr w:rsidR="004040F0" w:rsidRPr="00E01239" w14:paraId="031EC518" w14:textId="77777777" w:rsidTr="00047AA4">
        <w:trPr>
          <w:trHeight w:val="293"/>
        </w:trPr>
        <w:tc>
          <w:tcPr>
            <w:tcW w:w="689" w:type="pct"/>
            <w:shd w:val="clear" w:color="auto" w:fill="auto"/>
            <w:noWrap/>
            <w:vAlign w:val="center"/>
            <w:hideMark/>
          </w:tcPr>
          <w:p w14:paraId="017D385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SODAGRI</w:t>
            </w:r>
          </w:p>
        </w:tc>
        <w:tc>
          <w:tcPr>
            <w:tcW w:w="4311" w:type="pct"/>
            <w:shd w:val="clear" w:color="auto" w:fill="auto"/>
            <w:noWrap/>
            <w:vAlign w:val="center"/>
            <w:hideMark/>
          </w:tcPr>
          <w:p w14:paraId="3BE60A1D" w14:textId="7E394534"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Société de </w:t>
            </w:r>
            <w:r w:rsidR="00A5607A" w:rsidRPr="00E01239">
              <w:rPr>
                <w:rFonts w:asciiTheme="minorHAnsi" w:hAnsiTheme="minorHAnsi" w:cstheme="minorHAnsi"/>
                <w:color w:val="000000"/>
                <w:sz w:val="22"/>
                <w:szCs w:val="22"/>
              </w:rPr>
              <w:t>D</w:t>
            </w:r>
            <w:r w:rsidRPr="00E01239">
              <w:rPr>
                <w:rFonts w:asciiTheme="minorHAnsi" w:hAnsiTheme="minorHAnsi" w:cstheme="minorHAnsi"/>
                <w:color w:val="000000"/>
                <w:sz w:val="22"/>
                <w:szCs w:val="22"/>
              </w:rPr>
              <w:t xml:space="preserve">éveloppement </w:t>
            </w:r>
            <w:r w:rsidR="00A5607A" w:rsidRPr="00E01239">
              <w:rPr>
                <w:rFonts w:asciiTheme="minorHAnsi" w:hAnsiTheme="minorHAnsi" w:cstheme="minorHAnsi"/>
                <w:color w:val="000000"/>
                <w:sz w:val="22"/>
                <w:szCs w:val="22"/>
              </w:rPr>
              <w:t>A</w:t>
            </w:r>
            <w:r w:rsidRPr="00E01239">
              <w:rPr>
                <w:rFonts w:asciiTheme="minorHAnsi" w:hAnsiTheme="minorHAnsi" w:cstheme="minorHAnsi"/>
                <w:color w:val="000000"/>
                <w:sz w:val="22"/>
                <w:szCs w:val="22"/>
              </w:rPr>
              <w:t xml:space="preserve">gricole et </w:t>
            </w:r>
            <w:r w:rsidR="00A5607A" w:rsidRPr="00E01239">
              <w:rPr>
                <w:rFonts w:asciiTheme="minorHAnsi" w:hAnsiTheme="minorHAnsi" w:cstheme="minorHAnsi"/>
                <w:color w:val="000000"/>
                <w:sz w:val="22"/>
                <w:szCs w:val="22"/>
              </w:rPr>
              <w:t>I</w:t>
            </w:r>
            <w:r w:rsidRPr="00E01239">
              <w:rPr>
                <w:rFonts w:asciiTheme="minorHAnsi" w:hAnsiTheme="minorHAnsi" w:cstheme="minorHAnsi"/>
                <w:color w:val="000000"/>
                <w:sz w:val="22"/>
                <w:szCs w:val="22"/>
              </w:rPr>
              <w:t>ndustriel du Sénégal</w:t>
            </w:r>
          </w:p>
        </w:tc>
      </w:tr>
      <w:tr w:rsidR="004040F0" w:rsidRPr="00E01239" w14:paraId="4E17D862" w14:textId="77777777" w:rsidTr="00047AA4">
        <w:trPr>
          <w:trHeight w:val="293"/>
        </w:trPr>
        <w:tc>
          <w:tcPr>
            <w:tcW w:w="689" w:type="pct"/>
            <w:shd w:val="clear" w:color="auto" w:fill="auto"/>
            <w:noWrap/>
            <w:vAlign w:val="center"/>
            <w:hideMark/>
          </w:tcPr>
          <w:p w14:paraId="4E7BDE65"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SPM</w:t>
            </w:r>
          </w:p>
        </w:tc>
        <w:tc>
          <w:tcPr>
            <w:tcW w:w="4311" w:type="pct"/>
            <w:shd w:val="clear" w:color="auto" w:fill="auto"/>
            <w:noWrap/>
            <w:vAlign w:val="center"/>
            <w:hideMark/>
          </w:tcPr>
          <w:p w14:paraId="010F96C6"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Spécialiste en Passation de Marchés</w:t>
            </w:r>
          </w:p>
        </w:tc>
      </w:tr>
      <w:tr w:rsidR="004040F0" w:rsidRPr="00E01239" w14:paraId="03149D43" w14:textId="77777777" w:rsidTr="00047AA4">
        <w:trPr>
          <w:trHeight w:val="293"/>
        </w:trPr>
        <w:tc>
          <w:tcPr>
            <w:tcW w:w="689" w:type="pct"/>
            <w:shd w:val="clear" w:color="auto" w:fill="auto"/>
            <w:noWrap/>
            <w:vAlign w:val="center"/>
            <w:hideMark/>
          </w:tcPr>
          <w:p w14:paraId="03D51920"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SRAT</w:t>
            </w:r>
          </w:p>
        </w:tc>
        <w:tc>
          <w:tcPr>
            <w:tcW w:w="4311" w:type="pct"/>
            <w:shd w:val="clear" w:color="auto" w:fill="auto"/>
            <w:noWrap/>
            <w:vAlign w:val="center"/>
            <w:hideMark/>
          </w:tcPr>
          <w:p w14:paraId="21318052"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Schéma Régional d’Aménagement du Territoire </w:t>
            </w:r>
          </w:p>
        </w:tc>
      </w:tr>
      <w:tr w:rsidR="004040F0" w:rsidRPr="00E01239" w14:paraId="56C6AB83" w14:textId="77777777" w:rsidTr="00047AA4">
        <w:trPr>
          <w:trHeight w:val="293"/>
        </w:trPr>
        <w:tc>
          <w:tcPr>
            <w:tcW w:w="689" w:type="pct"/>
            <w:shd w:val="clear" w:color="auto" w:fill="auto"/>
            <w:noWrap/>
            <w:vAlign w:val="center"/>
            <w:hideMark/>
          </w:tcPr>
          <w:p w14:paraId="48E1D42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SST</w:t>
            </w:r>
          </w:p>
        </w:tc>
        <w:tc>
          <w:tcPr>
            <w:tcW w:w="4311" w:type="pct"/>
            <w:shd w:val="clear" w:color="auto" w:fill="auto"/>
            <w:noWrap/>
            <w:vAlign w:val="center"/>
            <w:hideMark/>
          </w:tcPr>
          <w:p w14:paraId="1A94BA95"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Santé et Sécurité au Travail</w:t>
            </w:r>
          </w:p>
        </w:tc>
      </w:tr>
      <w:tr w:rsidR="004040F0" w:rsidRPr="00E01239" w14:paraId="230F3417" w14:textId="77777777" w:rsidTr="00047AA4">
        <w:trPr>
          <w:trHeight w:val="293"/>
        </w:trPr>
        <w:tc>
          <w:tcPr>
            <w:tcW w:w="689" w:type="pct"/>
            <w:shd w:val="clear" w:color="auto" w:fill="auto"/>
            <w:noWrap/>
            <w:vAlign w:val="center"/>
            <w:hideMark/>
          </w:tcPr>
          <w:p w14:paraId="1EAEA213"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STBV</w:t>
            </w:r>
          </w:p>
        </w:tc>
        <w:tc>
          <w:tcPr>
            <w:tcW w:w="4311" w:type="pct"/>
            <w:shd w:val="clear" w:color="auto" w:fill="auto"/>
            <w:noWrap/>
            <w:vAlign w:val="center"/>
            <w:hideMark/>
          </w:tcPr>
          <w:p w14:paraId="2C8C7271"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Station de Traitement des Boues de Vidange</w:t>
            </w:r>
          </w:p>
        </w:tc>
      </w:tr>
      <w:tr w:rsidR="004040F0" w:rsidRPr="00E01239" w14:paraId="3BEC5D4C" w14:textId="77777777" w:rsidTr="00047AA4">
        <w:trPr>
          <w:trHeight w:val="293"/>
        </w:trPr>
        <w:tc>
          <w:tcPr>
            <w:tcW w:w="689" w:type="pct"/>
            <w:shd w:val="clear" w:color="auto" w:fill="auto"/>
            <w:noWrap/>
            <w:vAlign w:val="center"/>
            <w:hideMark/>
          </w:tcPr>
          <w:p w14:paraId="194E246F" w14:textId="77777777" w:rsidR="00DA3DF6" w:rsidRPr="00E01239" w:rsidRDefault="00DA3DF6" w:rsidP="00DA3DF6">
            <w:pPr>
              <w:jc w:val="both"/>
              <w:rPr>
                <w:rFonts w:asciiTheme="minorHAnsi" w:hAnsiTheme="minorHAnsi" w:cstheme="minorHAnsi"/>
                <w:b/>
                <w:bCs/>
                <w:color w:val="0070C0"/>
                <w:sz w:val="22"/>
                <w:szCs w:val="22"/>
              </w:rPr>
            </w:pPr>
            <w:proofErr w:type="spellStart"/>
            <w:r w:rsidRPr="00E01239">
              <w:rPr>
                <w:rFonts w:asciiTheme="minorHAnsi" w:hAnsiTheme="minorHAnsi" w:cstheme="minorHAnsi"/>
                <w:b/>
                <w:bCs/>
                <w:color w:val="0070C0"/>
                <w:sz w:val="22"/>
                <w:szCs w:val="22"/>
              </w:rPr>
              <w:t>TdR</w:t>
            </w:r>
            <w:proofErr w:type="spellEnd"/>
          </w:p>
        </w:tc>
        <w:tc>
          <w:tcPr>
            <w:tcW w:w="4311" w:type="pct"/>
            <w:shd w:val="clear" w:color="auto" w:fill="auto"/>
            <w:noWrap/>
            <w:vAlign w:val="center"/>
            <w:hideMark/>
          </w:tcPr>
          <w:p w14:paraId="65D87423" w14:textId="7620CC94"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Termes de </w:t>
            </w:r>
            <w:r w:rsidR="001E41E1" w:rsidRPr="00E01239">
              <w:rPr>
                <w:rFonts w:asciiTheme="minorHAnsi" w:hAnsiTheme="minorHAnsi" w:cstheme="minorHAnsi"/>
                <w:color w:val="000000"/>
                <w:sz w:val="22"/>
                <w:szCs w:val="22"/>
              </w:rPr>
              <w:t>R</w:t>
            </w:r>
            <w:r w:rsidRPr="00E01239">
              <w:rPr>
                <w:rFonts w:asciiTheme="minorHAnsi" w:hAnsiTheme="minorHAnsi" w:cstheme="minorHAnsi"/>
                <w:color w:val="000000"/>
                <w:sz w:val="22"/>
                <w:szCs w:val="22"/>
              </w:rPr>
              <w:t>éférence</w:t>
            </w:r>
          </w:p>
        </w:tc>
      </w:tr>
      <w:tr w:rsidR="004040F0" w:rsidRPr="00E01239" w14:paraId="43684322" w14:textId="77777777" w:rsidTr="00047AA4">
        <w:trPr>
          <w:trHeight w:val="293"/>
        </w:trPr>
        <w:tc>
          <w:tcPr>
            <w:tcW w:w="689" w:type="pct"/>
            <w:shd w:val="clear" w:color="auto" w:fill="auto"/>
            <w:noWrap/>
            <w:vAlign w:val="center"/>
            <w:hideMark/>
          </w:tcPr>
          <w:p w14:paraId="75C40CBD"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UCP</w:t>
            </w:r>
          </w:p>
        </w:tc>
        <w:tc>
          <w:tcPr>
            <w:tcW w:w="4311" w:type="pct"/>
            <w:shd w:val="clear" w:color="auto" w:fill="auto"/>
            <w:noWrap/>
            <w:vAlign w:val="center"/>
            <w:hideMark/>
          </w:tcPr>
          <w:p w14:paraId="7D29B095"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Unité de Coordination du Projet</w:t>
            </w:r>
          </w:p>
        </w:tc>
      </w:tr>
      <w:tr w:rsidR="004040F0" w:rsidRPr="00E01239" w14:paraId="24295FE9" w14:textId="77777777" w:rsidTr="00047AA4">
        <w:trPr>
          <w:trHeight w:val="293"/>
        </w:trPr>
        <w:tc>
          <w:tcPr>
            <w:tcW w:w="689" w:type="pct"/>
            <w:shd w:val="clear" w:color="auto" w:fill="auto"/>
            <w:noWrap/>
            <w:vAlign w:val="center"/>
            <w:hideMark/>
          </w:tcPr>
          <w:p w14:paraId="11E444B3"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UEMOA</w:t>
            </w:r>
          </w:p>
        </w:tc>
        <w:tc>
          <w:tcPr>
            <w:tcW w:w="4311" w:type="pct"/>
            <w:shd w:val="clear" w:color="auto" w:fill="auto"/>
            <w:noWrap/>
            <w:vAlign w:val="center"/>
            <w:hideMark/>
          </w:tcPr>
          <w:p w14:paraId="7D2C363B" w14:textId="2AEDEACD"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Union </w:t>
            </w:r>
            <w:r w:rsidR="001E41E1" w:rsidRPr="00E01239">
              <w:rPr>
                <w:rFonts w:asciiTheme="minorHAnsi" w:hAnsiTheme="minorHAnsi" w:cstheme="minorHAnsi"/>
                <w:color w:val="000000"/>
                <w:sz w:val="22"/>
                <w:szCs w:val="22"/>
              </w:rPr>
              <w:t>E</w:t>
            </w:r>
            <w:r w:rsidRPr="00E01239">
              <w:rPr>
                <w:rFonts w:asciiTheme="minorHAnsi" w:hAnsiTheme="minorHAnsi" w:cstheme="minorHAnsi"/>
                <w:color w:val="000000"/>
                <w:sz w:val="22"/>
                <w:szCs w:val="22"/>
              </w:rPr>
              <w:t xml:space="preserve">conomique et </w:t>
            </w:r>
            <w:r w:rsidR="001E41E1" w:rsidRPr="00E01239">
              <w:rPr>
                <w:rFonts w:asciiTheme="minorHAnsi" w:hAnsiTheme="minorHAnsi" w:cstheme="minorHAnsi"/>
                <w:color w:val="000000"/>
                <w:sz w:val="22"/>
                <w:szCs w:val="22"/>
              </w:rPr>
              <w:t>M</w:t>
            </w:r>
            <w:r w:rsidRPr="00E01239">
              <w:rPr>
                <w:rFonts w:asciiTheme="minorHAnsi" w:hAnsiTheme="minorHAnsi" w:cstheme="minorHAnsi"/>
                <w:color w:val="000000"/>
                <w:sz w:val="22"/>
                <w:szCs w:val="22"/>
              </w:rPr>
              <w:t xml:space="preserve">onétaire </w:t>
            </w:r>
            <w:r w:rsidR="001E41E1" w:rsidRPr="00E01239">
              <w:rPr>
                <w:rFonts w:asciiTheme="minorHAnsi" w:hAnsiTheme="minorHAnsi" w:cstheme="minorHAnsi"/>
                <w:color w:val="000000"/>
                <w:sz w:val="22"/>
                <w:szCs w:val="22"/>
              </w:rPr>
              <w:t>O</w:t>
            </w:r>
            <w:r w:rsidRPr="00E01239">
              <w:rPr>
                <w:rFonts w:asciiTheme="minorHAnsi" w:hAnsiTheme="minorHAnsi" w:cstheme="minorHAnsi"/>
                <w:color w:val="000000"/>
                <w:sz w:val="22"/>
                <w:szCs w:val="22"/>
              </w:rPr>
              <w:t>uest-</w:t>
            </w:r>
            <w:r w:rsidR="001E41E1" w:rsidRPr="00E01239">
              <w:rPr>
                <w:rFonts w:asciiTheme="minorHAnsi" w:hAnsiTheme="minorHAnsi" w:cstheme="minorHAnsi"/>
                <w:color w:val="000000"/>
                <w:sz w:val="22"/>
                <w:szCs w:val="22"/>
              </w:rPr>
              <w:t>A</w:t>
            </w:r>
            <w:r w:rsidRPr="00E01239">
              <w:rPr>
                <w:rFonts w:asciiTheme="minorHAnsi" w:hAnsiTheme="minorHAnsi" w:cstheme="minorHAnsi"/>
                <w:color w:val="000000"/>
                <w:sz w:val="22"/>
                <w:szCs w:val="22"/>
              </w:rPr>
              <w:t>fricaine</w:t>
            </w:r>
          </w:p>
        </w:tc>
      </w:tr>
      <w:tr w:rsidR="004040F0" w:rsidRPr="00E01239" w14:paraId="3A106EDF" w14:textId="77777777" w:rsidTr="00047AA4">
        <w:trPr>
          <w:trHeight w:val="293"/>
        </w:trPr>
        <w:tc>
          <w:tcPr>
            <w:tcW w:w="689" w:type="pct"/>
            <w:shd w:val="clear" w:color="auto" w:fill="auto"/>
            <w:noWrap/>
            <w:vAlign w:val="center"/>
            <w:hideMark/>
          </w:tcPr>
          <w:p w14:paraId="62512577"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UP</w:t>
            </w:r>
          </w:p>
        </w:tc>
        <w:tc>
          <w:tcPr>
            <w:tcW w:w="4311" w:type="pct"/>
            <w:shd w:val="clear" w:color="auto" w:fill="auto"/>
            <w:noWrap/>
            <w:vAlign w:val="center"/>
            <w:hideMark/>
          </w:tcPr>
          <w:p w14:paraId="5E172C6E" w14:textId="04558DCC"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Unité </w:t>
            </w:r>
            <w:r w:rsidR="00EB4F23" w:rsidRPr="00E01239">
              <w:rPr>
                <w:rFonts w:asciiTheme="minorHAnsi" w:hAnsiTheme="minorHAnsi" w:cstheme="minorHAnsi"/>
                <w:color w:val="000000"/>
                <w:sz w:val="22"/>
                <w:szCs w:val="22"/>
              </w:rPr>
              <w:t>P</w:t>
            </w:r>
            <w:r w:rsidRPr="00E01239">
              <w:rPr>
                <w:rFonts w:asciiTheme="minorHAnsi" w:hAnsiTheme="minorHAnsi" w:cstheme="minorHAnsi"/>
                <w:color w:val="000000"/>
                <w:sz w:val="22"/>
                <w:szCs w:val="22"/>
              </w:rPr>
              <w:t>astorale</w:t>
            </w:r>
          </w:p>
        </w:tc>
      </w:tr>
      <w:tr w:rsidR="004040F0" w:rsidRPr="00E01239" w14:paraId="40078B47" w14:textId="77777777" w:rsidTr="00047AA4">
        <w:trPr>
          <w:trHeight w:val="293"/>
        </w:trPr>
        <w:tc>
          <w:tcPr>
            <w:tcW w:w="689" w:type="pct"/>
            <w:shd w:val="clear" w:color="auto" w:fill="auto"/>
            <w:noWrap/>
            <w:vAlign w:val="center"/>
            <w:hideMark/>
          </w:tcPr>
          <w:p w14:paraId="237A44F8"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VBG</w:t>
            </w:r>
          </w:p>
        </w:tc>
        <w:tc>
          <w:tcPr>
            <w:tcW w:w="4311" w:type="pct"/>
            <w:shd w:val="clear" w:color="auto" w:fill="auto"/>
            <w:noWrap/>
            <w:vAlign w:val="center"/>
            <w:hideMark/>
          </w:tcPr>
          <w:p w14:paraId="24B49D69"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Violence Basée sur le Genre</w:t>
            </w:r>
          </w:p>
        </w:tc>
      </w:tr>
      <w:tr w:rsidR="004040F0" w:rsidRPr="00E01239" w14:paraId="00D5D159" w14:textId="77777777" w:rsidTr="00047AA4">
        <w:trPr>
          <w:trHeight w:val="293"/>
        </w:trPr>
        <w:tc>
          <w:tcPr>
            <w:tcW w:w="689" w:type="pct"/>
            <w:shd w:val="clear" w:color="auto" w:fill="auto"/>
            <w:noWrap/>
            <w:vAlign w:val="center"/>
            <w:hideMark/>
          </w:tcPr>
          <w:p w14:paraId="7C76FD3A"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VFE</w:t>
            </w:r>
          </w:p>
        </w:tc>
        <w:tc>
          <w:tcPr>
            <w:tcW w:w="4311" w:type="pct"/>
            <w:shd w:val="clear" w:color="auto" w:fill="auto"/>
            <w:noWrap/>
            <w:vAlign w:val="center"/>
            <w:hideMark/>
          </w:tcPr>
          <w:p w14:paraId="7BDDA37C"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Violence Faite aux Enfants</w:t>
            </w:r>
          </w:p>
        </w:tc>
      </w:tr>
      <w:tr w:rsidR="004040F0" w:rsidRPr="00E01239" w14:paraId="0937FC09" w14:textId="77777777" w:rsidTr="00047AA4">
        <w:trPr>
          <w:trHeight w:val="293"/>
        </w:trPr>
        <w:tc>
          <w:tcPr>
            <w:tcW w:w="689" w:type="pct"/>
            <w:shd w:val="clear" w:color="auto" w:fill="auto"/>
            <w:noWrap/>
            <w:vAlign w:val="center"/>
            <w:hideMark/>
          </w:tcPr>
          <w:p w14:paraId="25CCFC34"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VIH</w:t>
            </w:r>
          </w:p>
        </w:tc>
        <w:tc>
          <w:tcPr>
            <w:tcW w:w="4311" w:type="pct"/>
            <w:shd w:val="clear" w:color="auto" w:fill="auto"/>
            <w:noWrap/>
            <w:vAlign w:val="center"/>
            <w:hideMark/>
          </w:tcPr>
          <w:p w14:paraId="43F42B90" w14:textId="77777777"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Virus de l'Immunodéficience Humaine</w:t>
            </w:r>
          </w:p>
        </w:tc>
      </w:tr>
      <w:tr w:rsidR="004040F0" w:rsidRPr="00E01239" w14:paraId="7F3693F9" w14:textId="77777777" w:rsidTr="00047AA4">
        <w:trPr>
          <w:trHeight w:val="293"/>
        </w:trPr>
        <w:tc>
          <w:tcPr>
            <w:tcW w:w="689" w:type="pct"/>
            <w:shd w:val="clear" w:color="auto" w:fill="auto"/>
            <w:noWrap/>
            <w:vAlign w:val="center"/>
            <w:hideMark/>
          </w:tcPr>
          <w:p w14:paraId="43CC906E" w14:textId="77777777" w:rsidR="00DA3DF6" w:rsidRPr="00E01239" w:rsidRDefault="00DA3DF6" w:rsidP="00DA3DF6">
            <w:pPr>
              <w:jc w:val="both"/>
              <w:rPr>
                <w:rFonts w:asciiTheme="minorHAnsi" w:hAnsiTheme="minorHAnsi" w:cstheme="minorHAnsi"/>
                <w:b/>
                <w:bCs/>
                <w:color w:val="0070C0"/>
                <w:sz w:val="22"/>
                <w:szCs w:val="22"/>
              </w:rPr>
            </w:pPr>
            <w:r w:rsidRPr="00E01239">
              <w:rPr>
                <w:rFonts w:asciiTheme="minorHAnsi" w:hAnsiTheme="minorHAnsi" w:cstheme="minorHAnsi"/>
                <w:b/>
                <w:bCs/>
                <w:color w:val="0070C0"/>
                <w:sz w:val="22"/>
                <w:szCs w:val="22"/>
              </w:rPr>
              <w:t>WAAPP</w:t>
            </w:r>
          </w:p>
        </w:tc>
        <w:tc>
          <w:tcPr>
            <w:tcW w:w="4311" w:type="pct"/>
            <w:shd w:val="clear" w:color="auto" w:fill="auto"/>
            <w:noWrap/>
            <w:vAlign w:val="center"/>
            <w:hideMark/>
          </w:tcPr>
          <w:p w14:paraId="19CD976B" w14:textId="29471333" w:rsidR="00DA3DF6" w:rsidRPr="00E01239" w:rsidRDefault="00DA3DF6" w:rsidP="00DA3DF6">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Programme de </w:t>
            </w:r>
            <w:r w:rsidR="00EB4F23" w:rsidRPr="00E01239">
              <w:rPr>
                <w:rFonts w:asciiTheme="minorHAnsi" w:hAnsiTheme="minorHAnsi" w:cstheme="minorHAnsi"/>
                <w:color w:val="000000"/>
                <w:sz w:val="22"/>
                <w:szCs w:val="22"/>
              </w:rPr>
              <w:t>P</w:t>
            </w:r>
            <w:r w:rsidRPr="00E01239">
              <w:rPr>
                <w:rFonts w:asciiTheme="minorHAnsi" w:hAnsiTheme="minorHAnsi" w:cstheme="minorHAnsi"/>
                <w:color w:val="000000"/>
                <w:sz w:val="22"/>
                <w:szCs w:val="22"/>
              </w:rPr>
              <w:t xml:space="preserve">roductivité </w:t>
            </w:r>
            <w:r w:rsidR="00EB4F23" w:rsidRPr="00E01239">
              <w:rPr>
                <w:rFonts w:asciiTheme="minorHAnsi" w:hAnsiTheme="minorHAnsi" w:cstheme="minorHAnsi"/>
                <w:color w:val="000000"/>
                <w:sz w:val="22"/>
                <w:szCs w:val="22"/>
              </w:rPr>
              <w:t>A</w:t>
            </w:r>
            <w:r w:rsidRPr="00E01239">
              <w:rPr>
                <w:rFonts w:asciiTheme="minorHAnsi" w:hAnsiTheme="minorHAnsi" w:cstheme="minorHAnsi"/>
                <w:color w:val="000000"/>
                <w:sz w:val="22"/>
                <w:szCs w:val="22"/>
              </w:rPr>
              <w:t>gricole en Afrique de l'Ouest</w:t>
            </w:r>
          </w:p>
        </w:tc>
      </w:tr>
    </w:tbl>
    <w:p w14:paraId="5CCCCA43" w14:textId="77777777" w:rsidR="00C74DE6" w:rsidRPr="00E01239" w:rsidRDefault="00C74DE6" w:rsidP="00B940D4">
      <w:pPr>
        <w:rPr>
          <w:rFonts w:asciiTheme="minorHAnsi" w:hAnsiTheme="minorHAnsi" w:cstheme="minorHAnsi"/>
          <w:sz w:val="22"/>
          <w:szCs w:val="22"/>
          <w:lang w:eastAsia="x-none"/>
        </w:rPr>
        <w:sectPr w:rsidR="00C74DE6" w:rsidRPr="00E01239" w:rsidSect="002E7187">
          <w:pgSz w:w="11907" w:h="16840" w:code="9"/>
          <w:pgMar w:top="1418" w:right="1418" w:bottom="1418" w:left="1418" w:header="720" w:footer="720" w:gutter="0"/>
          <w:pgNumType w:fmt="lowerRoman"/>
          <w:cols w:space="60"/>
          <w:noEndnote/>
        </w:sectPr>
      </w:pPr>
    </w:p>
    <w:p w14:paraId="3D352568" w14:textId="77777777" w:rsidR="00DA3DF6" w:rsidRPr="00E01239" w:rsidRDefault="00DA3DF6" w:rsidP="00DA3DF6">
      <w:pPr>
        <w:pStyle w:val="Titre1"/>
        <w:shd w:val="clear" w:color="auto" w:fill="002060"/>
        <w:spacing w:before="0"/>
        <w:ind w:right="-1"/>
        <w:jc w:val="center"/>
        <w:rPr>
          <w:rFonts w:asciiTheme="minorHAnsi" w:hAnsiTheme="minorHAnsi" w:cstheme="minorHAnsi"/>
          <w:color w:val="auto"/>
          <w:sz w:val="44"/>
          <w:szCs w:val="44"/>
          <w:lang w:eastAsia="x-none"/>
        </w:rPr>
      </w:pPr>
      <w:bookmarkStart w:id="31" w:name="_Toc88861395"/>
      <w:bookmarkStart w:id="32" w:name="_Toc144654049"/>
      <w:bookmarkEnd w:id="27"/>
      <w:bookmarkEnd w:id="28"/>
      <w:r w:rsidRPr="00E01239">
        <w:rPr>
          <w:rFonts w:asciiTheme="minorHAnsi" w:hAnsiTheme="minorHAnsi" w:cstheme="minorHAnsi"/>
          <w:color w:val="auto"/>
          <w:sz w:val="44"/>
          <w:szCs w:val="44"/>
          <w:lang w:eastAsia="x-none"/>
        </w:rPr>
        <w:lastRenderedPageBreak/>
        <w:t>RESUME EXECUTIF</w:t>
      </w:r>
      <w:bookmarkEnd w:id="31"/>
      <w:bookmarkEnd w:id="32"/>
    </w:p>
    <w:p w14:paraId="3AE8DF33" w14:textId="77777777" w:rsidR="00DA3DF6" w:rsidRPr="00E01239" w:rsidRDefault="00DA3DF6" w:rsidP="00DA3DF6">
      <w:pPr>
        <w:rPr>
          <w:rFonts w:asciiTheme="minorHAnsi" w:hAnsiTheme="minorHAnsi" w:cstheme="minorHAnsi"/>
          <w:sz w:val="22"/>
          <w:szCs w:val="22"/>
        </w:rPr>
      </w:pPr>
    </w:p>
    <w:p w14:paraId="12C767E5"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CONTEXTE ET OBJECTIFS DU PROJET</w:t>
      </w:r>
    </w:p>
    <w:p w14:paraId="06E970CB" w14:textId="77777777" w:rsidR="00DA3DF6" w:rsidRPr="00E01239" w:rsidRDefault="00DA3DF6" w:rsidP="00DA3DF6">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Gouvernement de la République du Sénégal a sollicité l’appui de la Banque mondiale pour rejoindre la Phase III du Programme de résilience du système alimentaire en Afrique de l’Ouest (FSRP) qui couvre déjà 7 pays et trois organisations régionales (CEDEAO, CORAF et CILSS). L’objectif de développement de ce programme consiste à accroître la préparation à l’Insécurité Alimentaire et améliorer la résilience des systèmes alimentaires au Sénégal. </w:t>
      </w:r>
    </w:p>
    <w:p w14:paraId="4498E2DA" w14:textId="26B85F86" w:rsidR="00DA3DF6" w:rsidRPr="00E01239" w:rsidRDefault="00DA3DF6" w:rsidP="00DA3DF6">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activités du FSRP-SN sont organisées autour de cinq (05) composantes : </w:t>
      </w:r>
    </w:p>
    <w:p w14:paraId="3843AD7F" w14:textId="77777777" w:rsidR="00DA3DF6" w:rsidRPr="00E01239" w:rsidRDefault="00DA3DF6" w:rsidP="00027669">
      <w:pPr>
        <w:pStyle w:val="Paragraphedeliste"/>
        <w:numPr>
          <w:ilvl w:val="0"/>
          <w:numId w:val="18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Composante 1 : Services de conseil numérique pour la prévention et la gestion des crises agricoles et alimentaires </w:t>
      </w:r>
    </w:p>
    <w:p w14:paraId="1763B4FC" w14:textId="3D204635" w:rsidR="00DA3DF6" w:rsidRPr="00E01239" w:rsidRDefault="00DA3DF6" w:rsidP="00027669">
      <w:pPr>
        <w:pStyle w:val="Paragraphedeliste"/>
        <w:numPr>
          <w:ilvl w:val="0"/>
          <w:numId w:val="18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Composante 2</w:t>
      </w:r>
      <w:r w:rsidR="00507538" w:rsidRPr="00E01239">
        <w:rPr>
          <w:rFonts w:asciiTheme="minorHAnsi" w:hAnsiTheme="minorHAnsi" w:cstheme="minorHAnsi"/>
          <w:sz w:val="22"/>
          <w:szCs w:val="22"/>
        </w:rPr>
        <w:t> :</w:t>
      </w:r>
      <w:r w:rsidRPr="00E01239">
        <w:rPr>
          <w:rFonts w:asciiTheme="minorHAnsi" w:hAnsiTheme="minorHAnsi" w:cstheme="minorHAnsi"/>
          <w:sz w:val="22"/>
          <w:szCs w:val="22"/>
        </w:rPr>
        <w:t xml:space="preserve"> Durabilité et capacité d'adaptation de la base productive du système alimentaire </w:t>
      </w:r>
    </w:p>
    <w:p w14:paraId="6722E4D6" w14:textId="1A32369F" w:rsidR="00DA3DF6" w:rsidRPr="00E01239" w:rsidRDefault="00DA3DF6" w:rsidP="00027669">
      <w:pPr>
        <w:pStyle w:val="Paragraphedeliste"/>
        <w:numPr>
          <w:ilvl w:val="0"/>
          <w:numId w:val="18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Composante 3</w:t>
      </w:r>
      <w:r w:rsidR="00507538" w:rsidRPr="00E01239">
        <w:rPr>
          <w:rFonts w:asciiTheme="minorHAnsi" w:hAnsiTheme="minorHAnsi" w:cstheme="minorHAnsi"/>
          <w:sz w:val="22"/>
          <w:szCs w:val="22"/>
        </w:rPr>
        <w:t> :</w:t>
      </w:r>
      <w:r w:rsidRPr="00E01239">
        <w:rPr>
          <w:rFonts w:asciiTheme="minorHAnsi" w:hAnsiTheme="minorHAnsi" w:cstheme="minorHAnsi"/>
          <w:sz w:val="22"/>
          <w:szCs w:val="22"/>
        </w:rPr>
        <w:t xml:space="preserve"> Intégration régionale des marchés alimentaires &amp; du commerce  </w:t>
      </w:r>
    </w:p>
    <w:p w14:paraId="40B1D5E9" w14:textId="136643A9" w:rsidR="00DA3DF6" w:rsidRPr="00E01239" w:rsidRDefault="00DA3DF6" w:rsidP="00027669">
      <w:pPr>
        <w:pStyle w:val="Paragraphedeliste"/>
        <w:numPr>
          <w:ilvl w:val="0"/>
          <w:numId w:val="18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Composante 4</w:t>
      </w:r>
      <w:r w:rsidR="00507538" w:rsidRPr="00E01239">
        <w:rPr>
          <w:rFonts w:asciiTheme="minorHAnsi" w:hAnsiTheme="minorHAnsi" w:cstheme="minorHAnsi"/>
          <w:sz w:val="22"/>
          <w:szCs w:val="22"/>
        </w:rPr>
        <w:t> :</w:t>
      </w:r>
      <w:r w:rsidRPr="00E01239">
        <w:rPr>
          <w:rFonts w:asciiTheme="minorHAnsi" w:hAnsiTheme="minorHAnsi" w:cstheme="minorHAnsi"/>
          <w:sz w:val="22"/>
          <w:szCs w:val="22"/>
        </w:rPr>
        <w:t xml:space="preserve"> Intervention d'urgence contingente (CERC)</w:t>
      </w:r>
    </w:p>
    <w:p w14:paraId="01682244" w14:textId="553E7253" w:rsidR="00DA3DF6" w:rsidRPr="00E01239" w:rsidRDefault="00DA3DF6" w:rsidP="00027669">
      <w:pPr>
        <w:pStyle w:val="Paragraphedeliste"/>
        <w:numPr>
          <w:ilvl w:val="0"/>
          <w:numId w:val="18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Composante 5</w:t>
      </w:r>
      <w:r w:rsidR="00507538" w:rsidRPr="00E01239">
        <w:rPr>
          <w:rFonts w:asciiTheme="minorHAnsi" w:hAnsiTheme="minorHAnsi" w:cstheme="minorHAnsi"/>
          <w:sz w:val="22"/>
          <w:szCs w:val="22"/>
        </w:rPr>
        <w:t> :</w:t>
      </w:r>
      <w:r w:rsidRPr="00E01239">
        <w:rPr>
          <w:rFonts w:asciiTheme="minorHAnsi" w:hAnsiTheme="minorHAnsi" w:cstheme="minorHAnsi"/>
          <w:sz w:val="22"/>
          <w:szCs w:val="22"/>
        </w:rPr>
        <w:t xml:space="preserve"> Gestion du programme </w:t>
      </w:r>
    </w:p>
    <w:p w14:paraId="12F73D48" w14:textId="77777777" w:rsidR="00DA3DF6" w:rsidRPr="00E01239" w:rsidRDefault="00DA3DF6" w:rsidP="00DA3DF6">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FRSP-SN couvre treize (13) régions du pays sur les quatorze (14) que sont : </w:t>
      </w:r>
      <w:r w:rsidRPr="00E01239">
        <w:rPr>
          <w:rFonts w:asciiTheme="minorHAnsi" w:hAnsiTheme="minorHAnsi" w:cstheme="minorHAnsi"/>
          <w:sz w:val="22"/>
          <w:szCs w:val="22"/>
          <w:lang w:eastAsia="en-US"/>
        </w:rPr>
        <w:t>Dakar, Thiès, Louga, Saint Louis, Matam, Diourbel, Fatick, Kaolack, Kaffrine, Tambacounda, Ziguinchor, Sédhiou et Kolda</w:t>
      </w:r>
      <w:r w:rsidRPr="00E01239">
        <w:rPr>
          <w:rFonts w:asciiTheme="minorHAnsi" w:hAnsiTheme="minorHAnsi" w:cstheme="minorHAnsi"/>
          <w:sz w:val="22"/>
          <w:szCs w:val="22"/>
        </w:rPr>
        <w:t>.</w:t>
      </w:r>
    </w:p>
    <w:p w14:paraId="31F6BDF0"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OBJECTIFS ET CONTENU DU CGES</w:t>
      </w:r>
    </w:p>
    <w:p w14:paraId="61E169CE" w14:textId="77777777" w:rsidR="00DA3DF6" w:rsidRPr="00E01239" w:rsidRDefault="00DA3DF6" w:rsidP="00DA3DF6">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CGES est préparé conformément aux exigences contenues dans la norme environnementale et sociale n°1 (Évaluation et gestion des risques et effets environnementaux et sociaux) du Cadre environnemental et social (CES) de la Banque mondiale tout en tenant compte des dispositions spécifiques contenues dans la Note d’Orientation (NO) de la NES n°1 sur l’Évaluation et la gestion des risques et effets environnementaux et sociaux. Aussi, il respecte les dispositions prévues par la réglementation nationale en matière de gestion environnementale et sociale y compris les risques de violence basée sur le genre (VBG), exploitation et abus sexuel (EAS), et harcèlement sexuel (HS), d’autre part. </w:t>
      </w:r>
    </w:p>
    <w:p w14:paraId="0B8EB72B" w14:textId="57B4C260" w:rsidR="00631A03" w:rsidRPr="00E01239" w:rsidRDefault="65D974FF" w:rsidP="7CB1727A">
      <w:pPr>
        <w:spacing w:before="120" w:line="280" w:lineRule="exact"/>
        <w:jc w:val="both"/>
        <w:rPr>
          <w:rFonts w:asciiTheme="minorHAnsi" w:hAnsiTheme="minorHAnsi" w:cstheme="minorBidi"/>
          <w:sz w:val="22"/>
          <w:szCs w:val="22"/>
        </w:rPr>
      </w:pPr>
      <w:r w:rsidRPr="00E01239">
        <w:rPr>
          <w:rFonts w:asciiTheme="minorHAnsi" w:hAnsiTheme="minorHAnsi" w:cstheme="minorBidi"/>
          <w:sz w:val="22"/>
          <w:szCs w:val="22"/>
        </w:rPr>
        <w:t xml:space="preserve">Le Projet est classé à risque environnemental et social substantiel et toutes les NES de la Banque mondiale lui sont </w:t>
      </w:r>
      <w:r w:rsidR="6DA8C645" w:rsidRPr="00E01239">
        <w:rPr>
          <w:rFonts w:asciiTheme="minorHAnsi" w:hAnsiTheme="minorHAnsi" w:cstheme="minorBidi"/>
          <w:sz w:val="22"/>
          <w:szCs w:val="22"/>
        </w:rPr>
        <w:t xml:space="preserve">pertinentes </w:t>
      </w:r>
      <w:r w:rsidR="11D60828" w:rsidRPr="00E01239">
        <w:rPr>
          <w:rFonts w:asciiTheme="minorHAnsi" w:hAnsiTheme="minorHAnsi" w:cstheme="minorBidi"/>
          <w:sz w:val="22"/>
          <w:szCs w:val="22"/>
        </w:rPr>
        <w:t>à l’exception de la NES 7 sur les peuples autochtones/ Communautés locales d’Afrique subsaharienne historiquement défavorisées et la NES 9 sur les Intermédiaires financiers.</w:t>
      </w:r>
    </w:p>
    <w:p w14:paraId="12A0FA02" w14:textId="6CCB4F76" w:rsidR="00DA3DF6" w:rsidRPr="00E01239" w:rsidRDefault="00DA3DF6" w:rsidP="00DA3DF6">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z w:val="22"/>
          <w:szCs w:val="22"/>
        </w:rPr>
        <w:t xml:space="preserve">Le présent CGES contient principalement (i) </w:t>
      </w:r>
      <w:r w:rsidRPr="00E01239">
        <w:rPr>
          <w:rFonts w:asciiTheme="minorHAnsi" w:hAnsiTheme="minorHAnsi" w:cstheme="minorHAnsi"/>
          <w:spacing w:val="1"/>
          <w:sz w:val="22"/>
          <w:szCs w:val="22"/>
        </w:rPr>
        <w:t>le processus de sélection environnementale et sociale</w:t>
      </w:r>
      <w:r w:rsidRPr="00E01239">
        <w:rPr>
          <w:rFonts w:asciiTheme="minorHAnsi" w:eastAsia="Calibri" w:hAnsiTheme="minorHAnsi" w:cstheme="minorHAnsi"/>
          <w:sz w:val="22"/>
          <w:szCs w:val="22"/>
        </w:rPr>
        <w:t xml:space="preserve"> devant permettre l’identification des impacts environnementaux et sociaux potentiels pouvant découler des activités du projet et la mise en œuvre et le suivi des mesures </w:t>
      </w:r>
      <w:r w:rsidRPr="00E01239">
        <w:rPr>
          <w:rFonts w:asciiTheme="minorHAnsi" w:hAnsiTheme="minorHAnsi" w:cstheme="minorHAnsi"/>
          <w:spacing w:val="1"/>
          <w:sz w:val="22"/>
          <w:szCs w:val="22"/>
        </w:rPr>
        <w:t>d’évitement</w:t>
      </w:r>
      <w:r w:rsidRPr="00E01239">
        <w:rPr>
          <w:rFonts w:asciiTheme="minorHAnsi" w:eastAsia="Calibri" w:hAnsiTheme="minorHAnsi" w:cstheme="minorHAnsi"/>
          <w:sz w:val="22"/>
          <w:szCs w:val="22"/>
        </w:rPr>
        <w:t xml:space="preserve"> et d’atténuation proposées selon le principe de la hiérarchie d’atténuation</w:t>
      </w:r>
      <w:r w:rsidRPr="00E01239">
        <w:rPr>
          <w:rFonts w:asciiTheme="minorHAnsi" w:hAnsiTheme="minorHAnsi" w:cstheme="minorHAnsi"/>
          <w:spacing w:val="1"/>
          <w:sz w:val="22"/>
          <w:szCs w:val="22"/>
        </w:rPr>
        <w:t xml:space="preserve">, (ii) </w:t>
      </w:r>
      <w:r w:rsidRPr="00E01239">
        <w:rPr>
          <w:rFonts w:asciiTheme="minorHAnsi" w:hAnsiTheme="minorHAnsi" w:cstheme="minorHAnsi"/>
          <w:noProof/>
          <w:sz w:val="22"/>
          <w:szCs w:val="22"/>
        </w:rPr>
        <w:t xml:space="preserve">la procédure </w:t>
      </w:r>
      <w:r w:rsidR="006327C9" w:rsidRPr="00E01239">
        <w:rPr>
          <w:rFonts w:asciiTheme="minorHAnsi" w:hAnsiTheme="minorHAnsi" w:cstheme="minorHAnsi"/>
          <w:noProof/>
          <w:sz w:val="22"/>
          <w:szCs w:val="22"/>
        </w:rPr>
        <w:t>de</w:t>
      </w:r>
      <w:r w:rsidR="00CA2620" w:rsidRPr="00E01239">
        <w:rPr>
          <w:rFonts w:asciiTheme="minorHAnsi" w:hAnsiTheme="minorHAnsi" w:cstheme="minorHAnsi"/>
          <w:noProof/>
          <w:sz w:val="22"/>
          <w:szCs w:val="22"/>
        </w:rPr>
        <w:t xml:space="preserve"> mobilisation</w:t>
      </w:r>
      <w:r w:rsidR="006327C9" w:rsidRPr="00E01239">
        <w:rPr>
          <w:rFonts w:asciiTheme="minorHAnsi" w:hAnsiTheme="minorHAnsi" w:cstheme="minorHAnsi"/>
          <w:noProof/>
          <w:sz w:val="22"/>
          <w:szCs w:val="22"/>
        </w:rPr>
        <w:t xml:space="preserve"> </w:t>
      </w:r>
      <w:r w:rsidRPr="00E01239">
        <w:rPr>
          <w:rFonts w:asciiTheme="minorHAnsi" w:hAnsiTheme="minorHAnsi" w:cstheme="minorHAnsi"/>
          <w:noProof/>
          <w:sz w:val="22"/>
          <w:szCs w:val="22"/>
        </w:rPr>
        <w:t xml:space="preserve">des parties prenantes incluant la </w:t>
      </w:r>
      <w:r w:rsidRPr="00E01239">
        <w:rPr>
          <w:rFonts w:asciiTheme="minorHAnsi" w:hAnsiTheme="minorHAnsi" w:cstheme="minorHAnsi"/>
          <w:spacing w:val="-1"/>
          <w:sz w:val="22"/>
          <w:szCs w:val="22"/>
        </w:rPr>
        <w:t xml:space="preserve">consultation et l’information des parties prenantes, (iii) les mesures de gestion environnementale et sociale des impacts et risques génériques identifiées suivant le principe de la hiérarchie d’atténuation et comportant des mesures d’évitement, de mitigation, d’atténuation et/ou de compensation, (iv) le mécanisme de suivi et de surveillance environnementale des impacts et risques E&amp;S induits par les activités du </w:t>
      </w:r>
      <w:r w:rsidRPr="00E01239">
        <w:rPr>
          <w:rFonts w:asciiTheme="minorHAnsi" w:hAnsiTheme="minorHAnsi" w:cstheme="minorHAnsi"/>
          <w:color w:val="000000" w:themeColor="text1"/>
          <w:sz w:val="22"/>
          <w:szCs w:val="22"/>
        </w:rPr>
        <w:t>FSRP-SN</w:t>
      </w:r>
      <w:r w:rsidRPr="00E01239">
        <w:rPr>
          <w:rFonts w:asciiTheme="minorHAnsi" w:hAnsiTheme="minorHAnsi" w:cstheme="minorHAnsi"/>
          <w:spacing w:val="-1"/>
          <w:sz w:val="22"/>
          <w:szCs w:val="22"/>
        </w:rPr>
        <w:t xml:space="preserve">, (v) les arrangements institutionnels assortis d’une évaluation des capacités des entités impliquées dans la gestion E&amp;S du FSRP-SN et d’un plan de renforcement des capacités, (vi) la procédure de prise en charge des violences </w:t>
      </w:r>
      <w:r w:rsidRPr="00E01239">
        <w:rPr>
          <w:rFonts w:asciiTheme="minorHAnsi" w:hAnsiTheme="minorHAnsi" w:cstheme="minorHAnsi"/>
          <w:spacing w:val="-1"/>
          <w:sz w:val="22"/>
          <w:szCs w:val="22"/>
        </w:rPr>
        <w:lastRenderedPageBreak/>
        <w:t>basées sur le genre (VBG), d’exploitation et d’abus sexuels (EAS) et du harcèlement sexuel (HS), (vii) le mécanisme de gestion des plaintes (MGP) et (viii) le budget de mise en œuvre du CGES.</w:t>
      </w:r>
    </w:p>
    <w:p w14:paraId="44A3D1E7" w14:textId="77777777" w:rsidR="00DA3DF6" w:rsidRPr="00E01239" w:rsidRDefault="00DA3DF6" w:rsidP="00DA3DF6">
      <w:pPr>
        <w:jc w:val="both"/>
        <w:rPr>
          <w:rFonts w:asciiTheme="minorHAnsi" w:hAnsiTheme="minorHAnsi" w:cstheme="minorHAnsi"/>
          <w:sz w:val="22"/>
          <w:szCs w:val="22"/>
        </w:rPr>
      </w:pPr>
    </w:p>
    <w:p w14:paraId="5BB86714"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DISPOSITIFS JURIDIQUE, REGLEMENTAIRE ET INSTITUTIONNEL NATIONAL</w:t>
      </w:r>
    </w:p>
    <w:p w14:paraId="4C575424" w14:textId="493FF994" w:rsidR="00DA3DF6" w:rsidRPr="00E01239" w:rsidRDefault="00DA3DF6" w:rsidP="00DA3DF6">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 cadre politique pertinent pour le FSRP-SN est principalement constitué de stratégies, de plans et programmes dont le Plan Sénégal Emergent (PSE) qui </w:t>
      </w:r>
      <w:r w:rsidR="0050784E" w:rsidRPr="00E01239">
        <w:rPr>
          <w:rFonts w:asciiTheme="minorHAnsi" w:eastAsia="Calibri" w:hAnsiTheme="minorHAnsi" w:cstheme="minorHAnsi"/>
          <w:sz w:val="22"/>
          <w:szCs w:val="22"/>
        </w:rPr>
        <w:t xml:space="preserve">est </w:t>
      </w:r>
      <w:r w:rsidRPr="00E01239">
        <w:rPr>
          <w:rFonts w:asciiTheme="minorHAnsi" w:eastAsia="Calibri" w:hAnsiTheme="minorHAnsi" w:cstheme="minorHAnsi"/>
          <w:sz w:val="22"/>
          <w:szCs w:val="22"/>
        </w:rPr>
        <w:t>le référentiel de la politique économique et sociale sur le moyen et le long terme</w:t>
      </w:r>
      <w:r w:rsidR="003B1F50" w:rsidRPr="00E01239">
        <w:rPr>
          <w:rFonts w:asciiTheme="minorHAnsi" w:eastAsia="Calibri" w:hAnsiTheme="minorHAnsi" w:cstheme="minorHAnsi"/>
          <w:sz w:val="22"/>
          <w:szCs w:val="22"/>
        </w:rPr>
        <w:t>. Le PSE</w:t>
      </w:r>
      <w:r w:rsidRPr="00E01239">
        <w:rPr>
          <w:rFonts w:asciiTheme="minorHAnsi" w:eastAsia="Calibri" w:hAnsiTheme="minorHAnsi" w:cstheme="minorHAnsi"/>
          <w:sz w:val="22"/>
          <w:szCs w:val="22"/>
        </w:rPr>
        <w:t xml:space="preserve"> comport</w:t>
      </w:r>
      <w:r w:rsidR="003B1F50" w:rsidRPr="00E01239">
        <w:rPr>
          <w:rFonts w:asciiTheme="minorHAnsi" w:eastAsia="Calibri" w:hAnsiTheme="minorHAnsi" w:cstheme="minorHAnsi"/>
          <w:sz w:val="22"/>
          <w:szCs w:val="22"/>
        </w:rPr>
        <w:t xml:space="preserve">e </w:t>
      </w:r>
      <w:r w:rsidRPr="00E01239">
        <w:rPr>
          <w:rFonts w:asciiTheme="minorHAnsi" w:eastAsia="Calibri" w:hAnsiTheme="minorHAnsi" w:cstheme="minorHAnsi"/>
          <w:sz w:val="22"/>
          <w:szCs w:val="22"/>
        </w:rPr>
        <w:t xml:space="preserve">des stratégies d’amélioration de l'environnement des investissements à travers des réformes structurelles pour rendre attractif le Sénégal notamment à travers la préservation de l’environnement et l’accès au foncier. Le PSE est complété par des documents opérationnelles qui matérialisent les programmes nationaux d’aménagement du territoire, de gestion de l’environnement, de promotion de l’emploi, de renforcement de la prévention et la prise en charge risques sociaux </w:t>
      </w:r>
    </w:p>
    <w:p w14:paraId="4D43B5CE" w14:textId="2CD4F08E" w:rsidR="00DA3DF6" w:rsidRPr="00E01239" w:rsidRDefault="00EE0DBB" w:rsidP="00DA3DF6">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Sur le</w:t>
      </w:r>
      <w:r w:rsidR="00DA3DF6" w:rsidRPr="00E01239">
        <w:rPr>
          <w:rFonts w:asciiTheme="minorHAnsi" w:eastAsia="Calibri" w:hAnsiTheme="minorHAnsi" w:cstheme="minorHAnsi"/>
          <w:sz w:val="22"/>
          <w:szCs w:val="22"/>
        </w:rPr>
        <w:t xml:space="preserve"> plan juridique, le Sénégal dispose d’un arsenal </w:t>
      </w:r>
      <w:r w:rsidR="003B1F50" w:rsidRPr="00E01239">
        <w:rPr>
          <w:rFonts w:asciiTheme="minorHAnsi" w:eastAsia="Calibri" w:hAnsiTheme="minorHAnsi" w:cstheme="minorHAnsi"/>
          <w:sz w:val="22"/>
          <w:szCs w:val="22"/>
        </w:rPr>
        <w:t xml:space="preserve">de textes réglementaires </w:t>
      </w:r>
      <w:r w:rsidR="00DA3DF6" w:rsidRPr="00E01239">
        <w:rPr>
          <w:rFonts w:asciiTheme="minorHAnsi" w:eastAsia="Calibri" w:hAnsiTheme="minorHAnsi" w:cstheme="minorHAnsi"/>
          <w:sz w:val="22"/>
          <w:szCs w:val="22"/>
        </w:rPr>
        <w:t xml:space="preserve">en matière de gestion environnementale et sociale. Il comporte la Constitution Sénégalaise, la loi n° 2001-01 du 15 janvier 2001 portant code de l’environnement, son décret d’application (décret n° 2001-282 du 12 avril 2001 portant application du code de l’environnement) et certains textes réglementaires (arrêtés et circulaires). Ce dispositif interagit avec les codes sectoriels (Code de l’Eau, Code du travail, Code de l’Hygiène publique, Code de l’assainissement, Normes sénégalaises sur les rejets, Code de l’Urbanisme, Code forestier, Code minier, Code de la chasse, etc.) pour couvrir tous les risques environnementaux et sociaux, de santé et de sécurité. Relativement au foncier, le dispositif juridique environnemental s’articule </w:t>
      </w:r>
      <w:r w:rsidR="003B1F50" w:rsidRPr="00E01239">
        <w:rPr>
          <w:rFonts w:asciiTheme="minorHAnsi" w:eastAsia="Calibri" w:hAnsiTheme="minorHAnsi" w:cstheme="minorHAnsi"/>
          <w:sz w:val="22"/>
          <w:szCs w:val="22"/>
        </w:rPr>
        <w:t xml:space="preserve">en parfaite  synergie </w:t>
      </w:r>
      <w:r w:rsidR="00DA3DF6" w:rsidRPr="00E01239">
        <w:rPr>
          <w:rFonts w:asciiTheme="minorHAnsi" w:eastAsia="Calibri" w:hAnsiTheme="minorHAnsi" w:cstheme="minorHAnsi"/>
          <w:sz w:val="22"/>
          <w:szCs w:val="22"/>
        </w:rPr>
        <w:t>avec le cadre légal de la gestion du foncier rural au Sénégal dont les principaux textes sont la loi 64-46 du 17 Juin 1964 sur le domaine national, représentant environ 95% du territoire national ainsi que les décrets n°64-573 du 30 Juillet 1964 fixant les conditions d’application de ladite loi, la loi d’orientation agro-</w:t>
      </w:r>
      <w:proofErr w:type="spellStart"/>
      <w:r w:rsidR="00DA3DF6" w:rsidRPr="00E01239">
        <w:rPr>
          <w:rFonts w:asciiTheme="minorHAnsi" w:eastAsia="Calibri" w:hAnsiTheme="minorHAnsi" w:cstheme="minorHAnsi"/>
          <w:sz w:val="22"/>
          <w:szCs w:val="22"/>
        </w:rPr>
        <w:t>sylvo</w:t>
      </w:r>
      <w:proofErr w:type="spellEnd"/>
      <w:r w:rsidR="00DA3DF6" w:rsidRPr="00E01239">
        <w:rPr>
          <w:rFonts w:asciiTheme="minorHAnsi" w:eastAsia="Calibri" w:hAnsiTheme="minorHAnsi" w:cstheme="minorHAnsi"/>
          <w:sz w:val="22"/>
          <w:szCs w:val="22"/>
        </w:rPr>
        <w:t>-pastorale (LOASP) promulguée en 2004, la loi n° 2013-10 du 28 décembre 2013 portant Code général des Collectivités territoriales, la loi n° 76-66 du 2 Juillet 1976 portant Code du Domaine de l’Etat applicable au domaine public et privé de l’Etat et la loi n° 2011-07 du 30 mars 2011 portant régime de la propriété foncière.</w:t>
      </w:r>
    </w:p>
    <w:p w14:paraId="39A279AD" w14:textId="77777777" w:rsidR="00DA3DF6" w:rsidRPr="00E01239" w:rsidRDefault="00DA3DF6" w:rsidP="00DA3DF6">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En plus de ce dispositif juridique national, le Sénégal a ratifié bon nombre de conventions et de traités internationaux relatifs à la protection de l’environnement. Il a également signé, adopté et ratifié plusieurs traités, conventions, pactes et chartes l’obligeant à légiférer sur les questions relatives au Genre et aux Violences Basées sur le Genre (VBG). D’autres conventions et protocoles additionnels ont été signés pour prévenir, réprimer et punir les auteurs de traite des personnes, en particulier les femmes et les enfants.</w:t>
      </w:r>
    </w:p>
    <w:p w14:paraId="2922B385" w14:textId="77777777" w:rsidR="00DA3DF6" w:rsidRPr="00E01239" w:rsidRDefault="00DA3DF6" w:rsidP="00DA3DF6">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Au plan institutionnel, le Ministère de l’Environnement, du Développement Durable et de la transition écologique a la responsabilité de mettre en œuvre la politique transversale et sectorielle du Gouvernement en matière de protection de l’environnement et de développement durable. Au sein de ce Ministère, la Direction de l’Environnement et des Etablissements classés (DEEC) est la principale entité garante de la procédure d’évaluation et de suivi environnemental des projets et programmes. </w:t>
      </w:r>
    </w:p>
    <w:p w14:paraId="334DCEB5"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NORMES ENVIRONNEMENTALES ET SOCIALES DE LA BANQUE MONDIALE APPLICABLES</w:t>
      </w:r>
    </w:p>
    <w:p w14:paraId="4AFFC3FB" w14:textId="77777777" w:rsidR="00DA3DF6" w:rsidRPr="00E01239" w:rsidRDefault="00DA3DF6" w:rsidP="00DA3DF6">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 FSRP-SN est régi par le Cadre Environnemental et Social (CES) de la BM qui se décline à travers dix (10) Normes Environnementales et Sociales (NES) et qui vise à protéger les populations et l’environnement contre les impacts potentiels susceptibles de se produire en relation avec les projets d’investissement financés par la Banque mondiale et, à promouvoir le développement durable. </w:t>
      </w:r>
    </w:p>
    <w:p w14:paraId="510E3FEF" w14:textId="77777777" w:rsidR="00DA3DF6" w:rsidRPr="00E01239" w:rsidRDefault="00DA3DF6" w:rsidP="00DA3DF6">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Parmi les dix (10) NES, il apparait que seules deux (2) ne seront pas pertinentes dans le cadre du Projet, à savoir les NES 7 et 9.</w:t>
      </w:r>
    </w:p>
    <w:p w14:paraId="2AB7A62B" w14:textId="001D3A5A" w:rsidR="00DA3DF6" w:rsidRPr="00E01239" w:rsidRDefault="00DA3DF6" w:rsidP="00DA3DF6">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lastRenderedPageBreak/>
        <w:t xml:space="preserve">Selon la classification de la Banque mondiale, le FSRP-SN est un projet à risque environnemental </w:t>
      </w:r>
      <w:r w:rsidR="000A38BF" w:rsidRPr="00E01239">
        <w:rPr>
          <w:rFonts w:asciiTheme="minorHAnsi" w:eastAsia="Calibri" w:hAnsiTheme="minorHAnsi" w:cstheme="minorHAnsi"/>
          <w:sz w:val="22"/>
          <w:szCs w:val="22"/>
        </w:rPr>
        <w:t>et</w:t>
      </w:r>
      <w:r w:rsidRPr="00E01239">
        <w:rPr>
          <w:rFonts w:asciiTheme="minorHAnsi" w:eastAsia="Calibri" w:hAnsiTheme="minorHAnsi" w:cstheme="minorHAnsi"/>
          <w:sz w:val="22"/>
          <w:szCs w:val="22"/>
        </w:rPr>
        <w:t xml:space="preserve"> social substantiel.</w:t>
      </w:r>
    </w:p>
    <w:p w14:paraId="626E7A23" w14:textId="77777777" w:rsidR="00DA3DF6" w:rsidRPr="00E01239" w:rsidRDefault="00DA3DF6" w:rsidP="00DA3DF6">
      <w:pPr>
        <w:shd w:val="clear" w:color="auto" w:fill="FFFFFF"/>
        <w:jc w:val="both"/>
        <w:rPr>
          <w:rFonts w:asciiTheme="minorHAnsi" w:eastAsia="Arial Unicode MS" w:hAnsiTheme="minorHAnsi" w:cstheme="minorHAnsi"/>
          <w:sz w:val="22"/>
          <w:szCs w:val="22"/>
        </w:rPr>
      </w:pPr>
    </w:p>
    <w:p w14:paraId="43508B99"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DONNEES ENVIRONNEMENTALES ET SOCIALES DE REFERENCE</w:t>
      </w:r>
    </w:p>
    <w:p w14:paraId="0408423B" w14:textId="77777777" w:rsidR="00DA3DF6" w:rsidRPr="00E01239" w:rsidRDefault="00DA3DF6" w:rsidP="00DA3DF6">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De l’analyse situationnelle du profil biophysique et socio-économique des zones d’intervention du FSRP-SN, plusieurs enjeux environnementaux et sociaux de niveaux de sensibilités variables ont été répertoriés. Ils sont synthétisés dans le tableau suivant.</w:t>
      </w:r>
    </w:p>
    <w:tbl>
      <w:tblPr>
        <w:tblW w:w="5052" w:type="pct"/>
        <w:tblInd w:w="-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14"/>
        <w:gridCol w:w="6189"/>
        <w:gridCol w:w="1252"/>
      </w:tblGrid>
      <w:tr w:rsidR="00DA3DF6" w:rsidRPr="00E01239" w14:paraId="6FBC2434" w14:textId="77777777" w:rsidTr="00654F25">
        <w:trPr>
          <w:trHeight w:val="711"/>
          <w:tblHeader/>
        </w:trPr>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vAlign w:val="center"/>
            <w:hideMark/>
          </w:tcPr>
          <w:p w14:paraId="4BE17626" w14:textId="77777777" w:rsidR="00DA3DF6" w:rsidRPr="00E01239" w:rsidRDefault="00DA3DF6" w:rsidP="00F43E8A">
            <w:pPr>
              <w:jc w:val="center"/>
              <w:rPr>
                <w:rFonts w:asciiTheme="minorHAnsi" w:hAnsiTheme="minorHAnsi" w:cstheme="minorHAnsi"/>
                <w:bCs/>
                <w:sz w:val="22"/>
                <w:szCs w:val="22"/>
              </w:rPr>
            </w:pPr>
            <w:r w:rsidRPr="00E01239">
              <w:rPr>
                <w:rFonts w:asciiTheme="minorHAnsi" w:hAnsiTheme="minorHAnsi" w:cstheme="minorHAnsi"/>
                <w:bCs/>
                <w:sz w:val="22"/>
                <w:szCs w:val="22"/>
              </w:rPr>
              <w:t>Enjeux</w:t>
            </w:r>
          </w:p>
        </w:tc>
        <w:tc>
          <w:tcPr>
            <w:tcW w:w="3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vAlign w:val="center"/>
            <w:hideMark/>
          </w:tcPr>
          <w:p w14:paraId="237E69CC" w14:textId="77777777" w:rsidR="00DA3DF6" w:rsidRPr="00E01239" w:rsidRDefault="00DA3DF6" w:rsidP="00F43E8A">
            <w:pPr>
              <w:jc w:val="center"/>
              <w:rPr>
                <w:rFonts w:asciiTheme="minorHAnsi" w:hAnsiTheme="minorHAnsi" w:cstheme="minorHAnsi"/>
                <w:bCs/>
                <w:sz w:val="22"/>
                <w:szCs w:val="22"/>
              </w:rPr>
            </w:pPr>
            <w:r w:rsidRPr="00E01239">
              <w:rPr>
                <w:rFonts w:asciiTheme="minorHAnsi" w:hAnsiTheme="minorHAnsi" w:cstheme="minorHAnsi"/>
                <w:bCs/>
                <w:sz w:val="22"/>
                <w:szCs w:val="22"/>
              </w:rPr>
              <w:t>Description</w:t>
            </w:r>
          </w:p>
        </w:tc>
        <w:tc>
          <w:tcPr>
            <w:tcW w:w="68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vAlign w:val="center"/>
            <w:hideMark/>
          </w:tcPr>
          <w:p w14:paraId="43AD705B" w14:textId="77777777" w:rsidR="00DA3DF6" w:rsidRPr="00E01239" w:rsidRDefault="00DA3DF6" w:rsidP="00F43E8A">
            <w:pPr>
              <w:jc w:val="center"/>
              <w:rPr>
                <w:rFonts w:asciiTheme="minorHAnsi" w:hAnsiTheme="minorHAnsi" w:cstheme="minorHAnsi"/>
                <w:bCs/>
                <w:sz w:val="22"/>
                <w:szCs w:val="22"/>
              </w:rPr>
            </w:pPr>
            <w:r w:rsidRPr="00E01239">
              <w:rPr>
                <w:rFonts w:asciiTheme="minorHAnsi" w:hAnsiTheme="minorHAnsi" w:cstheme="minorHAnsi"/>
                <w:bCs/>
                <w:sz w:val="22"/>
                <w:szCs w:val="22"/>
              </w:rPr>
              <w:t>Niveau de sensibilité</w:t>
            </w:r>
          </w:p>
        </w:tc>
      </w:tr>
      <w:tr w:rsidR="00DA3DF6" w:rsidRPr="00E01239" w14:paraId="0A70BD74" w14:textId="77777777" w:rsidTr="00654F25">
        <w:trPr>
          <w:trHeight w:val="1133"/>
        </w:trPr>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1FC5D43B" w14:textId="77777777"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Disponibilité en eau </w:t>
            </w:r>
          </w:p>
        </w:tc>
        <w:tc>
          <w:tcPr>
            <w:tcW w:w="3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036BA04C" w14:textId="7C543C19" w:rsidR="00DA3DF6" w:rsidRPr="00E01239" w:rsidRDefault="00DA3DF6" w:rsidP="003B1F50">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Du fait de la variabilité interannuelle et intra annuelle des précipitations, les quantités d’eau disponibles dans les cours d’eau et les mares sont de plus en plus faibles, pour </w:t>
            </w:r>
            <w:r w:rsidR="003B1F50" w:rsidRPr="00E01239">
              <w:rPr>
                <w:rFonts w:asciiTheme="minorHAnsi" w:eastAsia="Calibri" w:hAnsiTheme="minorHAnsi" w:cstheme="minorHAnsi"/>
                <w:sz w:val="22"/>
                <w:szCs w:val="22"/>
              </w:rPr>
              <w:t xml:space="preserve">la consommation humaine et pour </w:t>
            </w:r>
            <w:r w:rsidRPr="00E01239">
              <w:rPr>
                <w:rFonts w:asciiTheme="minorHAnsi" w:eastAsia="Calibri" w:hAnsiTheme="minorHAnsi" w:cstheme="minorHAnsi"/>
                <w:sz w:val="22"/>
                <w:szCs w:val="22"/>
              </w:rPr>
              <w:t>le bétail. Cette situation entraine une plus grande compétition autour de la ressource et de fortes concentrations autour des points d’eau tels que les forages et les mares</w:t>
            </w:r>
          </w:p>
        </w:tc>
        <w:tc>
          <w:tcPr>
            <w:tcW w:w="68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52F13450" w14:textId="77777777" w:rsidR="00DA3DF6" w:rsidRPr="00E01239" w:rsidRDefault="00DA3DF6" w:rsidP="00F43E8A">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Forte</w:t>
            </w:r>
          </w:p>
        </w:tc>
      </w:tr>
      <w:tr w:rsidR="00DA3DF6" w:rsidRPr="00E01239" w14:paraId="5B4C70D5" w14:textId="77777777" w:rsidTr="00654F25">
        <w:trPr>
          <w:trHeight w:val="1684"/>
        </w:trPr>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2220BD32" w14:textId="77777777"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Eaux souterraines peu exploitée et parfois de mauvaise qualité</w:t>
            </w:r>
          </w:p>
        </w:tc>
        <w:tc>
          <w:tcPr>
            <w:tcW w:w="3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5D06E787" w14:textId="28CE4D14" w:rsidR="00DA3DF6" w:rsidRPr="00E01239" w:rsidRDefault="00DA3DF6" w:rsidP="003B1F50">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Les nombreux forages de la zone du projet participent pour beaucoup dans l’abreuvement du bétail, surtout dans la zone sylvopastorale, et parfois à l’arrosage de certaines exploitations agricoles. Toutefois, le nombre de ces points d’eau reste encore insuffisant, et de nombreuses </w:t>
            </w:r>
            <w:r w:rsidR="003B1F50" w:rsidRPr="00E01239">
              <w:rPr>
                <w:rFonts w:asciiTheme="minorHAnsi" w:eastAsia="Calibri" w:hAnsiTheme="minorHAnsi" w:cstheme="minorHAnsi"/>
                <w:sz w:val="22"/>
                <w:szCs w:val="22"/>
              </w:rPr>
              <w:t xml:space="preserve">zones </w:t>
            </w:r>
            <w:r w:rsidRPr="00E01239">
              <w:rPr>
                <w:rFonts w:asciiTheme="minorHAnsi" w:eastAsia="Calibri" w:hAnsiTheme="minorHAnsi" w:cstheme="minorHAnsi"/>
                <w:sz w:val="22"/>
                <w:szCs w:val="22"/>
              </w:rPr>
              <w:t xml:space="preserve">polarisant plusieurs campements de pasteurs et se trouvant sur les axes de transhumance, ne sont pas couvertes. Il s’y ajoute qu’à certains endroits, du fait des caractéristiques des nappes captées, la qualité de l’eau n’est pas des meilleures. Un grand nombre de forages de la partie occidentale du pays sont salés. Les points d’eaux non salés sont souvent pollués (puits) et près d’un tiers d’entre eux présentent des concentrations en fluor très élevées (jusqu’à 10mg par litre selon les résultats de caractérisation menées par la DGPRE et la SONES dans le cadre </w:t>
            </w:r>
            <w:r w:rsidR="003B1F50" w:rsidRPr="00E01239">
              <w:rPr>
                <w:rFonts w:asciiTheme="minorHAnsi" w:eastAsia="Calibri" w:hAnsiTheme="minorHAnsi" w:cstheme="minorHAnsi"/>
                <w:sz w:val="22"/>
                <w:szCs w:val="22"/>
              </w:rPr>
              <w:t>de l’Appui à l</w:t>
            </w:r>
            <w:r w:rsidRPr="00E01239">
              <w:rPr>
                <w:rFonts w:asciiTheme="minorHAnsi" w:eastAsia="Calibri" w:hAnsiTheme="minorHAnsi" w:cstheme="minorHAnsi"/>
                <w:sz w:val="22"/>
                <w:szCs w:val="22"/>
              </w:rPr>
              <w:t>’amélioration de la qualité de l’eau dans le bassin arachidier, 2016)</w:t>
            </w:r>
          </w:p>
        </w:tc>
        <w:tc>
          <w:tcPr>
            <w:tcW w:w="68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hideMark/>
          </w:tcPr>
          <w:p w14:paraId="6CED0101" w14:textId="77777777" w:rsidR="00DA3DF6" w:rsidRPr="00E01239" w:rsidRDefault="00DA3DF6" w:rsidP="00F43E8A">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Modéré</w:t>
            </w:r>
          </w:p>
        </w:tc>
      </w:tr>
      <w:tr w:rsidR="00DA3DF6" w:rsidRPr="00E01239" w14:paraId="4F950D08" w14:textId="77777777" w:rsidTr="00654F25">
        <w:trPr>
          <w:trHeight w:val="693"/>
        </w:trPr>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1E9183C2" w14:textId="77777777"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feux de brousse</w:t>
            </w:r>
          </w:p>
        </w:tc>
        <w:tc>
          <w:tcPr>
            <w:tcW w:w="3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4F785DED" w14:textId="0D6FB8A2" w:rsidR="00DA3DF6" w:rsidRPr="00E01239" w:rsidRDefault="00DA3DF6" w:rsidP="003B1F50">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 passage des feux dans les espaces agrosylvopastoraux entraîne d’importants dégâts au niveau des habitats de faune, des services écosystémiques et des ressources naturelles en général ; avec un </w:t>
            </w:r>
            <w:r w:rsidR="003B1F50" w:rsidRPr="00E01239">
              <w:rPr>
                <w:rFonts w:asciiTheme="minorHAnsi" w:eastAsia="Calibri" w:hAnsiTheme="minorHAnsi" w:cstheme="minorHAnsi"/>
                <w:sz w:val="22"/>
                <w:szCs w:val="22"/>
              </w:rPr>
              <w:t xml:space="preserve">accent </w:t>
            </w:r>
            <w:r w:rsidRPr="00E01239">
              <w:rPr>
                <w:rFonts w:asciiTheme="minorHAnsi" w:eastAsia="Calibri" w:hAnsiTheme="minorHAnsi" w:cstheme="minorHAnsi"/>
                <w:sz w:val="22"/>
                <w:szCs w:val="22"/>
              </w:rPr>
              <w:t>particulier sur la biomasse herbacée. La perte de biodiversité est perceptible par suite des feux récurrents, et ses conséquences affectent de plus en plus les populations et les systèmes agrosylvopastoraux. Chaque année, ce sont des milliers d’hectares qui sont emportés par le feu. Dans la zone d’intervention du projet, le Ferlo et l’Est du Bassin arachidier sont les zones les plus touchées par ce phénomène.</w:t>
            </w:r>
          </w:p>
        </w:tc>
        <w:tc>
          <w:tcPr>
            <w:tcW w:w="68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57B82CA1" w14:textId="77777777" w:rsidR="00DA3DF6" w:rsidRPr="00E01239" w:rsidRDefault="00DA3DF6" w:rsidP="00F43E8A">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Forte</w:t>
            </w:r>
          </w:p>
        </w:tc>
      </w:tr>
      <w:tr w:rsidR="00DA3DF6" w:rsidRPr="00E01239" w14:paraId="34EC1E15" w14:textId="77777777" w:rsidTr="00654F25">
        <w:trPr>
          <w:trHeight w:val="1123"/>
        </w:trPr>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2421BF01" w14:textId="77777777"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Dégradation du couvert végétal par coupe abusive</w:t>
            </w:r>
          </w:p>
        </w:tc>
        <w:tc>
          <w:tcPr>
            <w:tcW w:w="3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3DA94DB3" w14:textId="0CB57DB8" w:rsidR="00DA3DF6" w:rsidRPr="00E01239" w:rsidRDefault="003B1F50"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La faible disponibilité de biomasse est fortement liée à l’action anthropique consécutive notamment à des coupes abusives d’arbres pour le fourrage (la coupe, l’émondage, l’ébranchage, l’élagage) et accroit fortement la pression sur les ressources végétales. On assiste ainsi à la disparition progressive d’arbres protégés surtout dans les forêts classées et réserves, ce qui entraine une absence de régénération et une perte considérable de la biodiversité.</w:t>
            </w:r>
          </w:p>
        </w:tc>
        <w:tc>
          <w:tcPr>
            <w:tcW w:w="68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hideMark/>
          </w:tcPr>
          <w:p w14:paraId="231698AE" w14:textId="77777777" w:rsidR="00DA3DF6" w:rsidRPr="00E01239" w:rsidRDefault="00DA3DF6" w:rsidP="00F43E8A">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Modéré</w:t>
            </w:r>
          </w:p>
        </w:tc>
      </w:tr>
      <w:tr w:rsidR="00DA3DF6" w:rsidRPr="00E01239" w14:paraId="75DF7FBD" w14:textId="77777777" w:rsidTr="00654F25">
        <w:trPr>
          <w:trHeight w:val="661"/>
        </w:trPr>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14:paraId="614AE16C" w14:textId="77777777"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lastRenderedPageBreak/>
              <w:t xml:space="preserve">Dégradation des sols </w:t>
            </w:r>
          </w:p>
        </w:tc>
        <w:tc>
          <w:tcPr>
            <w:tcW w:w="3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14:paraId="10B6C541" w14:textId="77777777"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 processus de salinisation et d’acidification des terres surtout au niveau des vasières et de certains bas-fonds en Basse Casamance et en Moyenne Casamance constitue une menace pour l’expansion des zones de culture.</w:t>
            </w:r>
          </w:p>
          <w:p w14:paraId="4EB9F9FF" w14:textId="77777777"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Au niveau du bassin arachidier, les phénomènes de dégradation très avancée des sols ferrugineux tropicaux peu lessivés appelés « sols </w:t>
            </w:r>
            <w:proofErr w:type="spellStart"/>
            <w:r w:rsidRPr="00E01239">
              <w:rPr>
                <w:rFonts w:asciiTheme="minorHAnsi" w:eastAsia="Calibri" w:hAnsiTheme="minorHAnsi" w:cstheme="minorHAnsi"/>
                <w:sz w:val="22"/>
                <w:szCs w:val="22"/>
              </w:rPr>
              <w:t>dior</w:t>
            </w:r>
            <w:proofErr w:type="spellEnd"/>
            <w:r w:rsidRPr="00E01239">
              <w:rPr>
                <w:rFonts w:asciiTheme="minorHAnsi" w:eastAsia="Calibri" w:hAnsiTheme="minorHAnsi" w:cstheme="minorHAnsi"/>
                <w:sz w:val="22"/>
                <w:szCs w:val="22"/>
              </w:rPr>
              <w:t xml:space="preserve"> » situés dans la partie nord du bassin arachidier et la pauvreté des sols de plus en plus accentuée avec la</w:t>
            </w:r>
            <w:r w:rsidRPr="00E01239">
              <w:rPr>
                <w:rFonts w:asciiTheme="minorHAnsi" w:eastAsia="Calibri" w:hAnsiTheme="minorHAnsi" w:cstheme="minorHAnsi"/>
                <w:sz w:val="22"/>
                <w:szCs w:val="22"/>
              </w:rPr>
              <w:br/>
              <w:t>réduction du temps de jachère et l’insuffisance voire l’absence de la fertilisation des terres dans le bassin arachidier, constitue des contraintes pour le développement d’initiatives agricoles.</w:t>
            </w:r>
          </w:p>
        </w:tc>
        <w:tc>
          <w:tcPr>
            <w:tcW w:w="68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tcPr>
          <w:p w14:paraId="4FB88BFE" w14:textId="77777777" w:rsidR="00DA3DF6" w:rsidRPr="00E01239" w:rsidRDefault="00DA3DF6" w:rsidP="00F43E8A">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Forte</w:t>
            </w:r>
          </w:p>
        </w:tc>
      </w:tr>
      <w:tr w:rsidR="00DA3DF6" w:rsidRPr="00E01239" w14:paraId="7AE1DBCF" w14:textId="77777777" w:rsidTr="00654F25">
        <w:trPr>
          <w:trHeight w:val="661"/>
        </w:trPr>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1A346827" w14:textId="77777777"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Compétition foncière</w:t>
            </w:r>
          </w:p>
        </w:tc>
        <w:tc>
          <w:tcPr>
            <w:tcW w:w="3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678C689F" w14:textId="7457B56E" w:rsidR="00DA3DF6" w:rsidRPr="00E01239" w:rsidRDefault="00DA3DF6" w:rsidP="003B1F50">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L’absence d’une sécurisation foncière pour les activités agrosylvopastorales, </w:t>
            </w:r>
            <w:r w:rsidR="003B1F50" w:rsidRPr="00E01239">
              <w:rPr>
                <w:rFonts w:asciiTheme="minorHAnsi" w:eastAsia="Calibri" w:hAnsiTheme="minorHAnsi" w:cstheme="minorHAnsi"/>
                <w:sz w:val="22"/>
                <w:szCs w:val="22"/>
              </w:rPr>
              <w:t xml:space="preserve">et en conséquence </w:t>
            </w:r>
            <w:r w:rsidRPr="00E01239">
              <w:rPr>
                <w:rFonts w:asciiTheme="minorHAnsi" w:eastAsia="Calibri" w:hAnsiTheme="minorHAnsi" w:cstheme="minorHAnsi"/>
                <w:sz w:val="22"/>
                <w:szCs w:val="22"/>
              </w:rPr>
              <w:t xml:space="preserve">d’une gestion foncière basée sur les usages contribue à fragiliser l’initiative économique rurale. Ceci d’autant plus que la gestion du patrimoine foncier national à travers la loi sur le domaine </w:t>
            </w:r>
            <w:r w:rsidR="008D3E9C">
              <w:rPr>
                <w:rFonts w:asciiTheme="minorHAnsi" w:eastAsia="Calibri" w:hAnsiTheme="minorHAnsi" w:cstheme="minorHAnsi"/>
                <w:sz w:val="22"/>
                <w:szCs w:val="22"/>
              </w:rPr>
              <w:t>n</w:t>
            </w:r>
            <w:r w:rsidRPr="00E01239">
              <w:rPr>
                <w:rFonts w:asciiTheme="minorHAnsi" w:eastAsia="Calibri" w:hAnsiTheme="minorHAnsi" w:cstheme="minorHAnsi"/>
                <w:sz w:val="22"/>
                <w:szCs w:val="22"/>
              </w:rPr>
              <w:t xml:space="preserve">ational </w:t>
            </w:r>
            <w:r w:rsidR="003B1F50" w:rsidRPr="00E01239">
              <w:rPr>
                <w:rFonts w:asciiTheme="minorHAnsi" w:eastAsia="Calibri" w:hAnsiTheme="minorHAnsi" w:cstheme="minorHAnsi"/>
                <w:sz w:val="22"/>
                <w:szCs w:val="22"/>
              </w:rPr>
              <w:t>ne prend en compte</w:t>
            </w:r>
            <w:r w:rsidRPr="00E01239">
              <w:rPr>
                <w:rFonts w:asciiTheme="minorHAnsi" w:eastAsia="Calibri" w:hAnsiTheme="minorHAnsi" w:cstheme="minorHAnsi"/>
                <w:sz w:val="22"/>
                <w:szCs w:val="22"/>
              </w:rPr>
              <w:t xml:space="preserve"> les zones urbaines, les zones classées, les zones de terroir et les zones pionnières qui, aujourd’hui sont reversées dans les zones de terroir. Il est donc de plus en plus nécessaire de mettre en application une actualisation des POAS dans les zones du projet.</w:t>
            </w:r>
            <w:r w:rsidR="003B1F50" w:rsidRPr="00E01239">
              <w:rPr>
                <w:rFonts w:asciiTheme="minorHAnsi" w:eastAsia="Calibri" w:hAnsiTheme="minorHAnsi" w:cstheme="minorHAnsi"/>
                <w:sz w:val="22"/>
                <w:szCs w:val="22"/>
              </w:rPr>
              <w:t xml:space="preserve"> En outre, l</w:t>
            </w:r>
            <w:r w:rsidRPr="00E01239">
              <w:rPr>
                <w:rFonts w:asciiTheme="minorHAnsi" w:eastAsia="Calibri" w:hAnsiTheme="minorHAnsi" w:cstheme="minorHAnsi"/>
                <w:sz w:val="22"/>
                <w:szCs w:val="22"/>
              </w:rPr>
              <w:t>'insécurité et la situation de crise qu’a connue la Casamance sont à l’origine d’une forte sensibilité sur l’occupation des terres et ont induit des conflits sociaux liés au foncier</w:t>
            </w:r>
          </w:p>
        </w:tc>
        <w:tc>
          <w:tcPr>
            <w:tcW w:w="68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10968E68" w14:textId="77777777" w:rsidR="00DA3DF6" w:rsidRPr="00E01239" w:rsidRDefault="00DA3DF6" w:rsidP="00F43E8A">
            <w:pPr>
              <w:jc w:val="center"/>
              <w:rPr>
                <w:rFonts w:asciiTheme="minorHAnsi" w:eastAsia="Calibri" w:hAnsiTheme="minorHAnsi" w:cstheme="minorHAnsi"/>
                <w:color w:val="FF0000"/>
                <w:sz w:val="22"/>
                <w:szCs w:val="22"/>
              </w:rPr>
            </w:pPr>
            <w:r w:rsidRPr="00E01239">
              <w:rPr>
                <w:rFonts w:asciiTheme="minorHAnsi" w:eastAsia="Calibri" w:hAnsiTheme="minorHAnsi" w:cstheme="minorHAnsi"/>
                <w:sz w:val="22"/>
                <w:szCs w:val="22"/>
              </w:rPr>
              <w:t>Forte</w:t>
            </w:r>
          </w:p>
        </w:tc>
      </w:tr>
      <w:tr w:rsidR="00DA3DF6" w:rsidRPr="00E01239" w14:paraId="5BE86E9B" w14:textId="77777777" w:rsidTr="00654F25">
        <w:trPr>
          <w:trHeight w:val="834"/>
        </w:trPr>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45BA7E99" w14:textId="19A58CE7"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Exploitation et Abus Sexuel</w:t>
            </w:r>
            <w:r w:rsidR="00A444C3" w:rsidRPr="00E01239">
              <w:rPr>
                <w:rFonts w:asciiTheme="minorHAnsi" w:eastAsia="Calibri" w:hAnsiTheme="minorHAnsi" w:cstheme="minorHAnsi"/>
                <w:sz w:val="22"/>
                <w:szCs w:val="22"/>
              </w:rPr>
              <w:t>s</w:t>
            </w:r>
            <w:r w:rsidRPr="00E01239">
              <w:rPr>
                <w:rFonts w:asciiTheme="minorHAnsi" w:eastAsia="Calibri" w:hAnsiTheme="minorHAnsi" w:cstheme="minorHAnsi"/>
                <w:sz w:val="22"/>
                <w:szCs w:val="22"/>
              </w:rPr>
              <w:t xml:space="preserve"> (EAS), et Harcèlement Sexuel (HS)</w:t>
            </w:r>
          </w:p>
        </w:tc>
        <w:tc>
          <w:tcPr>
            <w:tcW w:w="33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1E978ABA" w14:textId="61A9830C" w:rsidR="00DA3DF6" w:rsidRPr="00E01239" w:rsidRDefault="00DA3DF6" w:rsidP="00F43E8A">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Les travaux et les influx de travailleurs présentent un risque substantiel </w:t>
            </w:r>
            <w:r w:rsidR="002E57E5">
              <w:rPr>
                <w:rFonts w:asciiTheme="minorHAnsi" w:eastAsia="Calibri" w:hAnsiTheme="minorHAnsi" w:cstheme="minorHAnsi"/>
                <w:sz w:val="22"/>
                <w:szCs w:val="22"/>
              </w:rPr>
              <w:t>d’</w:t>
            </w:r>
            <w:r w:rsidRPr="00E01239">
              <w:rPr>
                <w:rFonts w:asciiTheme="minorHAnsi" w:eastAsia="Calibri" w:hAnsiTheme="minorHAnsi" w:cstheme="minorHAnsi"/>
                <w:sz w:val="22"/>
                <w:szCs w:val="22"/>
              </w:rPr>
              <w:t>Abus Sexuel (EAS), et Harcèlement Sexuel (HS). Les rassemblements autour des marchés et des centres économiques peuvent également constituer des risques EAS/HS notamment du fait des risques d’exclusion des groupes vulnérables telles que les femmes et filles. En outre, la mise en œuvre du projet risque d’induire des blocages et des récriminations des hommes envers les femmes bénéficiaires des investissements et ainsi induire des risques EAS/HS. La mise en œuvre du projet devrait s’accompagner d’une sensibilisation des hommes sur l’intégration des groupes vulnérables dans le processus de développement agricole et pastoral.</w:t>
            </w:r>
          </w:p>
        </w:tc>
        <w:tc>
          <w:tcPr>
            <w:tcW w:w="68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36B1BE90" w14:textId="77777777" w:rsidR="00DA3DF6" w:rsidRPr="00E01239" w:rsidRDefault="00DA3DF6" w:rsidP="00F43E8A">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Forte</w:t>
            </w:r>
          </w:p>
        </w:tc>
      </w:tr>
    </w:tbl>
    <w:p w14:paraId="7EE81768"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 xml:space="preserve">RISQUES ENVIRONNEMENTAUX ET SOCIAUX POTENTIELS </w:t>
      </w:r>
    </w:p>
    <w:p w14:paraId="28D6EE96" w14:textId="77777777" w:rsidR="00DA3DF6" w:rsidRPr="00E01239" w:rsidRDefault="00DA3DF6" w:rsidP="00DA3DF6">
      <w:pPr>
        <w:jc w:val="both"/>
        <w:rPr>
          <w:rFonts w:asciiTheme="minorHAnsi" w:eastAsia="Calibri" w:hAnsiTheme="minorHAnsi" w:cstheme="minorHAnsi"/>
          <w:sz w:val="22"/>
          <w:szCs w:val="22"/>
        </w:rPr>
      </w:pPr>
    </w:p>
    <w:p w14:paraId="588BC96E" w14:textId="78DD6F84" w:rsidR="00DA3DF6" w:rsidRPr="00E01239" w:rsidRDefault="00DA3DF6" w:rsidP="00DA3DF6">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La mise en œuvre des différentes composantes du FSRP-SN aur</w:t>
      </w:r>
      <w:r w:rsidR="00986425">
        <w:rPr>
          <w:rFonts w:asciiTheme="minorHAnsi" w:eastAsia="Calibri" w:hAnsiTheme="minorHAnsi" w:cstheme="minorHAnsi"/>
          <w:sz w:val="22"/>
          <w:szCs w:val="22"/>
        </w:rPr>
        <w:t>a</w:t>
      </w:r>
      <w:r w:rsidRPr="00E01239">
        <w:rPr>
          <w:rFonts w:asciiTheme="minorHAnsi" w:eastAsia="Calibri" w:hAnsiTheme="minorHAnsi" w:cstheme="minorHAnsi"/>
          <w:sz w:val="22"/>
          <w:szCs w:val="22"/>
        </w:rPr>
        <w:t xml:space="preserve"> un ensemble de retombées positives mais également d</w:t>
      </w:r>
      <w:r w:rsidR="006752B3">
        <w:rPr>
          <w:rFonts w:asciiTheme="minorHAnsi" w:eastAsia="Calibri" w:hAnsiTheme="minorHAnsi" w:cstheme="minorHAnsi"/>
          <w:sz w:val="22"/>
          <w:szCs w:val="22"/>
        </w:rPr>
        <w:t xml:space="preserve">es </w:t>
      </w:r>
      <w:r w:rsidRPr="00E01239">
        <w:rPr>
          <w:rFonts w:asciiTheme="minorHAnsi" w:eastAsia="Calibri" w:hAnsiTheme="minorHAnsi" w:cstheme="minorHAnsi"/>
          <w:sz w:val="22"/>
          <w:szCs w:val="22"/>
        </w:rPr>
        <w:t>effets négatifs sur le plan environnemental et social.</w:t>
      </w:r>
    </w:p>
    <w:p w14:paraId="05BB721B" w14:textId="77777777" w:rsidR="00DA3DF6" w:rsidRPr="00E01239" w:rsidRDefault="00DA3DF6" w:rsidP="00DA3DF6">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impacts positifs majeurs induits par les activités du FSRP-SN sont :</w:t>
      </w:r>
    </w:p>
    <w:p w14:paraId="031533EE" w14:textId="77777777" w:rsidR="00DA3DF6" w:rsidRPr="00E01239" w:rsidRDefault="00DA3DF6" w:rsidP="00027669">
      <w:pPr>
        <w:pStyle w:val="Paragraphedeliste"/>
        <w:numPr>
          <w:ilvl w:val="0"/>
          <w:numId w:val="187"/>
        </w:num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Renforcement de la résilience des systèmes productifs face aux aléas climatiques </w:t>
      </w:r>
    </w:p>
    <w:p w14:paraId="5F75D4D3" w14:textId="77777777" w:rsidR="00DA3DF6" w:rsidRPr="00E01239" w:rsidRDefault="00DA3DF6" w:rsidP="00027669">
      <w:pPr>
        <w:pStyle w:val="Paragraphedeliste"/>
        <w:numPr>
          <w:ilvl w:val="0"/>
          <w:numId w:val="187"/>
        </w:num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Amélioration de la gouvernance des dispositifs relatifs au suivi de la sécurité alimentaire</w:t>
      </w:r>
    </w:p>
    <w:p w14:paraId="467298AB" w14:textId="77777777" w:rsidR="00DA3DF6" w:rsidRPr="00E01239" w:rsidRDefault="00DA3DF6" w:rsidP="00027669">
      <w:pPr>
        <w:pStyle w:val="Paragraphedeliste"/>
        <w:numPr>
          <w:ilvl w:val="0"/>
          <w:numId w:val="187"/>
        </w:num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Renforcement du système de surveillance et d'alerte précoce des nuisibles des cultures</w:t>
      </w:r>
    </w:p>
    <w:p w14:paraId="3557A5D3" w14:textId="77777777" w:rsidR="00DA3DF6" w:rsidRPr="00E01239" w:rsidRDefault="00DA3DF6" w:rsidP="00027669">
      <w:pPr>
        <w:pStyle w:val="Paragraphedeliste"/>
        <w:numPr>
          <w:ilvl w:val="0"/>
          <w:numId w:val="187"/>
        </w:num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Amélioration génétique du cheptel</w:t>
      </w:r>
    </w:p>
    <w:p w14:paraId="7E8150FC" w14:textId="77777777" w:rsidR="00DA3DF6" w:rsidRPr="00E01239" w:rsidRDefault="00DA3DF6" w:rsidP="00027669">
      <w:pPr>
        <w:pStyle w:val="Paragraphedeliste"/>
        <w:numPr>
          <w:ilvl w:val="0"/>
          <w:numId w:val="187"/>
        </w:num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Modernisation des services nationaux de conseil et de vulgarisation agricole</w:t>
      </w:r>
    </w:p>
    <w:p w14:paraId="420CE2BC" w14:textId="77777777" w:rsidR="00DA3DF6" w:rsidRPr="00E01239" w:rsidRDefault="00DA3DF6" w:rsidP="00027669">
      <w:pPr>
        <w:pStyle w:val="Paragraphedeliste"/>
        <w:numPr>
          <w:ilvl w:val="0"/>
          <w:numId w:val="187"/>
        </w:num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Renforcement des outils de planification locale avec la détermination des zones de vocation</w:t>
      </w:r>
    </w:p>
    <w:p w14:paraId="036324A3" w14:textId="671BD3D5" w:rsidR="00DA3DF6" w:rsidRPr="00E01239" w:rsidRDefault="00DA3DF6" w:rsidP="00027669">
      <w:pPr>
        <w:pStyle w:val="Paragraphedeliste"/>
        <w:numPr>
          <w:ilvl w:val="0"/>
          <w:numId w:val="187"/>
        </w:num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lastRenderedPageBreak/>
        <w:t xml:space="preserve">Développement d’outils de quantification des émissions </w:t>
      </w:r>
      <w:r w:rsidR="0071614B">
        <w:rPr>
          <w:rFonts w:asciiTheme="minorHAnsi" w:eastAsia="Calibri" w:hAnsiTheme="minorHAnsi" w:cstheme="minorHAnsi"/>
          <w:sz w:val="22"/>
          <w:szCs w:val="22"/>
        </w:rPr>
        <w:t xml:space="preserve">de </w:t>
      </w:r>
      <w:r w:rsidRPr="00E01239">
        <w:rPr>
          <w:rFonts w:asciiTheme="minorHAnsi" w:eastAsia="Calibri" w:hAnsiTheme="minorHAnsi" w:cstheme="minorHAnsi"/>
          <w:sz w:val="22"/>
          <w:szCs w:val="22"/>
        </w:rPr>
        <w:t xml:space="preserve">GES </w:t>
      </w:r>
      <w:r w:rsidR="00AC178B" w:rsidRPr="00E01239">
        <w:rPr>
          <w:rFonts w:asciiTheme="minorHAnsi" w:eastAsia="Calibri" w:hAnsiTheme="minorHAnsi" w:cstheme="minorHAnsi"/>
          <w:sz w:val="22"/>
          <w:szCs w:val="22"/>
        </w:rPr>
        <w:t>des systèmes alimentaires</w:t>
      </w:r>
      <w:r w:rsidRPr="00E01239">
        <w:rPr>
          <w:rFonts w:asciiTheme="minorHAnsi" w:eastAsia="Calibri" w:hAnsiTheme="minorHAnsi" w:cstheme="minorHAnsi"/>
          <w:sz w:val="22"/>
          <w:szCs w:val="22"/>
        </w:rPr>
        <w:t xml:space="preserve"> dans le but d’évaluer la contribution du secteur de l’agriculture et de l’élevage dans le cadre de la CDN</w:t>
      </w:r>
    </w:p>
    <w:p w14:paraId="0D8128A1" w14:textId="77777777" w:rsidR="00DA3DF6" w:rsidRPr="00E01239" w:rsidRDefault="00DA3DF6" w:rsidP="00027669">
      <w:pPr>
        <w:pStyle w:val="Paragraphedeliste"/>
        <w:numPr>
          <w:ilvl w:val="0"/>
          <w:numId w:val="187"/>
        </w:num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Inclusion sociale et renforcement de l’employabilité des jeunes et des femmes dans le cadre de financement de sous-projets économiques dans les différents maillons des chaines de valeur animales</w:t>
      </w:r>
    </w:p>
    <w:p w14:paraId="2F0070CC" w14:textId="77777777" w:rsidR="00DA3DF6" w:rsidRPr="00E01239" w:rsidRDefault="00DA3DF6" w:rsidP="00027669">
      <w:pPr>
        <w:pStyle w:val="Paragraphedeliste"/>
        <w:numPr>
          <w:ilvl w:val="0"/>
          <w:numId w:val="187"/>
        </w:num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Renforcement de la fourniture de services de vaccination (MEPA)</w:t>
      </w:r>
    </w:p>
    <w:p w14:paraId="3EF40073" w14:textId="77777777" w:rsidR="00DA3DF6" w:rsidRPr="00E01239" w:rsidRDefault="00DA3DF6" w:rsidP="00DA3DF6">
      <w:pPr>
        <w:jc w:val="both"/>
        <w:rPr>
          <w:rFonts w:asciiTheme="minorHAnsi" w:eastAsia="Calibri" w:hAnsiTheme="minorHAnsi" w:cstheme="minorHAnsi"/>
          <w:sz w:val="22"/>
          <w:szCs w:val="22"/>
        </w:rPr>
      </w:pPr>
    </w:p>
    <w:p w14:paraId="31C21A6A" w14:textId="77777777" w:rsidR="00DA3DF6" w:rsidRPr="00E01239" w:rsidRDefault="00DA3DF6" w:rsidP="00DA3DF6">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A contrario, plusieurs effets négatifs sont entrevus dans les phases de mise en œuvre et d’exploitation des investissements prévus dans les différentes composantes du FSRP-SN.</w:t>
      </w:r>
    </w:p>
    <w:p w14:paraId="7E7C17CA" w14:textId="77777777" w:rsidR="00DA3DF6" w:rsidRPr="00E01239" w:rsidRDefault="00DA3DF6" w:rsidP="00DA3DF6">
      <w:pPr>
        <w:jc w:val="both"/>
        <w:rPr>
          <w:rFonts w:asciiTheme="minorHAnsi" w:eastAsia="Calibri" w:hAnsiTheme="minorHAnsi" w:cstheme="minorHAnsi"/>
          <w:sz w:val="22"/>
          <w:szCs w:val="22"/>
        </w:rPr>
      </w:pPr>
    </w:p>
    <w:p w14:paraId="79A9A4EE" w14:textId="77777777" w:rsidR="00DA3DF6" w:rsidRPr="00E01239" w:rsidRDefault="00DA3DF6" w:rsidP="00027669">
      <w:pPr>
        <w:pStyle w:val="Paragraphedeliste"/>
        <w:numPr>
          <w:ilvl w:val="0"/>
          <w:numId w:val="182"/>
        </w:numPr>
        <w:spacing w:line="360" w:lineRule="exact"/>
        <w:ind w:left="426"/>
        <w:jc w:val="both"/>
        <w:rPr>
          <w:rFonts w:asciiTheme="minorHAnsi" w:hAnsiTheme="minorHAnsi" w:cstheme="minorHAnsi"/>
          <w:sz w:val="22"/>
          <w:szCs w:val="22"/>
          <w:u w:val="single"/>
        </w:rPr>
      </w:pPr>
      <w:r w:rsidRPr="00E01239">
        <w:rPr>
          <w:rFonts w:asciiTheme="minorHAnsi" w:hAnsiTheme="minorHAnsi" w:cstheme="minorHAnsi"/>
          <w:sz w:val="22"/>
          <w:szCs w:val="22"/>
          <w:u w:val="single"/>
        </w:rPr>
        <w:t>En phase de réalisation des travaux, les impacts majeurs potentiels sont :</w:t>
      </w:r>
    </w:p>
    <w:p w14:paraId="7C2924BC" w14:textId="1AA8DB3D"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 xml:space="preserve">Les </w:t>
      </w:r>
      <w:r w:rsidR="00DE2549">
        <w:rPr>
          <w:rFonts w:asciiTheme="minorHAnsi" w:hAnsiTheme="minorHAnsi" w:cstheme="minorHAnsi"/>
          <w:sz w:val="22"/>
          <w:szCs w:val="22"/>
        </w:rPr>
        <w:t>pertes de terres pour l’installation des aires de chantiers et l’aménagement des voies d’accès</w:t>
      </w:r>
    </w:p>
    <w:p w14:paraId="51733E40" w14:textId="5AEF7C5D"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 xml:space="preserve">L’altération </w:t>
      </w:r>
      <w:r w:rsidR="00A277ED">
        <w:rPr>
          <w:rFonts w:asciiTheme="minorHAnsi" w:hAnsiTheme="minorHAnsi" w:cstheme="minorHAnsi"/>
          <w:sz w:val="22"/>
          <w:szCs w:val="22"/>
        </w:rPr>
        <w:t xml:space="preserve">possible </w:t>
      </w:r>
      <w:r w:rsidRPr="00E01239">
        <w:rPr>
          <w:rFonts w:asciiTheme="minorHAnsi" w:hAnsiTheme="minorHAnsi" w:cstheme="minorHAnsi"/>
          <w:sz w:val="22"/>
          <w:szCs w:val="22"/>
        </w:rPr>
        <w:t>de la qualité des plans d’eau par les déversements accidentels d’hydrocarbures, la remise en suspension de particules fines, l’utilisation des matériaux issus des carrières, les ruissellements d’eau en contact avec des sols contaminés, etc.</w:t>
      </w:r>
    </w:p>
    <w:p w14:paraId="4D280420" w14:textId="77777777"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La modification des aires de transhumance naturelles du bétail avec comme conséquences des accidents liés à la cohabitation avec les engins de chantier, l’exposition du bétail à certaines formes de pollution sur les points d’abreuvement et des conflits localisés avec les éleveurs sur les droits de passage</w:t>
      </w:r>
    </w:p>
    <w:p w14:paraId="13332887" w14:textId="77777777"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L’accroissement des risques d'exploitation et d'atteintes sexuels / de harcèlement sexuel (EAS/HS) en raison principalement de l’afflux des travailleurs étrangers, l’utilisation de la main-d'œuvre locale, l’augmentation du revenu disponible des travailleurs qui peut accroître l'incidence de la prostitution, etc.</w:t>
      </w:r>
    </w:p>
    <w:p w14:paraId="2CA681E9" w14:textId="77777777" w:rsidR="00DA3DF6" w:rsidRPr="00E01239" w:rsidRDefault="00DA3DF6" w:rsidP="00DA3DF6">
      <w:pPr>
        <w:spacing w:line="360" w:lineRule="exact"/>
        <w:jc w:val="both"/>
        <w:rPr>
          <w:rFonts w:asciiTheme="minorHAnsi" w:hAnsiTheme="minorHAnsi" w:cstheme="minorHAnsi"/>
          <w:sz w:val="22"/>
          <w:szCs w:val="22"/>
        </w:rPr>
      </w:pPr>
    </w:p>
    <w:p w14:paraId="0AD28A56" w14:textId="77777777" w:rsidR="00DA3DF6" w:rsidRPr="00E01239" w:rsidRDefault="00DA3DF6" w:rsidP="00027669">
      <w:pPr>
        <w:pStyle w:val="Paragraphedeliste"/>
        <w:numPr>
          <w:ilvl w:val="0"/>
          <w:numId w:val="182"/>
        </w:numPr>
        <w:spacing w:line="360" w:lineRule="exact"/>
        <w:ind w:left="426"/>
        <w:jc w:val="both"/>
        <w:rPr>
          <w:rFonts w:asciiTheme="minorHAnsi" w:hAnsiTheme="minorHAnsi" w:cstheme="minorHAnsi"/>
          <w:sz w:val="22"/>
          <w:szCs w:val="22"/>
          <w:u w:val="single"/>
        </w:rPr>
      </w:pPr>
      <w:r w:rsidRPr="00E01239">
        <w:rPr>
          <w:rFonts w:asciiTheme="minorHAnsi" w:hAnsiTheme="minorHAnsi" w:cstheme="minorHAnsi"/>
          <w:sz w:val="22"/>
          <w:szCs w:val="22"/>
          <w:u w:val="single"/>
        </w:rPr>
        <w:t>En phase d’exploitation des investissements du FSRP-SN, les impacts majeurs potentiels sont :</w:t>
      </w:r>
    </w:p>
    <w:p w14:paraId="4A11ABAE" w14:textId="77777777"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La modification des aires de vocation des terres</w:t>
      </w:r>
    </w:p>
    <w:p w14:paraId="22F41305" w14:textId="77777777"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L’augmentation de l’empreinte carbone des secteurs de l’agriculture et de l’élevage</w:t>
      </w:r>
    </w:p>
    <w:p w14:paraId="088A745F" w14:textId="77777777"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La destruction des écosystèmes naturels par l’utilisation des pesticides</w:t>
      </w:r>
    </w:p>
    <w:p w14:paraId="429F13EA" w14:textId="0AEC485F"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La pollution des eaux de surface par le drainage des parcelles agricoles et la perte d’aires naturelles servant aux ressources aviaires</w:t>
      </w:r>
    </w:p>
    <w:p w14:paraId="6BCBC2B5" w14:textId="05FF78C7" w:rsidR="00DA3DF6" w:rsidRPr="00E01239" w:rsidRDefault="00DE2549" w:rsidP="00027669">
      <w:pPr>
        <w:pStyle w:val="Paragraphedeliste"/>
        <w:numPr>
          <w:ilvl w:val="0"/>
          <w:numId w:val="181"/>
        </w:numPr>
        <w:spacing w:line="360" w:lineRule="exact"/>
        <w:ind w:hanging="294"/>
        <w:jc w:val="both"/>
        <w:rPr>
          <w:rFonts w:asciiTheme="minorHAnsi" w:hAnsiTheme="minorHAnsi" w:cstheme="minorHAnsi"/>
          <w:sz w:val="22"/>
          <w:szCs w:val="22"/>
        </w:rPr>
      </w:pPr>
      <w:r>
        <w:rPr>
          <w:rFonts w:asciiTheme="minorHAnsi" w:hAnsiTheme="minorHAnsi" w:cstheme="minorHAnsi"/>
          <w:sz w:val="22"/>
          <w:szCs w:val="22"/>
        </w:rPr>
        <w:t>La réduction de l’hydraulicité</w:t>
      </w:r>
      <w:r w:rsidR="00DF7E41">
        <w:rPr>
          <w:rFonts w:asciiTheme="minorHAnsi" w:hAnsiTheme="minorHAnsi" w:cstheme="minorHAnsi"/>
          <w:sz w:val="22"/>
          <w:szCs w:val="22"/>
        </w:rPr>
        <w:t xml:space="preserve"> et </w:t>
      </w:r>
      <w:proofErr w:type="gramStart"/>
      <w:r w:rsidR="00DF7E41">
        <w:rPr>
          <w:rFonts w:asciiTheme="minorHAnsi" w:hAnsiTheme="minorHAnsi" w:cstheme="minorHAnsi"/>
          <w:sz w:val="22"/>
          <w:szCs w:val="22"/>
        </w:rPr>
        <w:t xml:space="preserve">l’eutrophisation </w:t>
      </w:r>
      <w:r>
        <w:rPr>
          <w:rFonts w:asciiTheme="minorHAnsi" w:hAnsiTheme="minorHAnsi" w:cstheme="minorHAnsi"/>
          <w:sz w:val="22"/>
          <w:szCs w:val="22"/>
        </w:rPr>
        <w:t xml:space="preserve"> des</w:t>
      </w:r>
      <w:proofErr w:type="gramEnd"/>
      <w:r>
        <w:rPr>
          <w:rFonts w:asciiTheme="minorHAnsi" w:hAnsiTheme="minorHAnsi" w:cstheme="minorHAnsi"/>
          <w:sz w:val="22"/>
          <w:szCs w:val="22"/>
        </w:rPr>
        <w:t xml:space="preserve"> plans d’eau in</w:t>
      </w:r>
      <w:r w:rsidR="00DF7E41">
        <w:rPr>
          <w:rFonts w:asciiTheme="minorHAnsi" w:hAnsiTheme="minorHAnsi" w:cstheme="minorHAnsi"/>
          <w:sz w:val="22"/>
          <w:szCs w:val="22"/>
        </w:rPr>
        <w:t xml:space="preserve">duites par la </w:t>
      </w:r>
      <w:r w:rsidR="00DA3DF6" w:rsidRPr="00E01239">
        <w:rPr>
          <w:rFonts w:asciiTheme="minorHAnsi" w:hAnsiTheme="minorHAnsi" w:cstheme="minorHAnsi"/>
          <w:sz w:val="22"/>
          <w:szCs w:val="22"/>
        </w:rPr>
        <w:t xml:space="preserve"> prolifération des plantes envahissantes</w:t>
      </w:r>
    </w:p>
    <w:p w14:paraId="02F99DA2" w14:textId="77777777"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L’augmentation des prélèvements sur les ressources en eau de surface</w:t>
      </w:r>
    </w:p>
    <w:p w14:paraId="3D20F757" w14:textId="77777777" w:rsidR="00DA3DF6" w:rsidRPr="00E01239" w:rsidRDefault="00DA3DF6"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L’exposition des acteurs pastoraux aux risques chimiques et infectieux induits par les déchets biomédicaux</w:t>
      </w:r>
    </w:p>
    <w:p w14:paraId="34BD93E2"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PROCEDURES DE GESTION DES QUESTIONS ENVIRONNEMENTALES ET SOCIALES</w:t>
      </w:r>
    </w:p>
    <w:p w14:paraId="67DF1652" w14:textId="34C92AF5" w:rsidR="00DA3DF6" w:rsidRPr="00E01239" w:rsidRDefault="00DA3DF6" w:rsidP="00DA3DF6">
      <w:pPr>
        <w:suppressAutoHyphens/>
        <w:autoSpaceDN w:val="0"/>
        <w:spacing w:before="120" w:line="360" w:lineRule="exact"/>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lastRenderedPageBreak/>
        <w:t xml:space="preserve">Il faut souligner que le FSRP-SN est classé à </w:t>
      </w:r>
      <w:r w:rsidRPr="00E01239">
        <w:rPr>
          <w:rFonts w:asciiTheme="minorHAnsi" w:hAnsiTheme="minorHAnsi" w:cstheme="minorHAnsi"/>
          <w:b/>
          <w:sz w:val="22"/>
          <w:szCs w:val="22"/>
        </w:rPr>
        <w:t>risque environnemental et social substantiel</w:t>
      </w:r>
      <w:r w:rsidRPr="00E01239">
        <w:rPr>
          <w:rFonts w:asciiTheme="minorHAnsi" w:hAnsiTheme="minorHAnsi" w:cstheme="minorHAnsi"/>
          <w:bCs/>
          <w:sz w:val="22"/>
          <w:szCs w:val="22"/>
        </w:rPr>
        <w:t xml:space="preserve"> par la Banque mondiale vu la nature des activités qu’il peut requérir et leur sensibilité, ce qui correspond à la catégorie 1 selon la législation nationale.</w:t>
      </w:r>
    </w:p>
    <w:p w14:paraId="74684418" w14:textId="4533F079" w:rsidR="00DA3DF6" w:rsidRPr="00E01239" w:rsidRDefault="00DA3DF6" w:rsidP="00DA3DF6">
      <w:pPr>
        <w:suppressAutoHyphens/>
        <w:autoSpaceDN w:val="0"/>
        <w:spacing w:before="120" w:line="360" w:lineRule="exact"/>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Le processus </w:t>
      </w:r>
      <w:r w:rsidR="006010FA">
        <w:rPr>
          <w:rFonts w:asciiTheme="minorHAnsi" w:hAnsiTheme="minorHAnsi" w:cstheme="minorHAnsi"/>
          <w:bCs/>
          <w:sz w:val="22"/>
          <w:szCs w:val="22"/>
        </w:rPr>
        <w:t>de</w:t>
      </w:r>
      <w:r w:rsidR="006010FA" w:rsidRPr="00E01239">
        <w:rPr>
          <w:rFonts w:asciiTheme="minorHAnsi" w:hAnsiTheme="minorHAnsi" w:cstheme="minorHAnsi"/>
          <w:bCs/>
          <w:sz w:val="22"/>
          <w:szCs w:val="22"/>
        </w:rPr>
        <w:t xml:space="preserve"> </w:t>
      </w:r>
      <w:r w:rsidRPr="00E01239">
        <w:rPr>
          <w:rFonts w:asciiTheme="minorHAnsi" w:hAnsiTheme="minorHAnsi" w:cstheme="minorHAnsi"/>
          <w:bCs/>
          <w:sz w:val="22"/>
          <w:szCs w:val="22"/>
        </w:rPr>
        <w:t xml:space="preserve">« </w:t>
      </w:r>
      <w:r w:rsidRPr="00E01239">
        <w:rPr>
          <w:rFonts w:asciiTheme="minorHAnsi" w:hAnsiTheme="minorHAnsi" w:cstheme="minorHAnsi"/>
          <w:b/>
          <w:sz w:val="22"/>
          <w:szCs w:val="22"/>
        </w:rPr>
        <w:t>screening</w:t>
      </w:r>
      <w:r w:rsidRPr="00E01239">
        <w:rPr>
          <w:rFonts w:asciiTheme="minorHAnsi" w:hAnsiTheme="minorHAnsi" w:cstheme="minorHAnsi"/>
          <w:bCs/>
          <w:sz w:val="22"/>
          <w:szCs w:val="22"/>
        </w:rPr>
        <w:t xml:space="preserve"> » proposé dans le présent CGES reste applicable à tous les projets financés par la Banque mondiale et complète la procédure nationale en matière d’évaluation environnementale</w:t>
      </w:r>
      <w:r w:rsidR="006010FA">
        <w:rPr>
          <w:rFonts w:asciiTheme="minorHAnsi" w:hAnsiTheme="minorHAnsi" w:cstheme="minorHAnsi"/>
          <w:bCs/>
          <w:sz w:val="22"/>
          <w:szCs w:val="22"/>
        </w:rPr>
        <w:t xml:space="preserve"> et sociale</w:t>
      </w:r>
      <w:r w:rsidRPr="00E01239">
        <w:rPr>
          <w:rFonts w:asciiTheme="minorHAnsi" w:hAnsiTheme="minorHAnsi" w:cstheme="minorHAnsi"/>
          <w:bCs/>
          <w:sz w:val="22"/>
          <w:szCs w:val="22"/>
        </w:rPr>
        <w:t>, notamment en ce qui concerne le tri et la classification des sous-projets. L</w:t>
      </w:r>
      <w:r w:rsidR="00B43938">
        <w:rPr>
          <w:rFonts w:asciiTheme="minorHAnsi" w:hAnsiTheme="minorHAnsi" w:cstheme="minorHAnsi"/>
          <w:bCs/>
          <w:sz w:val="22"/>
          <w:szCs w:val="22"/>
        </w:rPr>
        <w:t>es</w:t>
      </w:r>
      <w:r w:rsidRPr="00E01239">
        <w:rPr>
          <w:rFonts w:asciiTheme="minorHAnsi" w:hAnsiTheme="minorHAnsi" w:cstheme="minorHAnsi"/>
          <w:bCs/>
          <w:sz w:val="22"/>
          <w:szCs w:val="22"/>
        </w:rPr>
        <w:t xml:space="preserve"> catégories environnementales et sociales des activités ser</w:t>
      </w:r>
      <w:r w:rsidR="00DE30AF">
        <w:rPr>
          <w:rFonts w:asciiTheme="minorHAnsi" w:hAnsiTheme="minorHAnsi" w:cstheme="minorHAnsi"/>
          <w:bCs/>
          <w:sz w:val="22"/>
          <w:szCs w:val="22"/>
        </w:rPr>
        <w:t>ont</w:t>
      </w:r>
      <w:r w:rsidRPr="00E01239">
        <w:rPr>
          <w:rFonts w:asciiTheme="minorHAnsi" w:hAnsiTheme="minorHAnsi" w:cstheme="minorHAnsi"/>
          <w:bCs/>
          <w:sz w:val="22"/>
          <w:szCs w:val="22"/>
        </w:rPr>
        <w:t xml:space="preserve"> déterminée</w:t>
      </w:r>
      <w:r w:rsidR="00DE30AF">
        <w:rPr>
          <w:rFonts w:asciiTheme="minorHAnsi" w:hAnsiTheme="minorHAnsi" w:cstheme="minorHAnsi"/>
          <w:bCs/>
          <w:sz w:val="22"/>
          <w:szCs w:val="22"/>
        </w:rPr>
        <w:t>s</w:t>
      </w:r>
      <w:r w:rsidRPr="00E01239">
        <w:rPr>
          <w:rFonts w:asciiTheme="minorHAnsi" w:hAnsiTheme="minorHAnsi" w:cstheme="minorHAnsi"/>
          <w:bCs/>
          <w:sz w:val="22"/>
          <w:szCs w:val="22"/>
        </w:rPr>
        <w:t xml:space="preserve"> par le résultat du screening environnemental et social. </w:t>
      </w:r>
    </w:p>
    <w:p w14:paraId="5F0933AB" w14:textId="18F86C90" w:rsidR="00DA3DF6" w:rsidRPr="00E01239" w:rsidRDefault="00DA3DF6" w:rsidP="00DA3DF6">
      <w:pPr>
        <w:suppressAutoHyphens/>
        <w:autoSpaceDN w:val="0"/>
        <w:spacing w:before="120" w:line="360" w:lineRule="exact"/>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L’UCP FSRP/MEPA et l’UCP FSRP/MAERSA seront chargées de la préparation des dossiers techniques des activités des sous-projets (identification, procédure de recrutement des prestataires d’études, etc.). </w:t>
      </w:r>
    </w:p>
    <w:p w14:paraId="7F101723" w14:textId="137E99BC" w:rsidR="00DA3DF6" w:rsidRPr="00E01239" w:rsidRDefault="00DA3DF6" w:rsidP="00DA3DF6">
      <w:pPr>
        <w:suppressAutoHyphens/>
        <w:autoSpaceDN w:val="0"/>
        <w:spacing w:before="120" w:line="360" w:lineRule="exact"/>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Les étapes de la gestion environnementale et sociale des sous-projets sont décrites ci-dessous</w:t>
      </w:r>
      <w:r w:rsidR="00F759A3" w:rsidRPr="00E01239">
        <w:rPr>
          <w:rFonts w:asciiTheme="minorHAnsi" w:hAnsiTheme="minorHAnsi" w:cstheme="minorHAnsi"/>
          <w:bCs/>
          <w:sz w:val="22"/>
          <w:szCs w:val="22"/>
        </w:rPr>
        <w:t xml:space="preserve"> </w:t>
      </w:r>
      <w:r w:rsidRPr="00E01239">
        <w:rPr>
          <w:rFonts w:asciiTheme="minorHAnsi" w:hAnsiTheme="minorHAnsi" w:cstheme="minorHAnsi"/>
          <w:bCs/>
          <w:sz w:val="22"/>
          <w:szCs w:val="22"/>
        </w:rPr>
        <w:t>:</w:t>
      </w:r>
    </w:p>
    <w:p w14:paraId="275488C3" w14:textId="77777777" w:rsidR="00DA3DF6" w:rsidRPr="00E01239" w:rsidRDefault="00DA3DF6"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Étape 1 : Classification ou Screening environnemental et social des sous-projets</w:t>
      </w:r>
    </w:p>
    <w:p w14:paraId="710F5BCE" w14:textId="4EF2AF1B" w:rsidR="00DA3DF6" w:rsidRPr="00E01239" w:rsidRDefault="00DA3DF6"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Etape 2 : Validation de la classification</w:t>
      </w:r>
      <w:r w:rsidR="00F759A3" w:rsidRPr="00E01239">
        <w:rPr>
          <w:rFonts w:asciiTheme="minorHAnsi" w:hAnsiTheme="minorHAnsi" w:cstheme="minorHAnsi"/>
          <w:bCs/>
          <w:sz w:val="22"/>
          <w:szCs w:val="22"/>
        </w:rPr>
        <w:t xml:space="preserve"> et préparation et approbation des Termes de Reference</w:t>
      </w:r>
    </w:p>
    <w:p w14:paraId="7541EC2A" w14:textId="77777777" w:rsidR="00DA3DF6" w:rsidRPr="00E01239" w:rsidRDefault="00DA3DF6"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Etape 3 : Préparation de l’instrument environnemental et social</w:t>
      </w:r>
    </w:p>
    <w:p w14:paraId="7D0DEAAF" w14:textId="77777777" w:rsidR="00DA3DF6" w:rsidRPr="00E01239" w:rsidRDefault="00DA3DF6"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Etape 4 : Examen, approbation des rapports EIES/AEI, audiences publiques et diffusion, et Obtention de l’Attestation de Conformité Environnementale (CCE)</w:t>
      </w:r>
    </w:p>
    <w:p w14:paraId="19F13D47" w14:textId="77777777" w:rsidR="00DA3DF6" w:rsidRPr="00E01239" w:rsidRDefault="00DA3DF6"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Étape 5 : Publication du document</w:t>
      </w:r>
    </w:p>
    <w:p w14:paraId="56C89074" w14:textId="77777777" w:rsidR="00DA3DF6" w:rsidRPr="00E01239" w:rsidRDefault="00DA3DF6"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Etape 6 : Intégration des dispositions environnementales et sociales dans les Dossiers d'appels d'offres </w:t>
      </w:r>
    </w:p>
    <w:p w14:paraId="675A8CCD" w14:textId="0A82C429" w:rsidR="00DA3DF6" w:rsidRPr="00E01239" w:rsidRDefault="00DA3DF6"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Etape 7 : Surveillance Environnementale </w:t>
      </w:r>
      <w:r w:rsidR="00725FF0">
        <w:rPr>
          <w:rFonts w:asciiTheme="minorHAnsi" w:hAnsiTheme="minorHAnsi" w:cstheme="minorHAnsi"/>
          <w:bCs/>
          <w:sz w:val="22"/>
          <w:szCs w:val="22"/>
        </w:rPr>
        <w:t xml:space="preserve">et sociale </w:t>
      </w:r>
      <w:r w:rsidRPr="00E01239">
        <w:rPr>
          <w:rFonts w:asciiTheme="minorHAnsi" w:hAnsiTheme="minorHAnsi" w:cstheme="minorHAnsi"/>
          <w:bCs/>
          <w:sz w:val="22"/>
          <w:szCs w:val="22"/>
        </w:rPr>
        <w:t>par l’Approbation du PGES-Chantier (incluant ses annexes notamment le Plan de Gestion des Déchets, le Plan Santé- Sécurité, le Plan d’Action d’Atténuation et Réponses aux Risques VBG, EAS/HS, etc.)</w:t>
      </w:r>
    </w:p>
    <w:p w14:paraId="17D88C70" w14:textId="6D8DF3DA" w:rsidR="00DA3DF6" w:rsidRPr="00E01239" w:rsidRDefault="00DA3DF6"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Etape 8 : Suivi environnemental </w:t>
      </w:r>
      <w:r w:rsidR="00725FF0">
        <w:rPr>
          <w:rFonts w:asciiTheme="minorHAnsi" w:hAnsiTheme="minorHAnsi" w:cstheme="minorHAnsi"/>
          <w:bCs/>
          <w:sz w:val="22"/>
          <w:szCs w:val="22"/>
        </w:rPr>
        <w:t xml:space="preserve">et social </w:t>
      </w:r>
      <w:r w:rsidRPr="00E01239">
        <w:rPr>
          <w:rFonts w:asciiTheme="minorHAnsi" w:hAnsiTheme="minorHAnsi" w:cstheme="minorHAnsi"/>
          <w:bCs/>
          <w:sz w:val="22"/>
          <w:szCs w:val="22"/>
        </w:rPr>
        <w:t>de la mise en œuvre du projet</w:t>
      </w:r>
    </w:p>
    <w:p w14:paraId="699050BE" w14:textId="77777777" w:rsidR="00DA3DF6" w:rsidRPr="00E01239" w:rsidRDefault="00DA3DF6" w:rsidP="00DA3DF6">
      <w:pPr>
        <w:spacing w:before="120" w:line="360" w:lineRule="exact"/>
        <w:jc w:val="both"/>
        <w:rPr>
          <w:rFonts w:asciiTheme="minorHAnsi" w:hAnsiTheme="minorHAnsi" w:cstheme="minorHAnsi"/>
          <w:sz w:val="22"/>
          <w:szCs w:val="22"/>
        </w:rPr>
      </w:pPr>
    </w:p>
    <w:p w14:paraId="607681BB"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 xml:space="preserve">PROCEDURES COMPLEMENTAIRES </w:t>
      </w:r>
    </w:p>
    <w:p w14:paraId="3D5BD4AD" w14:textId="77777777" w:rsidR="00DA3DF6" w:rsidRPr="00E01239" w:rsidRDefault="00DA3DF6" w:rsidP="00047AA4">
      <w:pPr>
        <w:spacing w:before="120"/>
        <w:jc w:val="both"/>
        <w:rPr>
          <w:rFonts w:asciiTheme="minorHAnsi" w:hAnsiTheme="minorHAnsi" w:cstheme="minorHAnsi"/>
          <w:sz w:val="10"/>
          <w:szCs w:val="22"/>
        </w:rPr>
      </w:pPr>
    </w:p>
    <w:p w14:paraId="06FAC05A" w14:textId="0F3BCC1D" w:rsidR="00DA3DF6" w:rsidRPr="00E01239" w:rsidRDefault="00DA3DF6" w:rsidP="00027669">
      <w:pPr>
        <w:numPr>
          <w:ilvl w:val="0"/>
          <w:numId w:val="184"/>
        </w:numPr>
        <w:shd w:val="clear" w:color="auto" w:fill="FFFFFF"/>
        <w:spacing w:before="120" w:line="360" w:lineRule="exact"/>
        <w:ind w:right="19"/>
        <w:contextualSpacing/>
        <w:jc w:val="both"/>
        <w:rPr>
          <w:rFonts w:asciiTheme="minorHAnsi" w:hAnsiTheme="minorHAnsi" w:cstheme="minorHAnsi"/>
          <w:b/>
          <w:bCs/>
          <w:spacing w:val="-1"/>
          <w:sz w:val="22"/>
          <w:szCs w:val="22"/>
        </w:rPr>
      </w:pPr>
      <w:r w:rsidRPr="00E01239">
        <w:rPr>
          <w:rFonts w:asciiTheme="minorHAnsi" w:hAnsiTheme="minorHAnsi" w:cstheme="minorHAnsi"/>
          <w:b/>
          <w:bCs/>
          <w:spacing w:val="-1"/>
          <w:sz w:val="22"/>
          <w:szCs w:val="22"/>
        </w:rPr>
        <w:t>Procédure d</w:t>
      </w:r>
      <w:r w:rsidR="00972AFE" w:rsidRPr="00E01239">
        <w:rPr>
          <w:rFonts w:asciiTheme="minorHAnsi" w:hAnsiTheme="minorHAnsi" w:cstheme="minorHAnsi"/>
          <w:b/>
          <w:bCs/>
          <w:spacing w:val="-1"/>
          <w:sz w:val="22"/>
          <w:szCs w:val="22"/>
        </w:rPr>
        <w:t>e mobilisation</w:t>
      </w:r>
      <w:r w:rsidRPr="00E01239">
        <w:rPr>
          <w:rFonts w:asciiTheme="minorHAnsi" w:hAnsiTheme="minorHAnsi" w:cstheme="minorHAnsi"/>
          <w:b/>
          <w:bCs/>
          <w:spacing w:val="-1"/>
          <w:sz w:val="22"/>
          <w:szCs w:val="22"/>
        </w:rPr>
        <w:t xml:space="preserve"> des parties prenantes incluant la consultation et l’information des parties prenantes </w:t>
      </w:r>
    </w:p>
    <w:p w14:paraId="5CB1E574" w14:textId="493C59C0" w:rsidR="00DA3DF6" w:rsidRPr="00E01239" w:rsidRDefault="00DA3DF6" w:rsidP="000A38BF">
      <w:pPr>
        <w:suppressAutoHyphens/>
        <w:autoSpaceDN w:val="0"/>
        <w:spacing w:before="120" w:line="360" w:lineRule="exact"/>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Conformément aux exigences de la NES 10, un Plan de Mobilisation des Parties Prenantes a été préparé en volume séparé. Le plan identifie l’ensemble des catégories de parties prenantes (intéressées, affectées et groupes vulnérables) et présente la méthodologie d’information, de communication et</w:t>
      </w:r>
      <w:r w:rsidR="00C24F98" w:rsidRPr="00E01239">
        <w:rPr>
          <w:rFonts w:asciiTheme="minorHAnsi" w:hAnsiTheme="minorHAnsi" w:cstheme="minorHAnsi"/>
          <w:b/>
          <w:bCs/>
          <w:sz w:val="22"/>
          <w:szCs w:val="22"/>
        </w:rPr>
        <w:t xml:space="preserve"> </w:t>
      </w:r>
      <w:r w:rsidR="00C24F98" w:rsidRPr="00E01239">
        <w:rPr>
          <w:rFonts w:asciiTheme="minorHAnsi" w:hAnsiTheme="minorHAnsi" w:cstheme="minorHAnsi"/>
          <w:sz w:val="22"/>
          <w:szCs w:val="22"/>
        </w:rPr>
        <w:t>de mobilisation</w:t>
      </w:r>
      <w:r w:rsidRPr="00E01239">
        <w:rPr>
          <w:rFonts w:asciiTheme="minorHAnsi" w:hAnsiTheme="minorHAnsi" w:cstheme="minorHAnsi"/>
          <w:bCs/>
          <w:sz w:val="22"/>
          <w:szCs w:val="22"/>
        </w:rPr>
        <w:t xml:space="preserve"> des parties prenantes. Des consultations séparées et ciblant exclusivement les femmes et les filles seront menées ultérieurement par l’UCP FSRP/MEPA et l’UCP FSRP/MAERSA dans des endroits sûrs et accessibles et animés par une femme. Cette procédure inclusive sera suivie pour l'information, la concertation et la négociation en vue d’assurer l’acceptabilité sociale du projet. Les outils et </w:t>
      </w:r>
      <w:r w:rsidRPr="00E01239">
        <w:rPr>
          <w:rFonts w:asciiTheme="minorHAnsi" w:hAnsiTheme="minorHAnsi" w:cstheme="minorHAnsi"/>
          <w:bCs/>
          <w:sz w:val="22"/>
          <w:szCs w:val="22"/>
        </w:rPr>
        <w:lastRenderedPageBreak/>
        <w:t>techniques de consultations devront se conformer à une logique de communication préventive et de communication sociale telle que déclinée dans le PMPP.</w:t>
      </w:r>
    </w:p>
    <w:p w14:paraId="2FBC8C27" w14:textId="77777777" w:rsidR="00DA3DF6" w:rsidRPr="00E01239" w:rsidRDefault="00DA3DF6" w:rsidP="00DA3DF6">
      <w:pPr>
        <w:shd w:val="clear" w:color="auto" w:fill="FFFFFF"/>
        <w:spacing w:before="120" w:line="360" w:lineRule="exact"/>
        <w:ind w:right="19"/>
        <w:jc w:val="both"/>
        <w:rPr>
          <w:rFonts w:asciiTheme="minorHAnsi" w:hAnsiTheme="minorHAnsi" w:cstheme="minorHAnsi"/>
          <w:b/>
          <w:bCs/>
          <w:spacing w:val="-1"/>
          <w:sz w:val="22"/>
          <w:szCs w:val="22"/>
        </w:rPr>
      </w:pPr>
    </w:p>
    <w:p w14:paraId="6F59750E" w14:textId="77777777" w:rsidR="00DA3DF6" w:rsidRPr="00E01239" w:rsidRDefault="00DA3DF6" w:rsidP="00027669">
      <w:pPr>
        <w:numPr>
          <w:ilvl w:val="0"/>
          <w:numId w:val="184"/>
        </w:numPr>
        <w:shd w:val="clear" w:color="auto" w:fill="FFFFFF"/>
        <w:spacing w:before="120" w:line="360" w:lineRule="exact"/>
        <w:ind w:right="19"/>
        <w:contextualSpacing/>
        <w:jc w:val="both"/>
        <w:rPr>
          <w:rFonts w:asciiTheme="minorHAnsi" w:hAnsiTheme="minorHAnsi" w:cstheme="minorHAnsi"/>
          <w:b/>
          <w:bCs/>
          <w:spacing w:val="-1"/>
          <w:sz w:val="22"/>
          <w:szCs w:val="22"/>
        </w:rPr>
      </w:pPr>
      <w:r w:rsidRPr="00E01239">
        <w:rPr>
          <w:rFonts w:asciiTheme="minorHAnsi" w:hAnsiTheme="minorHAnsi" w:cstheme="minorHAnsi"/>
          <w:b/>
          <w:bCs/>
          <w:spacing w:val="-1"/>
          <w:sz w:val="22"/>
          <w:szCs w:val="22"/>
        </w:rPr>
        <w:t>Procédure de prise en charge des violences basées sur le genre (VBG), d’exploitation et d’abus sexuels (EAS) et du harcèlement sexuel (HS) </w:t>
      </w:r>
    </w:p>
    <w:p w14:paraId="55EC7F77" w14:textId="03BB4739" w:rsidR="00DA3DF6" w:rsidRPr="00E01239" w:rsidRDefault="00DA3DF6" w:rsidP="004B1D15">
      <w:pPr>
        <w:spacing w:before="120" w:line="360" w:lineRule="exact"/>
        <w:jc w:val="both"/>
        <w:rPr>
          <w:rFonts w:asciiTheme="minorHAnsi" w:hAnsiTheme="minorHAnsi" w:cstheme="minorHAnsi"/>
          <w:sz w:val="22"/>
          <w:szCs w:val="22"/>
        </w:rPr>
      </w:pPr>
      <w:r w:rsidRPr="00E01239">
        <w:rPr>
          <w:rFonts w:asciiTheme="minorHAnsi" w:hAnsiTheme="minorHAnsi" w:cstheme="minorHAnsi"/>
          <w:bCs/>
          <w:sz w:val="22"/>
          <w:szCs w:val="22"/>
        </w:rPr>
        <w:t xml:space="preserve">Conformément au CES de la Banque </w:t>
      </w:r>
      <w:r w:rsidR="00906DBA" w:rsidRPr="00E01239">
        <w:rPr>
          <w:rFonts w:asciiTheme="minorHAnsi" w:hAnsiTheme="minorHAnsi" w:cstheme="minorHAnsi"/>
          <w:bCs/>
          <w:sz w:val="22"/>
          <w:szCs w:val="22"/>
        </w:rPr>
        <w:t>m</w:t>
      </w:r>
      <w:r w:rsidRPr="00E01239">
        <w:rPr>
          <w:rFonts w:asciiTheme="minorHAnsi" w:hAnsiTheme="minorHAnsi" w:cstheme="minorHAnsi"/>
          <w:bCs/>
          <w:sz w:val="22"/>
          <w:szCs w:val="22"/>
        </w:rPr>
        <w:t xml:space="preserve">ondiale notamment en matière de gestion des risques sociaux, un Plan </w:t>
      </w:r>
      <w:r w:rsidR="00F43E8A" w:rsidRPr="00E01239">
        <w:rPr>
          <w:rFonts w:asciiTheme="minorHAnsi" w:hAnsiTheme="minorHAnsi" w:cstheme="minorHAnsi"/>
          <w:bCs/>
          <w:sz w:val="22"/>
          <w:szCs w:val="22"/>
        </w:rPr>
        <w:t>de Réponse pour le Prévention, l’</w:t>
      </w:r>
      <w:r w:rsidR="00906DBA" w:rsidRPr="00E01239">
        <w:rPr>
          <w:rFonts w:asciiTheme="minorHAnsi" w:hAnsiTheme="minorHAnsi" w:cstheme="minorHAnsi"/>
          <w:bCs/>
          <w:sz w:val="22"/>
          <w:szCs w:val="22"/>
        </w:rPr>
        <w:t>A</w:t>
      </w:r>
      <w:r w:rsidR="00F43E8A" w:rsidRPr="00E01239">
        <w:rPr>
          <w:rFonts w:asciiTheme="minorHAnsi" w:hAnsiTheme="minorHAnsi" w:cstheme="minorHAnsi"/>
          <w:bCs/>
          <w:sz w:val="22"/>
          <w:szCs w:val="22"/>
        </w:rPr>
        <w:t xml:space="preserve">tténuation des Risques et la prise en charge des </w:t>
      </w:r>
      <w:r w:rsidR="00906DBA" w:rsidRPr="00E01239">
        <w:rPr>
          <w:rFonts w:asciiTheme="minorHAnsi" w:hAnsiTheme="minorHAnsi" w:cstheme="minorHAnsi"/>
          <w:bCs/>
          <w:sz w:val="22"/>
          <w:szCs w:val="22"/>
        </w:rPr>
        <w:t>V</w:t>
      </w:r>
      <w:r w:rsidR="00F43E8A" w:rsidRPr="00E01239">
        <w:rPr>
          <w:rFonts w:asciiTheme="minorHAnsi" w:hAnsiTheme="minorHAnsi" w:cstheme="minorHAnsi"/>
          <w:bCs/>
          <w:sz w:val="22"/>
          <w:szCs w:val="22"/>
        </w:rPr>
        <w:t xml:space="preserve">iolences </w:t>
      </w:r>
      <w:r w:rsidR="00906DBA" w:rsidRPr="00E01239">
        <w:rPr>
          <w:rFonts w:asciiTheme="minorHAnsi" w:hAnsiTheme="minorHAnsi" w:cstheme="minorHAnsi"/>
          <w:bCs/>
          <w:sz w:val="22"/>
          <w:szCs w:val="22"/>
        </w:rPr>
        <w:t>B</w:t>
      </w:r>
      <w:r w:rsidR="00F43E8A" w:rsidRPr="00E01239">
        <w:rPr>
          <w:rFonts w:asciiTheme="minorHAnsi" w:hAnsiTheme="minorHAnsi" w:cstheme="minorHAnsi"/>
          <w:bCs/>
          <w:sz w:val="22"/>
          <w:szCs w:val="22"/>
        </w:rPr>
        <w:t xml:space="preserve">asées sur le </w:t>
      </w:r>
      <w:r w:rsidR="00906DBA" w:rsidRPr="00E01239">
        <w:rPr>
          <w:rFonts w:asciiTheme="minorHAnsi" w:hAnsiTheme="minorHAnsi" w:cstheme="minorHAnsi"/>
          <w:bCs/>
          <w:sz w:val="22"/>
          <w:szCs w:val="22"/>
        </w:rPr>
        <w:t>G</w:t>
      </w:r>
      <w:r w:rsidR="00F43E8A" w:rsidRPr="00E01239">
        <w:rPr>
          <w:rFonts w:asciiTheme="minorHAnsi" w:hAnsiTheme="minorHAnsi" w:cstheme="minorHAnsi"/>
          <w:bCs/>
          <w:sz w:val="22"/>
          <w:szCs w:val="22"/>
        </w:rPr>
        <w:t>enre (VBG), l’</w:t>
      </w:r>
      <w:r w:rsidR="00906DBA" w:rsidRPr="00E01239">
        <w:rPr>
          <w:rFonts w:asciiTheme="minorHAnsi" w:hAnsiTheme="minorHAnsi" w:cstheme="minorHAnsi"/>
          <w:bCs/>
          <w:sz w:val="22"/>
          <w:szCs w:val="22"/>
        </w:rPr>
        <w:t>E</w:t>
      </w:r>
      <w:r w:rsidR="00F43E8A" w:rsidRPr="00E01239">
        <w:rPr>
          <w:rFonts w:asciiTheme="minorHAnsi" w:hAnsiTheme="minorHAnsi" w:cstheme="minorHAnsi"/>
          <w:bCs/>
          <w:sz w:val="22"/>
          <w:szCs w:val="22"/>
        </w:rPr>
        <w:t xml:space="preserve">xploitation et les </w:t>
      </w:r>
      <w:r w:rsidR="00906DBA" w:rsidRPr="00E01239">
        <w:rPr>
          <w:rFonts w:asciiTheme="minorHAnsi" w:hAnsiTheme="minorHAnsi" w:cstheme="minorHAnsi"/>
          <w:bCs/>
          <w:sz w:val="22"/>
          <w:szCs w:val="22"/>
        </w:rPr>
        <w:t>A</w:t>
      </w:r>
      <w:r w:rsidR="00F43E8A" w:rsidRPr="00E01239">
        <w:rPr>
          <w:rFonts w:asciiTheme="minorHAnsi" w:hAnsiTheme="minorHAnsi" w:cstheme="minorHAnsi"/>
          <w:bCs/>
          <w:sz w:val="22"/>
          <w:szCs w:val="22"/>
        </w:rPr>
        <w:t xml:space="preserve">bus </w:t>
      </w:r>
      <w:r w:rsidR="00906DBA" w:rsidRPr="00E01239">
        <w:rPr>
          <w:rFonts w:asciiTheme="minorHAnsi" w:hAnsiTheme="minorHAnsi" w:cstheme="minorHAnsi"/>
          <w:bCs/>
          <w:sz w:val="22"/>
          <w:szCs w:val="22"/>
        </w:rPr>
        <w:t>S</w:t>
      </w:r>
      <w:r w:rsidR="00F43E8A" w:rsidRPr="00E01239">
        <w:rPr>
          <w:rFonts w:asciiTheme="minorHAnsi" w:hAnsiTheme="minorHAnsi" w:cstheme="minorHAnsi"/>
          <w:bCs/>
          <w:sz w:val="22"/>
          <w:szCs w:val="22"/>
        </w:rPr>
        <w:t xml:space="preserve">exuels (EAS) et le </w:t>
      </w:r>
      <w:r w:rsidR="00906DBA" w:rsidRPr="00E01239">
        <w:rPr>
          <w:rFonts w:asciiTheme="minorHAnsi" w:hAnsiTheme="minorHAnsi" w:cstheme="minorHAnsi"/>
          <w:bCs/>
          <w:sz w:val="22"/>
          <w:szCs w:val="22"/>
        </w:rPr>
        <w:t>H</w:t>
      </w:r>
      <w:r w:rsidR="00F43E8A" w:rsidRPr="00E01239">
        <w:rPr>
          <w:rFonts w:asciiTheme="minorHAnsi" w:hAnsiTheme="minorHAnsi" w:cstheme="minorHAnsi"/>
          <w:bCs/>
          <w:sz w:val="22"/>
          <w:szCs w:val="22"/>
        </w:rPr>
        <w:t xml:space="preserve">arcèlement </w:t>
      </w:r>
      <w:r w:rsidR="00906DBA" w:rsidRPr="00E01239">
        <w:rPr>
          <w:rFonts w:asciiTheme="minorHAnsi" w:hAnsiTheme="minorHAnsi" w:cstheme="minorHAnsi"/>
          <w:bCs/>
          <w:sz w:val="22"/>
          <w:szCs w:val="22"/>
        </w:rPr>
        <w:t>S</w:t>
      </w:r>
      <w:r w:rsidR="00F43E8A" w:rsidRPr="00E01239">
        <w:rPr>
          <w:rFonts w:asciiTheme="minorHAnsi" w:hAnsiTheme="minorHAnsi" w:cstheme="minorHAnsi"/>
          <w:bCs/>
          <w:sz w:val="22"/>
          <w:szCs w:val="22"/>
        </w:rPr>
        <w:t xml:space="preserve">exuel (HS) </w:t>
      </w:r>
      <w:r w:rsidRPr="00E01239">
        <w:rPr>
          <w:rFonts w:asciiTheme="minorHAnsi" w:hAnsiTheme="minorHAnsi" w:cstheme="minorHAnsi"/>
          <w:bCs/>
          <w:sz w:val="22"/>
          <w:szCs w:val="22"/>
        </w:rPr>
        <w:t xml:space="preserve">a été préparé en volume séparé du présent CGES. Ce plan d’action qui détermine </w:t>
      </w:r>
      <w:r w:rsidR="00F43E8A" w:rsidRPr="00E01239">
        <w:rPr>
          <w:rFonts w:asciiTheme="minorHAnsi" w:hAnsiTheme="minorHAnsi" w:cstheme="minorHAnsi"/>
          <w:bCs/>
          <w:sz w:val="22"/>
          <w:szCs w:val="22"/>
        </w:rPr>
        <w:t>le dispositif adapté pour la prévention et la prise en charge des</w:t>
      </w:r>
      <w:r w:rsidR="00F43E8A" w:rsidRPr="00E01239">
        <w:rPr>
          <w:rFonts w:asciiTheme="minorHAnsi" w:hAnsiTheme="minorHAnsi" w:cstheme="minorHAnsi"/>
        </w:rPr>
        <w:t xml:space="preserve"> EAS/HS </w:t>
      </w:r>
      <w:r w:rsidRPr="00E01239">
        <w:rPr>
          <w:rFonts w:asciiTheme="minorHAnsi" w:hAnsiTheme="minorHAnsi" w:cstheme="minorHAnsi"/>
          <w:bCs/>
          <w:sz w:val="22"/>
          <w:szCs w:val="22"/>
        </w:rPr>
        <w:t>est axée, d’une part,</w:t>
      </w:r>
      <w:r w:rsidRPr="00E01239">
        <w:rPr>
          <w:rFonts w:asciiTheme="minorHAnsi" w:hAnsiTheme="minorHAnsi" w:cstheme="minorHAnsi"/>
          <w:sz w:val="22"/>
          <w:szCs w:val="22"/>
        </w:rPr>
        <w:t xml:space="preserve"> sur les actions de prévention des Violences basées sur le Genre, et, d’autre part, sur les mesures de prise en charge des victimes si des cas sont identifiés.</w:t>
      </w:r>
    </w:p>
    <w:p w14:paraId="6CE2C8ED" w14:textId="77777777" w:rsidR="00DA3DF6" w:rsidRPr="00E01239" w:rsidRDefault="00DA3DF6" w:rsidP="004B1D15">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Il est constitué de deux volets (i) le volet n°1 couvre les activités d’information, de prévention et de sensibilisation sur les violences basées sur le genre et (ii) un second volet qui porte sur la prise en charge des victimes de violences, les mesures sanitaires les normes standards de prise en charge des éventuelles victimes, le référencement et le suivi des dossiers de réclamation et plainte, la prise en charge psychosociale des victimes de violence, l’assistance juridique et judiciaire et les possibilités de réinsertion sociale. </w:t>
      </w:r>
    </w:p>
    <w:p w14:paraId="53431DFD" w14:textId="5433FC86" w:rsidR="00DA3DF6" w:rsidRPr="00E01239" w:rsidRDefault="00DA3DF6" w:rsidP="004B1D15">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mise en œuvre dudit plan permettra de prévenir et de prendre en charge tous les cas de VBG/EAS/HS signalés et sera adossé au mécanisme de gestion des plaintes du Projet et fonctionnera de façon parallèle pour garantir la confidentialité et la sécurité des survivantes.  </w:t>
      </w:r>
    </w:p>
    <w:p w14:paraId="696B7CC4" w14:textId="77777777" w:rsidR="00F43E8A" w:rsidRPr="00E01239" w:rsidRDefault="00F43E8A" w:rsidP="00DA3DF6">
      <w:pPr>
        <w:jc w:val="both"/>
        <w:rPr>
          <w:rFonts w:asciiTheme="minorHAnsi" w:hAnsiTheme="minorHAnsi" w:cstheme="minorHAnsi"/>
          <w:sz w:val="22"/>
          <w:szCs w:val="22"/>
        </w:rPr>
      </w:pPr>
    </w:p>
    <w:p w14:paraId="50E25058" w14:textId="43D3FD7A" w:rsidR="00DA3DF6" w:rsidRPr="00E01239" w:rsidRDefault="00DA3DF6" w:rsidP="00027669">
      <w:pPr>
        <w:numPr>
          <w:ilvl w:val="0"/>
          <w:numId w:val="184"/>
        </w:numPr>
        <w:shd w:val="clear" w:color="auto" w:fill="FFFFFF"/>
        <w:spacing w:before="120" w:line="360" w:lineRule="exact"/>
        <w:ind w:right="19"/>
        <w:contextualSpacing/>
        <w:jc w:val="both"/>
        <w:rPr>
          <w:rFonts w:asciiTheme="minorHAnsi" w:hAnsiTheme="minorHAnsi" w:cstheme="minorHAnsi"/>
          <w:b/>
          <w:bCs/>
          <w:spacing w:val="-1"/>
          <w:sz w:val="22"/>
          <w:szCs w:val="22"/>
        </w:rPr>
      </w:pPr>
      <w:r w:rsidRPr="00E01239">
        <w:rPr>
          <w:rFonts w:asciiTheme="minorHAnsi" w:hAnsiTheme="minorHAnsi" w:cstheme="minorHAnsi"/>
          <w:b/>
          <w:bCs/>
          <w:spacing w:val="-1"/>
          <w:sz w:val="22"/>
          <w:szCs w:val="22"/>
        </w:rPr>
        <w:t xml:space="preserve">Mécanisme de </w:t>
      </w:r>
      <w:r w:rsidR="004D1201" w:rsidRPr="00E01239">
        <w:rPr>
          <w:rFonts w:asciiTheme="minorHAnsi" w:hAnsiTheme="minorHAnsi" w:cstheme="minorHAnsi"/>
          <w:b/>
          <w:bCs/>
          <w:spacing w:val="-1"/>
          <w:sz w:val="22"/>
          <w:szCs w:val="22"/>
        </w:rPr>
        <w:t>G</w:t>
      </w:r>
      <w:r w:rsidRPr="00E01239">
        <w:rPr>
          <w:rFonts w:asciiTheme="minorHAnsi" w:hAnsiTheme="minorHAnsi" w:cstheme="minorHAnsi"/>
          <w:b/>
          <w:bCs/>
          <w:spacing w:val="-1"/>
          <w:sz w:val="22"/>
          <w:szCs w:val="22"/>
        </w:rPr>
        <w:t xml:space="preserve">estion des </w:t>
      </w:r>
      <w:r w:rsidR="004D1201" w:rsidRPr="00E01239">
        <w:rPr>
          <w:rFonts w:asciiTheme="minorHAnsi" w:hAnsiTheme="minorHAnsi" w:cstheme="minorHAnsi"/>
          <w:b/>
          <w:bCs/>
          <w:spacing w:val="-1"/>
          <w:sz w:val="22"/>
          <w:szCs w:val="22"/>
        </w:rPr>
        <w:t>P</w:t>
      </w:r>
      <w:r w:rsidRPr="00E01239">
        <w:rPr>
          <w:rFonts w:asciiTheme="minorHAnsi" w:hAnsiTheme="minorHAnsi" w:cstheme="minorHAnsi"/>
          <w:b/>
          <w:bCs/>
          <w:spacing w:val="-1"/>
          <w:sz w:val="22"/>
          <w:szCs w:val="22"/>
        </w:rPr>
        <w:t xml:space="preserve">laintes (MGP) </w:t>
      </w:r>
    </w:p>
    <w:p w14:paraId="15312D38" w14:textId="77777777" w:rsidR="00DA3DF6" w:rsidRPr="00E01239" w:rsidRDefault="00DA3DF6" w:rsidP="004B1D15">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Le projet a développé un plan de mobilisation des parties prenantes assorti d’un mécanisme de gestion des plaintes (MGP) qui fournit aux parties prenantes une procédure et des moyens accessibles qui permettent l’expression et le traitement à l’amiable des doléances et plaintes des personnes affectées et intéressées par le projet.</w:t>
      </w:r>
    </w:p>
    <w:p w14:paraId="1AA06A61" w14:textId="77777777" w:rsidR="00DA3DF6" w:rsidRPr="00E01239" w:rsidRDefault="00DA3DF6" w:rsidP="004B1D15">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Cette procédure est constituée des huit (8) étapes suivantes : </w:t>
      </w:r>
    </w:p>
    <w:p w14:paraId="171DC516" w14:textId="77777777" w:rsidR="00DA3DF6" w:rsidRPr="00E01239" w:rsidRDefault="00DA3DF6"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Diffusion de l’information ;</w:t>
      </w:r>
    </w:p>
    <w:p w14:paraId="6C1E9928" w14:textId="77777777" w:rsidR="00DA3DF6" w:rsidRPr="00E01239" w:rsidRDefault="00DA3DF6"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Réception, enregistrement et accusé de réception des plaintes ; </w:t>
      </w:r>
    </w:p>
    <w:p w14:paraId="6CE68E43" w14:textId="77777777" w:rsidR="00DA3DF6" w:rsidRPr="00E01239" w:rsidRDefault="00DA3DF6"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Tri, catégorisation, examen de la recevabilité des réclamations ; </w:t>
      </w:r>
    </w:p>
    <w:p w14:paraId="63EC8E8F" w14:textId="77777777" w:rsidR="00DA3DF6" w:rsidRPr="00E01239" w:rsidRDefault="00DA3DF6"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Examen de la plainte, enquête et vérification ; </w:t>
      </w:r>
    </w:p>
    <w:p w14:paraId="0525E549" w14:textId="77777777" w:rsidR="00DA3DF6" w:rsidRPr="00E01239" w:rsidRDefault="00DA3DF6"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Traitement interne et externe de la plainte ;</w:t>
      </w:r>
    </w:p>
    <w:p w14:paraId="19D9D320" w14:textId="77777777" w:rsidR="00DA3DF6" w:rsidRPr="00E01239" w:rsidRDefault="00DA3DF6"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Clôture des plaintes et archivages ; </w:t>
      </w:r>
    </w:p>
    <w:p w14:paraId="54852F8A" w14:textId="77777777" w:rsidR="00DA3DF6" w:rsidRPr="00E01239" w:rsidRDefault="00DA3DF6"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Suivi, évaluation et reportage ;</w:t>
      </w:r>
    </w:p>
    <w:p w14:paraId="147DB4D3" w14:textId="77777777" w:rsidR="00DA3DF6" w:rsidRPr="00E01239" w:rsidRDefault="00DA3DF6"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Recours judiciaire</w:t>
      </w:r>
    </w:p>
    <w:p w14:paraId="358EC783" w14:textId="77777777" w:rsidR="00DA3DF6" w:rsidRPr="00E01239" w:rsidRDefault="00DA3DF6" w:rsidP="00DA3DF6">
      <w:pPr>
        <w:jc w:val="both"/>
        <w:rPr>
          <w:rFonts w:asciiTheme="minorHAnsi" w:hAnsiTheme="minorHAnsi" w:cstheme="minorHAnsi"/>
          <w:sz w:val="22"/>
          <w:szCs w:val="22"/>
        </w:rPr>
      </w:pPr>
    </w:p>
    <w:p w14:paraId="4188C3A8" w14:textId="48E64C1B" w:rsidR="00DA3DF6" w:rsidRPr="00E01239" w:rsidRDefault="00A41D2B" w:rsidP="004B1D15">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lastRenderedPageBreak/>
        <w:t>L’utilisation du MGP ne fait pas obstacle à la saisine des juridictions.</w:t>
      </w:r>
      <w:r>
        <w:rPr>
          <w:rFonts w:asciiTheme="minorHAnsi" w:hAnsiTheme="minorHAnsi" w:cstheme="minorHAnsi"/>
          <w:sz w:val="22"/>
          <w:szCs w:val="22"/>
        </w:rPr>
        <w:t xml:space="preserve"> </w:t>
      </w:r>
      <w:r w:rsidR="00DA3DF6" w:rsidRPr="00E01239">
        <w:rPr>
          <w:rFonts w:asciiTheme="minorHAnsi" w:hAnsiTheme="minorHAnsi" w:cstheme="minorHAnsi"/>
          <w:sz w:val="22"/>
          <w:szCs w:val="22"/>
        </w:rPr>
        <w:t xml:space="preserve">Un recours judiciaire pourra être déclenché par le plaignant si les approches communautaires, communales ou départementales ne permettent pas de résoudre le conflit.    </w:t>
      </w:r>
    </w:p>
    <w:p w14:paraId="36C6E06B" w14:textId="77777777" w:rsidR="00DA3DF6" w:rsidRPr="00E01239" w:rsidRDefault="00DA3DF6" w:rsidP="00DA3DF6">
      <w:pPr>
        <w:suppressAutoHyphens/>
        <w:autoSpaceDN w:val="0"/>
        <w:spacing w:before="120" w:line="360" w:lineRule="exact"/>
        <w:jc w:val="both"/>
        <w:textAlignment w:val="baseline"/>
        <w:rPr>
          <w:rFonts w:asciiTheme="minorHAnsi" w:hAnsiTheme="minorHAnsi" w:cstheme="minorHAnsi"/>
          <w:bCs/>
          <w:sz w:val="22"/>
          <w:szCs w:val="22"/>
        </w:rPr>
      </w:pPr>
    </w:p>
    <w:p w14:paraId="069C414A"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DISPOSITIONS INSTITUTIONNELLES, RESPONSABILITES ET RENFORCEMENT DES CAPACITES</w:t>
      </w:r>
    </w:p>
    <w:p w14:paraId="3381743F" w14:textId="4F84F949" w:rsidR="00DA3DF6" w:rsidRPr="00E01239" w:rsidRDefault="00DA3DF6" w:rsidP="004B1D15">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gestion environnementale et sociale sera assurée par </w:t>
      </w:r>
      <w:r w:rsidRPr="00E01239">
        <w:rPr>
          <w:rFonts w:asciiTheme="minorHAnsi" w:hAnsiTheme="minorHAnsi" w:cstheme="minorHAnsi"/>
          <w:bCs/>
          <w:sz w:val="22"/>
          <w:szCs w:val="22"/>
        </w:rPr>
        <w:t>l’UCP FSRPSN/MEPA et l’UCP FSRP/MAERSA</w:t>
      </w:r>
      <w:r w:rsidRPr="00E01239">
        <w:rPr>
          <w:rFonts w:asciiTheme="minorHAnsi" w:hAnsiTheme="minorHAnsi" w:cstheme="minorHAnsi"/>
          <w:sz w:val="22"/>
          <w:szCs w:val="22"/>
        </w:rPr>
        <w:t>. Elle</w:t>
      </w:r>
      <w:r w:rsidR="00FB7A6F" w:rsidRPr="00E01239">
        <w:rPr>
          <w:rFonts w:asciiTheme="minorHAnsi" w:hAnsiTheme="minorHAnsi" w:cstheme="minorHAnsi"/>
          <w:sz w:val="22"/>
          <w:szCs w:val="22"/>
        </w:rPr>
        <w:t>s</w:t>
      </w:r>
      <w:r w:rsidRPr="00E01239">
        <w:rPr>
          <w:rFonts w:asciiTheme="minorHAnsi" w:hAnsiTheme="minorHAnsi" w:cstheme="minorHAnsi"/>
          <w:sz w:val="22"/>
          <w:szCs w:val="22"/>
        </w:rPr>
        <w:t xml:space="preserve"> seront garantes de la conformité environnementale, sociale, hygiène, santé et sécurité du Projet, l’obtention des permis et autorisations requis par la réglementation, la préparation des rapports périodiques de suivi et le rapport d’achèvement. Par ailleurs, </w:t>
      </w:r>
      <w:r w:rsidRPr="00E01239">
        <w:rPr>
          <w:rFonts w:asciiTheme="minorHAnsi" w:hAnsiTheme="minorHAnsi" w:cstheme="minorHAnsi"/>
          <w:bCs/>
          <w:sz w:val="22"/>
          <w:szCs w:val="22"/>
        </w:rPr>
        <w:t xml:space="preserve">l’UCP FSRP/MEPA et l’UCP FSRP/MAERSA </w:t>
      </w:r>
      <w:r w:rsidRPr="00E01239">
        <w:rPr>
          <w:rFonts w:asciiTheme="minorHAnsi" w:hAnsiTheme="minorHAnsi" w:cstheme="minorHAnsi"/>
          <w:sz w:val="22"/>
          <w:szCs w:val="22"/>
        </w:rPr>
        <w:t xml:space="preserve">s’assurent que la Banque mondiale et les autres acteurs reçoivent tous les rapports de surveillance environnementale et sociale. </w:t>
      </w:r>
    </w:p>
    <w:p w14:paraId="08556FDA" w14:textId="77777777" w:rsidR="00DA3DF6" w:rsidRPr="00E01239" w:rsidRDefault="00DA3DF6" w:rsidP="004B1D15">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En plus des deux UCP, la mise en œuvre du CGES implique d’autres acteurs. A cet égard, des arrangements institutionnels ainsi que les mesures spécifiques de renforcement des capacités des acteurs en charge de la mise en œuvre du CGES sont nécessaires. Le tableau ci-dessous fait la synthèse des arrangements institutionnels pour la mise en œuvre du CGES. </w:t>
      </w:r>
    </w:p>
    <w:p w14:paraId="50B0C54D" w14:textId="77777777" w:rsidR="00DA3DF6" w:rsidRPr="00E01239" w:rsidRDefault="00DA3DF6" w:rsidP="00DA3DF6">
      <w:pPr>
        <w:pStyle w:val="Paragraphedeliste"/>
        <w:rPr>
          <w:rFonts w:asciiTheme="minorHAnsi" w:hAnsiTheme="minorHAnsi" w:cstheme="minorHAnsi"/>
          <w:b/>
          <w:color w:val="5B9BD5"/>
          <w:sz w:val="22"/>
          <w:szCs w:val="22"/>
        </w:rPr>
      </w:pPr>
    </w:p>
    <w:tbl>
      <w:tblPr>
        <w:tblW w:w="531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36"/>
        <w:gridCol w:w="7287"/>
      </w:tblGrid>
      <w:tr w:rsidR="00DA3DF6" w:rsidRPr="00E01239" w14:paraId="554D2915" w14:textId="77777777" w:rsidTr="7CB1727A">
        <w:trPr>
          <w:trHeight w:val="588"/>
          <w:tblHeader/>
          <w:jc w:val="center"/>
        </w:trPr>
        <w:tc>
          <w:tcPr>
            <w:tcW w:w="1214" w:type="pct"/>
            <w:shd w:val="clear" w:color="auto" w:fill="000000" w:themeFill="text1"/>
            <w:vAlign w:val="center"/>
          </w:tcPr>
          <w:p w14:paraId="288E0346" w14:textId="77777777" w:rsidR="00DA3DF6" w:rsidRPr="00E01239" w:rsidRDefault="00DA3DF6" w:rsidP="00F43E8A">
            <w:pPr>
              <w:jc w:val="center"/>
              <w:rPr>
                <w:rFonts w:asciiTheme="minorHAnsi" w:hAnsiTheme="minorHAnsi" w:cstheme="minorHAnsi"/>
                <w:b/>
                <w:sz w:val="21"/>
                <w:szCs w:val="21"/>
              </w:rPr>
            </w:pPr>
            <w:r w:rsidRPr="00E01239">
              <w:rPr>
                <w:rFonts w:asciiTheme="minorHAnsi" w:hAnsiTheme="minorHAnsi" w:cstheme="minorHAnsi"/>
                <w:b/>
                <w:sz w:val="21"/>
                <w:szCs w:val="21"/>
              </w:rPr>
              <w:t>Acteurs</w:t>
            </w:r>
          </w:p>
        </w:tc>
        <w:tc>
          <w:tcPr>
            <w:tcW w:w="3786" w:type="pct"/>
            <w:shd w:val="clear" w:color="auto" w:fill="000000" w:themeFill="text1"/>
            <w:vAlign w:val="center"/>
          </w:tcPr>
          <w:p w14:paraId="6B206846" w14:textId="77777777" w:rsidR="00DA3DF6" w:rsidRPr="00E01239" w:rsidRDefault="00DA3DF6" w:rsidP="00F43E8A">
            <w:pPr>
              <w:jc w:val="center"/>
              <w:rPr>
                <w:rFonts w:asciiTheme="minorHAnsi" w:hAnsiTheme="minorHAnsi" w:cstheme="minorHAnsi"/>
                <w:b/>
                <w:sz w:val="21"/>
                <w:szCs w:val="21"/>
              </w:rPr>
            </w:pPr>
            <w:r w:rsidRPr="00E01239">
              <w:rPr>
                <w:rFonts w:asciiTheme="minorHAnsi" w:hAnsiTheme="minorHAnsi" w:cstheme="minorHAnsi"/>
                <w:b/>
                <w:sz w:val="21"/>
                <w:szCs w:val="21"/>
              </w:rPr>
              <w:t>Responsabilités</w:t>
            </w:r>
          </w:p>
        </w:tc>
      </w:tr>
      <w:tr w:rsidR="00DA3DF6" w:rsidRPr="00E01239" w14:paraId="1FBDD2D8" w14:textId="77777777" w:rsidTr="7CB1727A">
        <w:trPr>
          <w:trHeight w:val="3105"/>
          <w:jc w:val="center"/>
        </w:trPr>
        <w:tc>
          <w:tcPr>
            <w:tcW w:w="1214" w:type="pct"/>
            <w:shd w:val="clear" w:color="auto" w:fill="auto"/>
            <w:vAlign w:val="center"/>
          </w:tcPr>
          <w:p w14:paraId="0C2DFAF3" w14:textId="77777777" w:rsidR="00DA3DF6" w:rsidRPr="00E01239" w:rsidRDefault="00DA3DF6" w:rsidP="00047AA4">
            <w:pPr>
              <w:pStyle w:val="Paragraphedeliste"/>
              <w:numPr>
                <w:ilvl w:val="0"/>
                <w:numId w:val="189"/>
              </w:numPr>
              <w:ind w:left="312"/>
              <w:rPr>
                <w:rFonts w:asciiTheme="minorHAnsi" w:hAnsiTheme="minorHAnsi" w:cstheme="minorHAnsi"/>
                <w:sz w:val="22"/>
                <w:szCs w:val="22"/>
              </w:rPr>
            </w:pPr>
            <w:r w:rsidRPr="00E01239">
              <w:rPr>
                <w:rFonts w:asciiTheme="minorHAnsi" w:hAnsiTheme="minorHAnsi" w:cstheme="minorHAnsi"/>
                <w:sz w:val="22"/>
                <w:szCs w:val="22"/>
              </w:rPr>
              <w:t>UCP FSRP/MEPA</w:t>
            </w:r>
          </w:p>
          <w:p w14:paraId="5B00FA77" w14:textId="77777777" w:rsidR="00DA3DF6" w:rsidRPr="00E01239" w:rsidRDefault="00DA3DF6" w:rsidP="00047AA4">
            <w:pPr>
              <w:pStyle w:val="Paragraphedeliste"/>
              <w:numPr>
                <w:ilvl w:val="0"/>
                <w:numId w:val="189"/>
              </w:numPr>
              <w:ind w:left="312"/>
              <w:rPr>
                <w:rFonts w:asciiTheme="minorHAnsi" w:hAnsiTheme="minorHAnsi" w:cstheme="minorHAnsi"/>
                <w:sz w:val="21"/>
                <w:szCs w:val="21"/>
              </w:rPr>
            </w:pPr>
            <w:r w:rsidRPr="00E01239">
              <w:rPr>
                <w:rFonts w:asciiTheme="minorHAnsi" w:hAnsiTheme="minorHAnsi" w:cstheme="minorHAnsi"/>
                <w:sz w:val="22"/>
                <w:szCs w:val="22"/>
              </w:rPr>
              <w:t>UCP FSRP/MAERSA</w:t>
            </w:r>
          </w:p>
        </w:tc>
        <w:tc>
          <w:tcPr>
            <w:tcW w:w="3786" w:type="pct"/>
            <w:shd w:val="clear" w:color="auto" w:fill="auto"/>
            <w:vAlign w:val="center"/>
          </w:tcPr>
          <w:p w14:paraId="4F959E4A" w14:textId="36B01C2B"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Gestion f</w:t>
            </w:r>
            <w:r w:rsidR="003E7128" w:rsidRPr="00E01239">
              <w:rPr>
                <w:rFonts w:asciiTheme="minorHAnsi" w:hAnsiTheme="minorHAnsi" w:cstheme="minorHAnsi"/>
                <w:sz w:val="21"/>
                <w:szCs w:val="21"/>
              </w:rPr>
              <w:t xml:space="preserve">iduciaire </w:t>
            </w:r>
            <w:r w:rsidRPr="00E01239">
              <w:rPr>
                <w:rFonts w:asciiTheme="minorHAnsi" w:hAnsiTheme="minorHAnsi" w:cstheme="minorHAnsi"/>
                <w:sz w:val="21"/>
                <w:szCs w:val="21"/>
              </w:rPr>
              <w:t>des activités environnementales et sociales du Projet</w:t>
            </w:r>
          </w:p>
          <w:p w14:paraId="39E66EC6" w14:textId="1D357836"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Coordination du suivi des aspects environnementaux et sociaux et l’interface avec les autres acteurs</w:t>
            </w:r>
          </w:p>
          <w:p w14:paraId="58347F5D" w14:textId="27517A3F"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 xml:space="preserve">Coordination de la mise en œuvre des Programmes d’Information, d’Éducation et de Sensibilisation avec les autres parties prenantes afin d’informer sur la nature des activités du Projet et les enjeux environnementaux et sociaux lors de la mise en œuvre des activités du projet  </w:t>
            </w:r>
          </w:p>
          <w:p w14:paraId="71070007" w14:textId="6D6AE074"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 xml:space="preserve">Sélection environnementale </w:t>
            </w:r>
            <w:r w:rsidR="00A03373" w:rsidRPr="00E01239">
              <w:rPr>
                <w:rFonts w:asciiTheme="minorHAnsi" w:hAnsiTheme="minorHAnsi" w:cstheme="minorHAnsi"/>
                <w:sz w:val="21"/>
                <w:szCs w:val="21"/>
              </w:rPr>
              <w:t xml:space="preserve">et sociale </w:t>
            </w:r>
            <w:r w:rsidRPr="00E01239">
              <w:rPr>
                <w:rFonts w:asciiTheme="minorHAnsi" w:hAnsiTheme="minorHAnsi" w:cstheme="minorHAnsi"/>
                <w:sz w:val="21"/>
                <w:szCs w:val="21"/>
              </w:rPr>
              <w:t>des sous-projets</w:t>
            </w:r>
          </w:p>
          <w:p w14:paraId="3499064D"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Elaboration des termes de référence et recrutement des consultants en charge de l’élaboration des études environnementales et sociales</w:t>
            </w:r>
          </w:p>
          <w:p w14:paraId="6D939841"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Approbation des livrables</w:t>
            </w:r>
          </w:p>
          <w:p w14:paraId="5244DF1D" w14:textId="27700C81"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Intégration des clauses environnementales</w:t>
            </w:r>
            <w:r w:rsidR="000A595A" w:rsidRPr="00E01239">
              <w:rPr>
                <w:rFonts w:asciiTheme="minorHAnsi" w:hAnsiTheme="minorHAnsi" w:cstheme="minorHAnsi"/>
                <w:sz w:val="21"/>
                <w:szCs w:val="21"/>
              </w:rPr>
              <w:t xml:space="preserve"> et sociales</w:t>
            </w:r>
            <w:r w:rsidRPr="00E01239">
              <w:rPr>
                <w:rFonts w:asciiTheme="minorHAnsi" w:hAnsiTheme="minorHAnsi" w:cstheme="minorHAnsi"/>
                <w:sz w:val="21"/>
                <w:szCs w:val="21"/>
              </w:rPr>
              <w:t xml:space="preserve"> dans les DAO</w:t>
            </w:r>
          </w:p>
          <w:p w14:paraId="37302BC9"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Validation des profils des experts HSE recrutés par les entreprises de travaux et les missions de contrôle</w:t>
            </w:r>
          </w:p>
          <w:p w14:paraId="4E0C861A"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Approbation des rapports de surveillance environnementale et sociale</w:t>
            </w:r>
          </w:p>
          <w:p w14:paraId="5181633E"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Suivi de la mise en œuvre des plans de réinstallation</w:t>
            </w:r>
          </w:p>
          <w:p w14:paraId="6BC92C85"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Evaluation à mi-parcours et finale du Projet</w:t>
            </w:r>
          </w:p>
        </w:tc>
      </w:tr>
      <w:tr w:rsidR="00DA3DF6" w:rsidRPr="00E01239" w14:paraId="0C36DEF1" w14:textId="77777777" w:rsidTr="7CB1727A">
        <w:trPr>
          <w:trHeight w:val="1102"/>
          <w:jc w:val="center"/>
        </w:trPr>
        <w:tc>
          <w:tcPr>
            <w:tcW w:w="1214" w:type="pct"/>
            <w:shd w:val="clear" w:color="auto" w:fill="auto"/>
            <w:vAlign w:val="center"/>
          </w:tcPr>
          <w:p w14:paraId="504E6AEE" w14:textId="77777777" w:rsidR="00DA3DF6" w:rsidRPr="00E01239" w:rsidRDefault="00DA3DF6" w:rsidP="00F43E8A">
            <w:pPr>
              <w:rPr>
                <w:rFonts w:asciiTheme="minorHAnsi" w:hAnsiTheme="minorHAnsi" w:cstheme="minorHAnsi"/>
                <w:bCs/>
                <w:sz w:val="22"/>
                <w:szCs w:val="22"/>
              </w:rPr>
            </w:pPr>
            <w:r w:rsidRPr="00E01239">
              <w:rPr>
                <w:rFonts w:asciiTheme="minorHAnsi" w:hAnsiTheme="minorHAnsi" w:cstheme="minorHAnsi"/>
                <w:bCs/>
                <w:sz w:val="22"/>
                <w:szCs w:val="22"/>
              </w:rPr>
              <w:t xml:space="preserve">Direction de l’Environnement et des Etablissements Classés (DEEC) &amp; Divisions Régionales de l’Environnement et des Etablissements Classés (DREEC)  </w:t>
            </w:r>
          </w:p>
        </w:tc>
        <w:tc>
          <w:tcPr>
            <w:tcW w:w="3786" w:type="pct"/>
            <w:shd w:val="clear" w:color="auto" w:fill="auto"/>
            <w:vAlign w:val="center"/>
          </w:tcPr>
          <w:p w14:paraId="6B690AB8"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Approbation des études environnementales et sociales des sous-projets</w:t>
            </w:r>
          </w:p>
          <w:p w14:paraId="37CD2204"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Délivrance des certificats de conformité environnementale et sociale</w:t>
            </w:r>
            <w:r w:rsidRPr="00E01239" w:rsidDel="006266F1">
              <w:rPr>
                <w:rFonts w:asciiTheme="minorHAnsi" w:hAnsiTheme="minorHAnsi" w:cstheme="minorHAnsi"/>
                <w:sz w:val="21"/>
                <w:szCs w:val="21"/>
              </w:rPr>
              <w:t xml:space="preserve"> </w:t>
            </w:r>
          </w:p>
          <w:p w14:paraId="539EBFF4" w14:textId="7BCB996D"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Suivi (national/local) de conformité de la mise en œuvre des mesures environnementales et sociales, hygiène, santé et sécurité du Projet</w:t>
            </w:r>
          </w:p>
        </w:tc>
      </w:tr>
      <w:tr w:rsidR="00DA3DF6" w:rsidRPr="00E01239" w14:paraId="1D315724" w14:textId="77777777" w:rsidTr="7CB1727A">
        <w:trPr>
          <w:trHeight w:val="824"/>
          <w:jc w:val="center"/>
        </w:trPr>
        <w:tc>
          <w:tcPr>
            <w:tcW w:w="1214" w:type="pct"/>
            <w:shd w:val="clear" w:color="auto" w:fill="auto"/>
            <w:vAlign w:val="center"/>
          </w:tcPr>
          <w:p w14:paraId="30137B39" w14:textId="77777777" w:rsidR="00DA3DF6" w:rsidRPr="00E01239" w:rsidRDefault="00DA3DF6" w:rsidP="00F43E8A">
            <w:pPr>
              <w:rPr>
                <w:rFonts w:asciiTheme="minorHAnsi" w:hAnsiTheme="minorHAnsi" w:cstheme="minorHAnsi"/>
                <w:bCs/>
                <w:sz w:val="22"/>
                <w:szCs w:val="22"/>
              </w:rPr>
            </w:pPr>
            <w:r w:rsidRPr="00E01239">
              <w:rPr>
                <w:rFonts w:asciiTheme="minorHAnsi" w:hAnsiTheme="minorHAnsi" w:cstheme="minorHAnsi"/>
                <w:bCs/>
                <w:sz w:val="22"/>
                <w:szCs w:val="22"/>
              </w:rPr>
              <w:lastRenderedPageBreak/>
              <w:t xml:space="preserve">Comités Régionaux de Suivi Environnemental (CRSE)  </w:t>
            </w:r>
          </w:p>
        </w:tc>
        <w:tc>
          <w:tcPr>
            <w:tcW w:w="3786" w:type="pct"/>
            <w:shd w:val="clear" w:color="auto" w:fill="auto"/>
            <w:vAlign w:val="center"/>
          </w:tcPr>
          <w:p w14:paraId="766B11F8"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Appui à l’approbation des études environnementales et sociales des sous-projets</w:t>
            </w:r>
          </w:p>
          <w:p w14:paraId="049D5640"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Suivi (contrôle régalien) environnemental et social, sous la coordination des DREEC</w:t>
            </w:r>
          </w:p>
          <w:p w14:paraId="2302922B" w14:textId="4602919B"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 xml:space="preserve">Participer au </w:t>
            </w:r>
            <w:r w:rsidR="0075784C">
              <w:rPr>
                <w:rFonts w:asciiTheme="minorHAnsi" w:hAnsiTheme="minorHAnsi" w:cstheme="minorHAnsi"/>
                <w:sz w:val="21"/>
                <w:szCs w:val="21"/>
              </w:rPr>
              <w:t>renseignement</w:t>
            </w:r>
            <w:r w:rsidR="0075784C" w:rsidRPr="00E01239">
              <w:rPr>
                <w:rFonts w:asciiTheme="minorHAnsi" w:hAnsiTheme="minorHAnsi" w:cstheme="minorHAnsi"/>
                <w:sz w:val="21"/>
                <w:szCs w:val="21"/>
              </w:rPr>
              <w:t xml:space="preserve"> </w:t>
            </w:r>
            <w:r w:rsidRPr="00E01239">
              <w:rPr>
                <w:rFonts w:asciiTheme="minorHAnsi" w:hAnsiTheme="minorHAnsi" w:cstheme="minorHAnsi"/>
                <w:sz w:val="21"/>
                <w:szCs w:val="21"/>
              </w:rPr>
              <w:t>du formulaire de screening</w:t>
            </w:r>
          </w:p>
          <w:p w14:paraId="34AE48F3"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Suivre la mise en œuvre des aspects environnementaux et sociaux des activités</w:t>
            </w:r>
          </w:p>
        </w:tc>
      </w:tr>
      <w:tr w:rsidR="00DA3DF6" w:rsidRPr="00E01239" w14:paraId="2265ABE0" w14:textId="77777777" w:rsidTr="7CB1727A">
        <w:trPr>
          <w:trHeight w:val="824"/>
          <w:jc w:val="center"/>
        </w:trPr>
        <w:tc>
          <w:tcPr>
            <w:tcW w:w="1214" w:type="pct"/>
            <w:shd w:val="clear" w:color="auto" w:fill="auto"/>
            <w:vAlign w:val="center"/>
          </w:tcPr>
          <w:p w14:paraId="08E8B0C9" w14:textId="77777777" w:rsidR="00DA3DF6" w:rsidRPr="00E01239" w:rsidRDefault="00DA3DF6" w:rsidP="00F43E8A">
            <w:pPr>
              <w:rPr>
                <w:rFonts w:asciiTheme="minorHAnsi" w:hAnsiTheme="minorHAnsi" w:cstheme="minorHAnsi"/>
                <w:bCs/>
                <w:sz w:val="22"/>
                <w:szCs w:val="22"/>
              </w:rPr>
            </w:pPr>
            <w:r w:rsidRPr="00E01239">
              <w:rPr>
                <w:rFonts w:asciiTheme="minorHAnsi" w:hAnsiTheme="minorHAnsi" w:cstheme="minorHAnsi"/>
                <w:bCs/>
                <w:sz w:val="22"/>
                <w:szCs w:val="22"/>
              </w:rPr>
              <w:t>Direction de la Protection des Végétaux</w:t>
            </w:r>
          </w:p>
        </w:tc>
        <w:tc>
          <w:tcPr>
            <w:tcW w:w="3786" w:type="pct"/>
            <w:shd w:val="clear" w:color="auto" w:fill="auto"/>
            <w:vAlign w:val="center"/>
          </w:tcPr>
          <w:p w14:paraId="61D2C50B"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Appui à l’élaboration du plan de gestion des pestes et pesticides</w:t>
            </w:r>
          </w:p>
          <w:p w14:paraId="6DDE0F69"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Identification des zones vulnérables en termes d’introduction de produits non homologués</w:t>
            </w:r>
          </w:p>
          <w:p w14:paraId="7B0215DE"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Identification des filières de gestion des contenants vides de pesticides</w:t>
            </w:r>
          </w:p>
          <w:p w14:paraId="1A0DE70D"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Appui aux initiatives de lutte contre les nuisibles</w:t>
            </w:r>
          </w:p>
        </w:tc>
      </w:tr>
      <w:tr w:rsidR="00DA3DF6" w:rsidRPr="00E01239" w14:paraId="1DE3F6EA" w14:textId="77777777" w:rsidTr="7CB1727A">
        <w:trPr>
          <w:trHeight w:val="824"/>
          <w:jc w:val="center"/>
        </w:trPr>
        <w:tc>
          <w:tcPr>
            <w:tcW w:w="1214" w:type="pct"/>
            <w:shd w:val="clear" w:color="auto" w:fill="auto"/>
            <w:vAlign w:val="center"/>
          </w:tcPr>
          <w:p w14:paraId="317F7529" w14:textId="4CC9E2EF" w:rsidR="00DA3DF6" w:rsidRPr="00E01239" w:rsidRDefault="00DA3DF6" w:rsidP="00F43E8A">
            <w:pPr>
              <w:rPr>
                <w:rFonts w:asciiTheme="minorHAnsi" w:hAnsiTheme="minorHAnsi" w:cstheme="minorHAnsi"/>
                <w:bCs/>
                <w:sz w:val="22"/>
                <w:szCs w:val="22"/>
              </w:rPr>
            </w:pPr>
            <w:r w:rsidRPr="00E01239">
              <w:rPr>
                <w:rFonts w:asciiTheme="minorHAnsi" w:hAnsiTheme="minorHAnsi" w:cstheme="minorHAnsi"/>
                <w:bCs/>
                <w:sz w:val="22"/>
                <w:szCs w:val="22"/>
              </w:rPr>
              <w:t xml:space="preserve">Centre de suivi </w:t>
            </w:r>
            <w:r w:rsidR="00BF526A" w:rsidRPr="00E01239">
              <w:rPr>
                <w:rFonts w:asciiTheme="minorHAnsi" w:hAnsiTheme="minorHAnsi" w:cstheme="minorHAnsi"/>
                <w:bCs/>
                <w:sz w:val="22"/>
                <w:szCs w:val="22"/>
              </w:rPr>
              <w:t>écologique</w:t>
            </w:r>
            <w:r w:rsidR="00F43E8A" w:rsidRPr="00E01239">
              <w:rPr>
                <w:rFonts w:asciiTheme="minorHAnsi" w:hAnsiTheme="minorHAnsi" w:cstheme="minorHAnsi"/>
                <w:bCs/>
                <w:sz w:val="22"/>
                <w:szCs w:val="22"/>
              </w:rPr>
              <w:t xml:space="preserve"> (CSE)</w:t>
            </w:r>
          </w:p>
        </w:tc>
        <w:tc>
          <w:tcPr>
            <w:tcW w:w="3786" w:type="pct"/>
            <w:shd w:val="clear" w:color="auto" w:fill="auto"/>
            <w:vAlign w:val="center"/>
          </w:tcPr>
          <w:p w14:paraId="01BE75FF"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Identification des zones à forte valeur écologique dans la zone d’intervention du FRSP-SN</w:t>
            </w:r>
          </w:p>
          <w:p w14:paraId="02C171C9"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 xml:space="preserve">Appui dans l’élaboration des plans d’occupation des sols </w:t>
            </w:r>
          </w:p>
          <w:p w14:paraId="49FCDE68" w14:textId="77777777" w:rsidR="00DA3DF6" w:rsidRPr="00E01239" w:rsidRDefault="00DA3DF6"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Renforcement du plan de lutte contre les feux de brousse</w:t>
            </w:r>
          </w:p>
          <w:p w14:paraId="1C31FBFF" w14:textId="77777777" w:rsidR="007F458F" w:rsidRPr="00E01239" w:rsidRDefault="007F458F" w:rsidP="007F458F">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Suivi et évaluation des ressources pastorales (pâturages, eau…)</w:t>
            </w:r>
          </w:p>
          <w:p w14:paraId="449D3297" w14:textId="77777777" w:rsidR="007F458F" w:rsidRPr="00E01239" w:rsidRDefault="007F458F" w:rsidP="007F458F">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HAnsi"/>
                <w:sz w:val="21"/>
                <w:szCs w:val="21"/>
              </w:rPr>
              <w:t>Cartographie des ressources et infrastructures …</w:t>
            </w:r>
          </w:p>
          <w:p w14:paraId="5236DDB3" w14:textId="5DAA933C" w:rsidR="007F458F" w:rsidRPr="00E01239" w:rsidRDefault="5CF37464" w:rsidP="007F458F">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Appui aux initiatives de lutte contre les changements climatiques…</w:t>
            </w:r>
          </w:p>
        </w:tc>
      </w:tr>
      <w:tr w:rsidR="00DA3DF6" w:rsidRPr="00E01239" w14:paraId="090E7489" w14:textId="77777777" w:rsidTr="7CB1727A">
        <w:trPr>
          <w:trHeight w:val="824"/>
          <w:jc w:val="center"/>
        </w:trPr>
        <w:tc>
          <w:tcPr>
            <w:tcW w:w="1214" w:type="pct"/>
            <w:shd w:val="clear" w:color="auto" w:fill="auto"/>
            <w:vAlign w:val="center"/>
          </w:tcPr>
          <w:p w14:paraId="4D842781" w14:textId="11EF3FA7" w:rsidR="00DA3DF6" w:rsidRPr="00E01239" w:rsidRDefault="00F43E8A" w:rsidP="00F43E8A">
            <w:pPr>
              <w:rPr>
                <w:rFonts w:asciiTheme="minorHAnsi" w:hAnsiTheme="minorHAnsi" w:cstheme="minorHAnsi"/>
                <w:bCs/>
                <w:sz w:val="22"/>
                <w:szCs w:val="22"/>
              </w:rPr>
            </w:pPr>
            <w:r w:rsidRPr="00E01239">
              <w:rPr>
                <w:rFonts w:asciiTheme="minorHAnsi" w:hAnsiTheme="minorHAnsi" w:cstheme="minorHAnsi"/>
                <w:bCs/>
                <w:sz w:val="22"/>
                <w:szCs w:val="22"/>
              </w:rPr>
              <w:t>Société d'Aménagement et d'Exploitation des Terres du Delta du Fleuve Sénégal (</w:t>
            </w:r>
            <w:r w:rsidR="00DA3DF6" w:rsidRPr="00E01239">
              <w:rPr>
                <w:rFonts w:asciiTheme="minorHAnsi" w:hAnsiTheme="minorHAnsi" w:cstheme="minorHAnsi"/>
                <w:bCs/>
                <w:sz w:val="22"/>
                <w:szCs w:val="22"/>
              </w:rPr>
              <w:t>SAED</w:t>
            </w:r>
            <w:r w:rsidRPr="00E01239">
              <w:rPr>
                <w:rFonts w:asciiTheme="minorHAnsi" w:hAnsiTheme="minorHAnsi" w:cstheme="minorHAnsi"/>
                <w:bCs/>
                <w:sz w:val="22"/>
                <w:szCs w:val="22"/>
              </w:rPr>
              <w:t>)</w:t>
            </w:r>
          </w:p>
        </w:tc>
        <w:tc>
          <w:tcPr>
            <w:tcW w:w="3786" w:type="pct"/>
            <w:shd w:val="clear" w:color="auto" w:fill="auto"/>
            <w:vAlign w:val="center"/>
          </w:tcPr>
          <w:p w14:paraId="61EC580D" w14:textId="77777777" w:rsidR="00DA3DF6" w:rsidRPr="00E01239" w:rsidRDefault="65D974F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Capitalisation des expériences récentes de la SAED en matière de mise en œuvre de projets d’aménagements hydroagricoles</w:t>
            </w:r>
          </w:p>
          <w:p w14:paraId="42FAE2E8" w14:textId="7813B9DF" w:rsidR="00DA3DF6" w:rsidRPr="00E01239" w:rsidRDefault="65D974F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 xml:space="preserve">Appui à la détermination des techniques d’irrigation basées sur la technologique </w:t>
            </w:r>
            <w:r w:rsidR="4904A8A5" w:rsidRPr="00E01239">
              <w:rPr>
                <w:rFonts w:asciiTheme="minorHAnsi" w:hAnsiTheme="minorHAnsi" w:cstheme="minorBidi"/>
                <w:sz w:val="21"/>
                <w:szCs w:val="21"/>
              </w:rPr>
              <w:t>photovoltaïque</w:t>
            </w:r>
          </w:p>
          <w:p w14:paraId="2DDFC59C" w14:textId="77777777" w:rsidR="00DA3DF6" w:rsidRPr="00E01239" w:rsidRDefault="65D974F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Appui à la détermination de solutions alternatives de gestion des eaux de drainage</w:t>
            </w:r>
          </w:p>
          <w:p w14:paraId="7CACB7A7" w14:textId="77777777" w:rsidR="00DA3DF6" w:rsidRPr="00E01239" w:rsidRDefault="65D974F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Appui à l’identification de plans organisationnels de renforcement des producteurs sur les bonnes pratiques en matière de gestion des engrais chimiques, des pesticides et autres matières dangereuses</w:t>
            </w:r>
          </w:p>
        </w:tc>
      </w:tr>
      <w:tr w:rsidR="00DA3DF6" w:rsidRPr="00E01239" w14:paraId="7AEFA2C0" w14:textId="77777777" w:rsidTr="7CB1727A">
        <w:trPr>
          <w:trHeight w:val="697"/>
          <w:jc w:val="center"/>
        </w:trPr>
        <w:tc>
          <w:tcPr>
            <w:tcW w:w="1214" w:type="pct"/>
            <w:shd w:val="clear" w:color="auto" w:fill="auto"/>
            <w:vAlign w:val="center"/>
          </w:tcPr>
          <w:p w14:paraId="0A9970C8" w14:textId="77777777" w:rsidR="00DA3DF6" w:rsidRPr="00E01239" w:rsidRDefault="00DA3DF6" w:rsidP="00F43E8A">
            <w:pPr>
              <w:rPr>
                <w:rFonts w:asciiTheme="minorHAnsi" w:hAnsiTheme="minorHAnsi" w:cstheme="minorHAnsi"/>
                <w:bCs/>
                <w:sz w:val="22"/>
                <w:szCs w:val="22"/>
              </w:rPr>
            </w:pPr>
            <w:r w:rsidRPr="00E01239">
              <w:rPr>
                <w:rFonts w:asciiTheme="minorHAnsi" w:hAnsiTheme="minorHAnsi" w:cstheme="minorHAnsi"/>
                <w:bCs/>
                <w:sz w:val="22"/>
                <w:szCs w:val="22"/>
              </w:rPr>
              <w:t xml:space="preserve">Entreprises contractantes </w:t>
            </w:r>
          </w:p>
        </w:tc>
        <w:tc>
          <w:tcPr>
            <w:tcW w:w="3786" w:type="pct"/>
            <w:shd w:val="clear" w:color="auto" w:fill="auto"/>
            <w:vAlign w:val="center"/>
          </w:tcPr>
          <w:p w14:paraId="3B88674C" w14:textId="77777777" w:rsidR="00DA3DF6" w:rsidRPr="00E01239" w:rsidRDefault="65D974F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Préparer et mettre en œuvre leurs propres PGES-Chantier, incluant le plan Santé et Sécurité. A cet effet, les entreprises devront disposer d’une équipe composée d’un spécialiste en Santé - Sécurité et d’un Environnementaliste</w:t>
            </w:r>
          </w:p>
        </w:tc>
      </w:tr>
      <w:tr w:rsidR="00DA3DF6" w:rsidRPr="00E01239" w14:paraId="5F6FFD78" w14:textId="77777777" w:rsidTr="7CB1727A">
        <w:trPr>
          <w:trHeight w:val="539"/>
          <w:jc w:val="center"/>
        </w:trPr>
        <w:tc>
          <w:tcPr>
            <w:tcW w:w="1214" w:type="pct"/>
            <w:shd w:val="clear" w:color="auto" w:fill="auto"/>
            <w:vAlign w:val="center"/>
          </w:tcPr>
          <w:p w14:paraId="56439F47" w14:textId="77777777" w:rsidR="00DA3DF6" w:rsidRPr="00E01239" w:rsidRDefault="00DA3DF6" w:rsidP="00F43E8A">
            <w:pPr>
              <w:rPr>
                <w:rFonts w:asciiTheme="minorHAnsi" w:hAnsiTheme="minorHAnsi" w:cstheme="minorHAnsi"/>
                <w:bCs/>
                <w:sz w:val="22"/>
                <w:szCs w:val="22"/>
              </w:rPr>
            </w:pPr>
            <w:r w:rsidRPr="00E01239">
              <w:rPr>
                <w:rFonts w:asciiTheme="minorHAnsi" w:hAnsiTheme="minorHAnsi" w:cstheme="minorHAnsi"/>
                <w:bCs/>
                <w:sz w:val="22"/>
                <w:szCs w:val="22"/>
              </w:rPr>
              <w:t xml:space="preserve">Consultants (consultant individuel ou Bureaux d’études et de contrôle) </w:t>
            </w:r>
          </w:p>
        </w:tc>
        <w:tc>
          <w:tcPr>
            <w:tcW w:w="3786" w:type="pct"/>
            <w:shd w:val="clear" w:color="auto" w:fill="auto"/>
            <w:vAlign w:val="center"/>
          </w:tcPr>
          <w:p w14:paraId="7B42469F" w14:textId="27CE920E" w:rsidR="00DA3DF6" w:rsidRPr="00E01239" w:rsidRDefault="65D974F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 xml:space="preserve">Assurer le contrôle de l’effectivité et de l’efficience de l’exécution des mesures environnementales et sociales </w:t>
            </w:r>
          </w:p>
          <w:p w14:paraId="389C4E2E" w14:textId="3AC5E83F" w:rsidR="00DA3DF6" w:rsidRPr="00E01239" w:rsidRDefault="65D974F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Assurer le suivi de la mise en œuvre des PGES-Chantier, en ayant dans leur équipe un superviseur spécialisé en Hygiène-Sécurité-Environnement</w:t>
            </w:r>
          </w:p>
        </w:tc>
      </w:tr>
      <w:tr w:rsidR="00DA3DF6" w:rsidRPr="00E01239" w14:paraId="57D24BE7" w14:textId="77777777" w:rsidTr="7CB1727A">
        <w:trPr>
          <w:trHeight w:val="707"/>
          <w:jc w:val="center"/>
        </w:trPr>
        <w:tc>
          <w:tcPr>
            <w:tcW w:w="1214" w:type="pct"/>
            <w:shd w:val="clear" w:color="auto" w:fill="auto"/>
            <w:vAlign w:val="center"/>
          </w:tcPr>
          <w:p w14:paraId="665BDEBA" w14:textId="18EBF223" w:rsidR="00DA3DF6" w:rsidRPr="00E01239" w:rsidRDefault="00662819" w:rsidP="00F43E8A">
            <w:pPr>
              <w:rPr>
                <w:rFonts w:asciiTheme="minorHAnsi" w:hAnsiTheme="minorHAnsi" w:cstheme="minorHAnsi"/>
                <w:bCs/>
                <w:sz w:val="22"/>
                <w:szCs w:val="22"/>
              </w:rPr>
            </w:pPr>
            <w:r w:rsidRPr="00E01239">
              <w:rPr>
                <w:rFonts w:asciiTheme="minorHAnsi" w:hAnsiTheme="minorHAnsi" w:cstheme="minorHAnsi"/>
                <w:bCs/>
                <w:sz w:val="22"/>
                <w:szCs w:val="22"/>
              </w:rPr>
              <w:t>Organisations</w:t>
            </w:r>
            <w:r w:rsidR="00F43E8A" w:rsidRPr="00E01239">
              <w:rPr>
                <w:rFonts w:asciiTheme="minorHAnsi" w:hAnsiTheme="minorHAnsi" w:cstheme="minorHAnsi"/>
                <w:bCs/>
                <w:sz w:val="22"/>
                <w:szCs w:val="22"/>
              </w:rPr>
              <w:t xml:space="preserve"> de la société civile (O</w:t>
            </w:r>
            <w:r w:rsidR="00DA3DF6" w:rsidRPr="00E01239">
              <w:rPr>
                <w:rFonts w:asciiTheme="minorHAnsi" w:hAnsiTheme="minorHAnsi" w:cstheme="minorHAnsi"/>
                <w:bCs/>
                <w:sz w:val="22"/>
                <w:szCs w:val="22"/>
              </w:rPr>
              <w:t>SC</w:t>
            </w:r>
            <w:r w:rsidR="00F43E8A" w:rsidRPr="00E01239">
              <w:rPr>
                <w:rFonts w:asciiTheme="minorHAnsi" w:hAnsiTheme="minorHAnsi" w:cstheme="minorHAnsi"/>
                <w:bCs/>
                <w:sz w:val="22"/>
                <w:szCs w:val="22"/>
              </w:rPr>
              <w:t>)</w:t>
            </w:r>
            <w:r w:rsidR="00DA3DF6" w:rsidRPr="00E01239">
              <w:rPr>
                <w:rFonts w:asciiTheme="minorHAnsi" w:hAnsiTheme="minorHAnsi" w:cstheme="minorHAnsi"/>
                <w:bCs/>
                <w:sz w:val="22"/>
                <w:szCs w:val="22"/>
              </w:rPr>
              <w:t xml:space="preserve"> et O</w:t>
            </w:r>
            <w:r w:rsidR="00F43E8A" w:rsidRPr="00E01239">
              <w:rPr>
                <w:rFonts w:asciiTheme="minorHAnsi" w:hAnsiTheme="minorHAnsi" w:cstheme="minorHAnsi"/>
                <w:bCs/>
                <w:sz w:val="22"/>
                <w:szCs w:val="22"/>
              </w:rPr>
              <w:t>rganisations communautaires de base (O</w:t>
            </w:r>
            <w:r w:rsidR="00DA3DF6" w:rsidRPr="00E01239">
              <w:rPr>
                <w:rFonts w:asciiTheme="minorHAnsi" w:hAnsiTheme="minorHAnsi" w:cstheme="minorHAnsi"/>
                <w:bCs/>
                <w:sz w:val="22"/>
                <w:szCs w:val="22"/>
              </w:rPr>
              <w:t>CB</w:t>
            </w:r>
            <w:r w:rsidR="00F43E8A" w:rsidRPr="00E01239">
              <w:rPr>
                <w:rFonts w:asciiTheme="minorHAnsi" w:hAnsiTheme="minorHAnsi" w:cstheme="minorHAnsi"/>
                <w:bCs/>
                <w:sz w:val="22"/>
                <w:szCs w:val="22"/>
              </w:rPr>
              <w:t>)</w:t>
            </w:r>
            <w:r w:rsidR="00DA3DF6" w:rsidRPr="00E01239">
              <w:rPr>
                <w:rFonts w:asciiTheme="minorHAnsi" w:hAnsiTheme="minorHAnsi" w:cstheme="minorHAnsi"/>
                <w:bCs/>
                <w:sz w:val="22"/>
                <w:szCs w:val="22"/>
              </w:rPr>
              <w:t>, les Populations</w:t>
            </w:r>
          </w:p>
        </w:tc>
        <w:tc>
          <w:tcPr>
            <w:tcW w:w="3786" w:type="pct"/>
            <w:shd w:val="clear" w:color="auto" w:fill="auto"/>
            <w:vAlign w:val="center"/>
          </w:tcPr>
          <w:p w14:paraId="6D7C6241" w14:textId="2EB4DC44" w:rsidR="00DA3DF6" w:rsidRPr="00E01239" w:rsidRDefault="65D974F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Participer au suivi de proximité de la mise en œuvre des recommandations du PGES et du PMPP, surtout à l’information et la sensibilisation des populations</w:t>
            </w:r>
          </w:p>
        </w:tc>
      </w:tr>
    </w:tbl>
    <w:p w14:paraId="39B6B329" w14:textId="77777777" w:rsidR="00DA3DF6" w:rsidRPr="00E01239" w:rsidRDefault="00DA3DF6" w:rsidP="00493CE2">
      <w:pPr>
        <w:jc w:val="both"/>
        <w:rPr>
          <w:rFonts w:asciiTheme="minorHAnsi" w:hAnsiTheme="minorHAnsi" w:cstheme="minorHAnsi"/>
          <w:b/>
          <w:color w:val="5B9BD5"/>
          <w:sz w:val="22"/>
          <w:szCs w:val="22"/>
        </w:rPr>
      </w:pPr>
    </w:p>
    <w:p w14:paraId="3104085B" w14:textId="77777777" w:rsidR="00DA3DF6" w:rsidRPr="00E01239" w:rsidRDefault="00DA3DF6" w:rsidP="00027669">
      <w:pPr>
        <w:numPr>
          <w:ilvl w:val="0"/>
          <w:numId w:val="180"/>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BUDGET DU CGES</w:t>
      </w:r>
    </w:p>
    <w:p w14:paraId="02C16A72" w14:textId="6B72F557" w:rsidR="00DA3DF6" w:rsidRPr="00E01239" w:rsidRDefault="00DA3DF6" w:rsidP="00DA3DF6">
      <w:pPr>
        <w:rPr>
          <w:rFonts w:asciiTheme="minorHAnsi" w:hAnsiTheme="minorHAnsi" w:cstheme="minorHAnsi"/>
          <w:sz w:val="22"/>
          <w:szCs w:val="22"/>
        </w:rPr>
      </w:pPr>
      <w:r w:rsidRPr="00E01239">
        <w:rPr>
          <w:rFonts w:asciiTheme="minorHAnsi" w:hAnsiTheme="minorHAnsi" w:cstheme="minorHAnsi"/>
          <w:sz w:val="22"/>
          <w:szCs w:val="22"/>
        </w:rPr>
        <w:t>Le budget de mise en œuvre</w:t>
      </w:r>
      <w:r w:rsidR="00EC5210" w:rsidRPr="00E01239">
        <w:rPr>
          <w:rFonts w:asciiTheme="minorHAnsi" w:hAnsiTheme="minorHAnsi" w:cstheme="minorHAnsi"/>
          <w:sz w:val="22"/>
          <w:szCs w:val="22"/>
        </w:rPr>
        <w:t>,</w:t>
      </w:r>
      <w:r w:rsidRPr="00E01239">
        <w:rPr>
          <w:rFonts w:asciiTheme="minorHAnsi" w:hAnsiTheme="minorHAnsi" w:cstheme="minorHAnsi"/>
          <w:sz w:val="22"/>
          <w:szCs w:val="22"/>
        </w:rPr>
        <w:t xml:space="preserve"> du Cadre de Gestion Environnementale et Sociale</w:t>
      </w:r>
      <w:r w:rsidR="00EC5210" w:rsidRPr="00E01239">
        <w:rPr>
          <w:rFonts w:asciiTheme="minorHAnsi" w:hAnsiTheme="minorHAnsi" w:cstheme="minorHAnsi"/>
          <w:sz w:val="22"/>
          <w:szCs w:val="22"/>
        </w:rPr>
        <w:t>,</w:t>
      </w:r>
      <w:r w:rsidRPr="00E01239">
        <w:rPr>
          <w:rFonts w:asciiTheme="minorHAnsi" w:hAnsiTheme="minorHAnsi" w:cstheme="minorHAnsi"/>
          <w:sz w:val="22"/>
          <w:szCs w:val="22"/>
        </w:rPr>
        <w:t xml:space="preserve"> est évalué à la somme de </w:t>
      </w:r>
      <w:r w:rsidRPr="00E01239">
        <w:rPr>
          <w:rFonts w:asciiTheme="minorHAnsi" w:hAnsiTheme="minorHAnsi" w:cstheme="minorHAnsi"/>
          <w:b/>
          <w:color w:val="000000"/>
          <w:sz w:val="22"/>
          <w:szCs w:val="22"/>
          <w:lang w:eastAsia="fr-SN"/>
        </w:rPr>
        <w:t xml:space="preserve">396 500 000 </w:t>
      </w:r>
      <w:r w:rsidRPr="00E01239">
        <w:rPr>
          <w:rFonts w:asciiTheme="minorHAnsi" w:hAnsiTheme="minorHAnsi" w:cstheme="minorHAnsi"/>
          <w:b/>
          <w:bCs/>
          <w:color w:val="000000"/>
          <w:sz w:val="22"/>
          <w:szCs w:val="22"/>
        </w:rPr>
        <w:t>F CFA soit environ 662.760,53</w:t>
      </w:r>
      <w:r w:rsidR="009773EC" w:rsidRPr="00E01239">
        <w:rPr>
          <w:rFonts w:asciiTheme="minorHAnsi" w:hAnsiTheme="minorHAnsi" w:cstheme="minorHAnsi"/>
          <w:b/>
          <w:bCs/>
          <w:color w:val="000000"/>
          <w:sz w:val="22"/>
          <w:szCs w:val="22"/>
        </w:rPr>
        <w:t xml:space="preserve"> </w:t>
      </w:r>
      <w:r w:rsidRPr="00E01239">
        <w:rPr>
          <w:rFonts w:asciiTheme="minorHAnsi" w:hAnsiTheme="minorHAnsi" w:cstheme="minorHAnsi"/>
          <w:b/>
          <w:bCs/>
          <w:color w:val="000000"/>
          <w:sz w:val="22"/>
          <w:szCs w:val="22"/>
        </w:rPr>
        <w:t>dollars</w:t>
      </w:r>
      <w:r w:rsidR="009773EC" w:rsidRPr="00E01239">
        <w:rPr>
          <w:rFonts w:asciiTheme="minorHAnsi" w:hAnsiTheme="minorHAnsi" w:cstheme="minorHAnsi"/>
          <w:b/>
          <w:bCs/>
          <w:color w:val="000000"/>
          <w:sz w:val="22"/>
          <w:szCs w:val="22"/>
        </w:rPr>
        <w:t xml:space="preserve"> USD</w:t>
      </w:r>
      <w:r w:rsidRPr="00E01239">
        <w:rPr>
          <w:rFonts w:asciiTheme="minorHAnsi" w:hAnsiTheme="minorHAnsi" w:cstheme="minorHAnsi"/>
          <w:b/>
          <w:bCs/>
          <w:color w:val="000000"/>
          <w:sz w:val="22"/>
          <w:szCs w:val="22"/>
        </w:rPr>
        <w:t>.</w:t>
      </w:r>
    </w:p>
    <w:p w14:paraId="511D53A8" w14:textId="77777777" w:rsidR="00DA3DF6" w:rsidRPr="00E01239" w:rsidRDefault="00DA3DF6" w:rsidP="00DA3DF6">
      <w:pPr>
        <w:rPr>
          <w:rFonts w:asciiTheme="minorHAnsi" w:hAnsiTheme="minorHAnsi" w:cstheme="minorHAnsi"/>
        </w:rPr>
      </w:pPr>
    </w:p>
    <w:p w14:paraId="43FC32C9" w14:textId="77777777" w:rsidR="00DA3DF6" w:rsidRPr="00E01239" w:rsidRDefault="00DA3DF6" w:rsidP="00E72157">
      <w:pPr>
        <w:rPr>
          <w:rFonts w:asciiTheme="minorHAnsi" w:hAnsiTheme="minorHAnsi" w:cstheme="minorHAnsi"/>
          <w:sz w:val="22"/>
          <w:szCs w:val="22"/>
          <w:lang w:eastAsia="x-none"/>
        </w:rPr>
      </w:pPr>
    </w:p>
    <w:p w14:paraId="3D6D48AD" w14:textId="77777777" w:rsidR="007A2AFD" w:rsidRPr="00E01239" w:rsidRDefault="007A2AFD" w:rsidP="007A2AFD">
      <w:pPr>
        <w:rPr>
          <w:rFonts w:asciiTheme="minorHAnsi" w:hAnsiTheme="minorHAnsi" w:cstheme="minorHAnsi"/>
          <w:sz w:val="22"/>
          <w:szCs w:val="22"/>
        </w:rPr>
      </w:pPr>
    </w:p>
    <w:p w14:paraId="2489EFF6" w14:textId="77777777" w:rsidR="00B15E36" w:rsidRPr="00E01239" w:rsidRDefault="00B15E36" w:rsidP="00E72157">
      <w:pPr>
        <w:rPr>
          <w:rFonts w:asciiTheme="minorHAnsi" w:hAnsiTheme="minorHAnsi" w:cstheme="minorHAnsi"/>
          <w:sz w:val="22"/>
          <w:szCs w:val="22"/>
        </w:rPr>
        <w:sectPr w:rsidR="00B15E36" w:rsidRPr="00E01239" w:rsidSect="0023759F">
          <w:pgSz w:w="11907" w:h="16840" w:code="9"/>
          <w:pgMar w:top="1418" w:right="1418" w:bottom="1418" w:left="1418" w:header="720" w:footer="720" w:gutter="0"/>
          <w:pgNumType w:fmt="lowerLetter" w:start="1"/>
          <w:cols w:space="60"/>
          <w:noEndnote/>
        </w:sectPr>
      </w:pPr>
    </w:p>
    <w:p w14:paraId="5AC78569" w14:textId="77777777" w:rsidR="00E72157" w:rsidRPr="00E01239" w:rsidRDefault="00E72157" w:rsidP="00E72157">
      <w:pPr>
        <w:pStyle w:val="Titre1"/>
        <w:shd w:val="clear" w:color="auto" w:fill="002060"/>
        <w:spacing w:before="0"/>
        <w:ind w:right="-1"/>
        <w:jc w:val="center"/>
        <w:rPr>
          <w:rFonts w:asciiTheme="minorHAnsi" w:hAnsiTheme="minorHAnsi" w:cstheme="minorHAnsi"/>
          <w:color w:val="auto"/>
          <w:sz w:val="44"/>
          <w:szCs w:val="44"/>
          <w:lang w:eastAsia="x-none"/>
        </w:rPr>
      </w:pPr>
      <w:bookmarkStart w:id="33" w:name="_Toc70002889"/>
      <w:bookmarkStart w:id="34" w:name="_Toc130714054"/>
      <w:bookmarkStart w:id="35" w:name="_Toc142377666"/>
      <w:bookmarkStart w:id="36" w:name="_Toc144654050"/>
      <w:r w:rsidRPr="00E01239">
        <w:rPr>
          <w:rFonts w:asciiTheme="minorHAnsi" w:hAnsiTheme="minorHAnsi" w:cstheme="minorHAnsi"/>
          <w:color w:val="auto"/>
          <w:sz w:val="44"/>
          <w:szCs w:val="44"/>
          <w:lang w:eastAsia="x-none"/>
        </w:rPr>
        <w:lastRenderedPageBreak/>
        <w:t>EXECUTIVE SUMMARY</w:t>
      </w:r>
      <w:bookmarkEnd w:id="33"/>
      <w:bookmarkEnd w:id="34"/>
      <w:bookmarkEnd w:id="35"/>
      <w:bookmarkEnd w:id="36"/>
    </w:p>
    <w:p w14:paraId="3355ED34" w14:textId="6DECB9C2" w:rsidR="00ED554B" w:rsidRPr="00E01239" w:rsidRDefault="00ED554B" w:rsidP="00F4185A">
      <w:pPr>
        <w:rPr>
          <w:rFonts w:asciiTheme="minorHAnsi" w:hAnsiTheme="minorHAnsi" w:cstheme="minorHAnsi"/>
          <w:sz w:val="22"/>
          <w:szCs w:val="22"/>
          <w:lang w:eastAsia="x-none"/>
        </w:rPr>
      </w:pPr>
    </w:p>
    <w:p w14:paraId="3A55D2E7" w14:textId="77777777" w:rsidR="00493CE2" w:rsidRPr="00E01239" w:rsidRDefault="00493CE2" w:rsidP="00027669">
      <w:pPr>
        <w:numPr>
          <w:ilvl w:val="0"/>
          <w:numId w:val="188"/>
        </w:numPr>
        <w:spacing w:before="120" w:line="360" w:lineRule="exact"/>
        <w:jc w:val="both"/>
        <w:rPr>
          <w:rFonts w:asciiTheme="minorHAnsi" w:hAnsiTheme="minorHAnsi" w:cstheme="minorHAnsi"/>
          <w:b/>
          <w:color w:val="5B9BD5"/>
          <w:sz w:val="22"/>
          <w:szCs w:val="22"/>
          <w:lang w:val="en-GB"/>
        </w:rPr>
      </w:pPr>
      <w:r w:rsidRPr="00E01239">
        <w:rPr>
          <w:rFonts w:asciiTheme="minorHAnsi" w:hAnsiTheme="minorHAnsi" w:cstheme="minorHAnsi"/>
          <w:b/>
          <w:color w:val="5B9BD5"/>
          <w:sz w:val="22"/>
          <w:szCs w:val="22"/>
          <w:lang w:val="en-GB"/>
        </w:rPr>
        <w:t>BACKGROUND AND OBJECTIVES OF THE PROJECT</w:t>
      </w:r>
    </w:p>
    <w:p w14:paraId="0988B5D9" w14:textId="77777777" w:rsidR="00493CE2" w:rsidRPr="00E01239" w:rsidRDefault="00493CE2" w:rsidP="00493CE2">
      <w:pPr>
        <w:spacing w:before="120" w:line="280" w:lineRule="exact"/>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The Government of the Republic of Senegal has requested support from the World Bank to join Phase III of the West Africa Food System Resilience Program (FSRP) which already covers 7 countries and three regional organizations (ECOWAS, CORAF and CILSS). The development objective of this program is to increase food insecurity preparedness and improve the resilience of food systems in Senegal. </w:t>
      </w:r>
    </w:p>
    <w:p w14:paraId="5CB4F5B6" w14:textId="77777777" w:rsidR="00493CE2" w:rsidRPr="00E01239" w:rsidRDefault="00493CE2" w:rsidP="00493CE2">
      <w:pPr>
        <w:spacing w:before="120" w:line="280" w:lineRule="exact"/>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The activities of the FSRP-SN are organized around five (05) components: </w:t>
      </w:r>
    </w:p>
    <w:p w14:paraId="25432395" w14:textId="77777777" w:rsidR="00493CE2" w:rsidRPr="00E01239" w:rsidRDefault="00493CE2" w:rsidP="00027669">
      <w:pPr>
        <w:pStyle w:val="Paragraphedeliste"/>
        <w:numPr>
          <w:ilvl w:val="0"/>
          <w:numId w:val="186"/>
        </w:numPr>
        <w:spacing w:before="120" w:line="280" w:lineRule="exact"/>
        <w:contextualSpacing w:val="0"/>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Component 1: Digital advisory services for the prevention and management of agricultural and food crises </w:t>
      </w:r>
    </w:p>
    <w:p w14:paraId="1BB8C427" w14:textId="77777777" w:rsidR="00493CE2" w:rsidRPr="00E01239" w:rsidRDefault="00493CE2" w:rsidP="00027669">
      <w:pPr>
        <w:pStyle w:val="Paragraphedeliste"/>
        <w:numPr>
          <w:ilvl w:val="0"/>
          <w:numId w:val="186"/>
        </w:numPr>
        <w:spacing w:before="120" w:line="280" w:lineRule="exact"/>
        <w:contextualSpacing w:val="0"/>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Component 2.  Sustainability and adaptability of the productive base of the food system </w:t>
      </w:r>
    </w:p>
    <w:p w14:paraId="1A49C86A" w14:textId="77777777" w:rsidR="00493CE2" w:rsidRPr="00E01239" w:rsidRDefault="00493CE2" w:rsidP="00027669">
      <w:pPr>
        <w:pStyle w:val="Paragraphedeliste"/>
        <w:numPr>
          <w:ilvl w:val="0"/>
          <w:numId w:val="186"/>
        </w:numPr>
        <w:spacing w:before="120" w:line="280" w:lineRule="exact"/>
        <w:contextualSpacing w:val="0"/>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Component 3. Regional integration of food markets &amp; trade  </w:t>
      </w:r>
    </w:p>
    <w:p w14:paraId="1B9A3F7C" w14:textId="77777777" w:rsidR="00493CE2" w:rsidRPr="00E01239" w:rsidRDefault="00493CE2" w:rsidP="00027669">
      <w:pPr>
        <w:pStyle w:val="Paragraphedeliste"/>
        <w:numPr>
          <w:ilvl w:val="0"/>
          <w:numId w:val="186"/>
        </w:numPr>
        <w:spacing w:before="120" w:line="280" w:lineRule="exact"/>
        <w:contextualSpacing w:val="0"/>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Component 4. Contingency Emergency Response (CERC)</w:t>
      </w:r>
    </w:p>
    <w:p w14:paraId="07823BA3" w14:textId="77777777" w:rsidR="00493CE2" w:rsidRPr="00E01239" w:rsidRDefault="00493CE2" w:rsidP="00027669">
      <w:pPr>
        <w:pStyle w:val="Paragraphedeliste"/>
        <w:numPr>
          <w:ilvl w:val="0"/>
          <w:numId w:val="18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Component 5. Program Management </w:t>
      </w:r>
    </w:p>
    <w:p w14:paraId="2A36898C" w14:textId="77777777" w:rsidR="00493CE2" w:rsidRPr="00E01239" w:rsidRDefault="00493CE2" w:rsidP="00493CE2">
      <w:pPr>
        <w:spacing w:before="120" w:line="280" w:lineRule="exact"/>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The FRSP-SN covers thirteen (13) regions of the country out of the fourteen (14) that are: Dakar, </w:t>
      </w:r>
      <w:proofErr w:type="spellStart"/>
      <w:r w:rsidRPr="00E01239">
        <w:rPr>
          <w:rFonts w:asciiTheme="minorHAnsi" w:hAnsiTheme="minorHAnsi" w:cstheme="minorHAnsi"/>
          <w:sz w:val="22"/>
          <w:szCs w:val="22"/>
          <w:lang w:val="en-GB"/>
        </w:rPr>
        <w:t>Thiès</w:t>
      </w:r>
      <w:proofErr w:type="spellEnd"/>
      <w:r w:rsidRPr="00E01239">
        <w:rPr>
          <w:rFonts w:asciiTheme="minorHAnsi" w:hAnsiTheme="minorHAnsi" w:cstheme="minorHAnsi"/>
          <w:sz w:val="22"/>
          <w:szCs w:val="22"/>
          <w:lang w:val="en-GB"/>
        </w:rPr>
        <w:t xml:space="preserve">, </w:t>
      </w:r>
      <w:proofErr w:type="spellStart"/>
      <w:r w:rsidRPr="00E01239">
        <w:rPr>
          <w:rFonts w:asciiTheme="minorHAnsi" w:hAnsiTheme="minorHAnsi" w:cstheme="minorHAnsi"/>
          <w:sz w:val="22"/>
          <w:szCs w:val="22"/>
          <w:lang w:val="en-GB"/>
        </w:rPr>
        <w:t>Louga</w:t>
      </w:r>
      <w:proofErr w:type="spellEnd"/>
      <w:r w:rsidRPr="00E01239">
        <w:rPr>
          <w:rFonts w:asciiTheme="minorHAnsi" w:hAnsiTheme="minorHAnsi" w:cstheme="minorHAnsi"/>
          <w:sz w:val="22"/>
          <w:szCs w:val="22"/>
          <w:lang w:val="en-GB"/>
        </w:rPr>
        <w:t xml:space="preserve">, Saint Louis, Matam, </w:t>
      </w:r>
      <w:proofErr w:type="spellStart"/>
      <w:r w:rsidRPr="00E01239">
        <w:rPr>
          <w:rFonts w:asciiTheme="minorHAnsi" w:hAnsiTheme="minorHAnsi" w:cstheme="minorHAnsi"/>
          <w:sz w:val="22"/>
          <w:szCs w:val="22"/>
          <w:lang w:val="en-GB"/>
        </w:rPr>
        <w:t>Diourbel</w:t>
      </w:r>
      <w:proofErr w:type="spellEnd"/>
      <w:r w:rsidRPr="00E01239">
        <w:rPr>
          <w:rFonts w:asciiTheme="minorHAnsi" w:hAnsiTheme="minorHAnsi" w:cstheme="minorHAnsi"/>
          <w:sz w:val="22"/>
          <w:szCs w:val="22"/>
          <w:lang w:val="en-GB"/>
        </w:rPr>
        <w:t xml:space="preserve">, </w:t>
      </w:r>
      <w:proofErr w:type="spellStart"/>
      <w:r w:rsidRPr="00E01239">
        <w:rPr>
          <w:rFonts w:asciiTheme="minorHAnsi" w:hAnsiTheme="minorHAnsi" w:cstheme="minorHAnsi"/>
          <w:sz w:val="22"/>
          <w:szCs w:val="22"/>
          <w:lang w:val="en-GB"/>
        </w:rPr>
        <w:t>Fatick</w:t>
      </w:r>
      <w:proofErr w:type="spellEnd"/>
      <w:r w:rsidRPr="00E01239">
        <w:rPr>
          <w:rFonts w:asciiTheme="minorHAnsi" w:hAnsiTheme="minorHAnsi" w:cstheme="minorHAnsi"/>
          <w:sz w:val="22"/>
          <w:szCs w:val="22"/>
          <w:lang w:val="en-GB"/>
        </w:rPr>
        <w:t xml:space="preserve">, </w:t>
      </w:r>
      <w:proofErr w:type="spellStart"/>
      <w:r w:rsidRPr="00E01239">
        <w:rPr>
          <w:rFonts w:asciiTheme="minorHAnsi" w:hAnsiTheme="minorHAnsi" w:cstheme="minorHAnsi"/>
          <w:sz w:val="22"/>
          <w:szCs w:val="22"/>
          <w:lang w:val="en-GB"/>
        </w:rPr>
        <w:t>Kaolack</w:t>
      </w:r>
      <w:proofErr w:type="spellEnd"/>
      <w:r w:rsidRPr="00E01239">
        <w:rPr>
          <w:rFonts w:asciiTheme="minorHAnsi" w:hAnsiTheme="minorHAnsi" w:cstheme="minorHAnsi"/>
          <w:sz w:val="22"/>
          <w:szCs w:val="22"/>
          <w:lang w:val="en-GB"/>
        </w:rPr>
        <w:t xml:space="preserve">, </w:t>
      </w:r>
      <w:proofErr w:type="spellStart"/>
      <w:r w:rsidRPr="00E01239">
        <w:rPr>
          <w:rFonts w:asciiTheme="minorHAnsi" w:hAnsiTheme="minorHAnsi" w:cstheme="minorHAnsi"/>
          <w:sz w:val="22"/>
          <w:szCs w:val="22"/>
          <w:lang w:val="en-GB"/>
        </w:rPr>
        <w:t>Kaffrine</w:t>
      </w:r>
      <w:proofErr w:type="spellEnd"/>
      <w:r w:rsidRPr="00E01239">
        <w:rPr>
          <w:rFonts w:asciiTheme="minorHAnsi" w:hAnsiTheme="minorHAnsi" w:cstheme="minorHAnsi"/>
          <w:sz w:val="22"/>
          <w:szCs w:val="22"/>
          <w:lang w:val="en-GB"/>
        </w:rPr>
        <w:t xml:space="preserve">, </w:t>
      </w:r>
      <w:proofErr w:type="spellStart"/>
      <w:r w:rsidRPr="00E01239">
        <w:rPr>
          <w:rFonts w:asciiTheme="minorHAnsi" w:hAnsiTheme="minorHAnsi" w:cstheme="minorHAnsi"/>
          <w:sz w:val="22"/>
          <w:szCs w:val="22"/>
          <w:lang w:val="en-GB"/>
        </w:rPr>
        <w:t>Tambacounda</w:t>
      </w:r>
      <w:proofErr w:type="spellEnd"/>
      <w:r w:rsidRPr="00E01239">
        <w:rPr>
          <w:rFonts w:asciiTheme="minorHAnsi" w:hAnsiTheme="minorHAnsi" w:cstheme="minorHAnsi"/>
          <w:sz w:val="22"/>
          <w:szCs w:val="22"/>
          <w:lang w:val="en-GB"/>
        </w:rPr>
        <w:t xml:space="preserve">, </w:t>
      </w:r>
      <w:proofErr w:type="spellStart"/>
      <w:r w:rsidRPr="00E01239">
        <w:rPr>
          <w:rFonts w:asciiTheme="minorHAnsi" w:hAnsiTheme="minorHAnsi" w:cstheme="minorHAnsi"/>
          <w:sz w:val="22"/>
          <w:szCs w:val="22"/>
          <w:lang w:val="en-GB"/>
        </w:rPr>
        <w:t>Ziguinchor</w:t>
      </w:r>
      <w:proofErr w:type="spellEnd"/>
      <w:r w:rsidRPr="00E01239">
        <w:rPr>
          <w:rFonts w:asciiTheme="minorHAnsi" w:hAnsiTheme="minorHAnsi" w:cstheme="minorHAnsi"/>
          <w:sz w:val="22"/>
          <w:szCs w:val="22"/>
          <w:lang w:val="en-GB"/>
        </w:rPr>
        <w:t xml:space="preserve">, </w:t>
      </w:r>
      <w:proofErr w:type="spellStart"/>
      <w:r w:rsidRPr="00E01239">
        <w:rPr>
          <w:rFonts w:asciiTheme="minorHAnsi" w:hAnsiTheme="minorHAnsi" w:cstheme="minorHAnsi"/>
          <w:sz w:val="22"/>
          <w:szCs w:val="22"/>
          <w:lang w:val="en-GB"/>
        </w:rPr>
        <w:t>Sédhiou</w:t>
      </w:r>
      <w:proofErr w:type="spellEnd"/>
      <w:r w:rsidRPr="00E01239">
        <w:rPr>
          <w:rFonts w:asciiTheme="minorHAnsi" w:hAnsiTheme="minorHAnsi" w:cstheme="minorHAnsi"/>
          <w:sz w:val="22"/>
          <w:szCs w:val="22"/>
          <w:lang w:val="en-GB"/>
        </w:rPr>
        <w:t xml:space="preserve"> and Kolda.</w:t>
      </w:r>
    </w:p>
    <w:p w14:paraId="09479595" w14:textId="77777777" w:rsidR="00493CE2" w:rsidRPr="00E01239" w:rsidRDefault="00493CE2" w:rsidP="00027669">
      <w:pPr>
        <w:numPr>
          <w:ilvl w:val="0"/>
          <w:numId w:val="188"/>
        </w:numPr>
        <w:spacing w:before="120" w:line="360" w:lineRule="exact"/>
        <w:jc w:val="both"/>
        <w:rPr>
          <w:rFonts w:asciiTheme="minorHAnsi" w:hAnsiTheme="minorHAnsi" w:cstheme="minorHAnsi"/>
          <w:b/>
          <w:color w:val="5B9BD5"/>
          <w:sz w:val="22"/>
          <w:szCs w:val="22"/>
          <w:lang w:val="en-GB"/>
        </w:rPr>
      </w:pPr>
      <w:r w:rsidRPr="00E01239">
        <w:rPr>
          <w:rFonts w:asciiTheme="minorHAnsi" w:hAnsiTheme="minorHAnsi" w:cstheme="minorHAnsi"/>
          <w:b/>
          <w:color w:val="5B9BD5"/>
          <w:sz w:val="22"/>
          <w:szCs w:val="22"/>
          <w:lang w:val="en-GB"/>
        </w:rPr>
        <w:t>OBJECTIVES AND CONTENT OF THE EMC</w:t>
      </w:r>
    </w:p>
    <w:p w14:paraId="1A4220D1" w14:textId="78BF489E" w:rsidR="00493CE2" w:rsidRPr="00E01239" w:rsidRDefault="00E210DC" w:rsidP="00493CE2">
      <w:pPr>
        <w:spacing w:before="120" w:line="280" w:lineRule="exact"/>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The ESMF </w:t>
      </w:r>
      <w:r w:rsidR="00493CE2" w:rsidRPr="00E01239">
        <w:rPr>
          <w:rFonts w:asciiTheme="minorHAnsi" w:hAnsiTheme="minorHAnsi" w:cstheme="minorHAnsi"/>
          <w:sz w:val="22"/>
          <w:szCs w:val="22"/>
          <w:lang w:val="en-GB"/>
        </w:rPr>
        <w:t xml:space="preserve">is prepared in accordance with the requirements contained in Environmental and Social Standard No. 1 (Assessment and Management of Environmental and Social Risks and Effects) of the World Bank's Environmental and Social Framework (ESC) while taking into account the specific provisions contained in NES Guidance Note (NO) No. 1 on Assessment and Management of Environmental and Social Risks and Effects. Also, it complies with the provisions of national regulations on environmental and social management, including the risks of gender-based violence (GBV), sexual exploitation and abuse (SEA), and sexual harassment (HS), on the other hand. </w:t>
      </w:r>
    </w:p>
    <w:p w14:paraId="75F1A16D" w14:textId="576B20E9" w:rsidR="00493CE2" w:rsidRPr="00E01239" w:rsidRDefault="00E210DC" w:rsidP="00493CE2">
      <w:pPr>
        <w:spacing w:before="120" w:line="280" w:lineRule="exact"/>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According to the World Bank classification, FRSP-SN </w:t>
      </w:r>
      <w:r w:rsidR="00493CE2" w:rsidRPr="00E01239">
        <w:rPr>
          <w:rFonts w:asciiTheme="minorHAnsi" w:hAnsiTheme="minorHAnsi" w:cstheme="minorHAnsi"/>
          <w:sz w:val="22"/>
          <w:szCs w:val="22"/>
          <w:lang w:val="en-GB"/>
        </w:rPr>
        <w:t>is</w:t>
      </w:r>
      <w:r w:rsidRPr="00E01239">
        <w:rPr>
          <w:rFonts w:asciiTheme="minorHAnsi" w:hAnsiTheme="minorHAnsi" w:cstheme="minorHAnsi"/>
          <w:sz w:val="22"/>
          <w:szCs w:val="22"/>
          <w:lang w:val="en-GB"/>
        </w:rPr>
        <w:t xml:space="preserve"> a project with substantial environmental and social risks</w:t>
      </w:r>
      <w:r w:rsidR="00493CE2" w:rsidRPr="00E01239">
        <w:rPr>
          <w:rFonts w:asciiTheme="minorHAnsi" w:hAnsiTheme="minorHAnsi" w:cstheme="minorHAnsi"/>
          <w:sz w:val="22"/>
          <w:szCs w:val="22"/>
          <w:lang w:val="en-GB"/>
        </w:rPr>
        <w:t>.</w:t>
      </w:r>
    </w:p>
    <w:p w14:paraId="51CAD8F1" w14:textId="2BC0E10F" w:rsidR="00493CE2" w:rsidRPr="00E01239" w:rsidRDefault="00493CE2" w:rsidP="00493CE2">
      <w:pPr>
        <w:spacing w:before="120" w:line="280" w:lineRule="exact"/>
        <w:jc w:val="both"/>
        <w:rPr>
          <w:rFonts w:asciiTheme="minorHAnsi" w:hAnsiTheme="minorHAnsi" w:cstheme="minorHAnsi"/>
          <w:spacing w:val="-1"/>
          <w:sz w:val="22"/>
          <w:szCs w:val="22"/>
          <w:lang w:val="en-GB"/>
        </w:rPr>
      </w:pPr>
      <w:r w:rsidRPr="00E01239">
        <w:rPr>
          <w:rFonts w:asciiTheme="minorHAnsi" w:hAnsiTheme="minorHAnsi" w:cstheme="minorHAnsi"/>
          <w:sz w:val="22"/>
          <w:szCs w:val="22"/>
          <w:lang w:val="en-GB"/>
        </w:rPr>
        <w:t xml:space="preserve">This </w:t>
      </w:r>
      <w:r w:rsidR="00E210DC" w:rsidRPr="00E01239">
        <w:rPr>
          <w:rFonts w:asciiTheme="minorHAnsi" w:hAnsiTheme="minorHAnsi" w:cstheme="minorHAnsi"/>
          <w:sz w:val="22"/>
          <w:szCs w:val="22"/>
          <w:lang w:val="en-GB"/>
        </w:rPr>
        <w:t xml:space="preserve">ESMF </w:t>
      </w:r>
      <w:r w:rsidRPr="00E01239">
        <w:rPr>
          <w:rFonts w:asciiTheme="minorHAnsi" w:hAnsiTheme="minorHAnsi" w:cstheme="minorHAnsi"/>
          <w:sz w:val="22"/>
          <w:szCs w:val="22"/>
          <w:lang w:val="en-GB"/>
        </w:rPr>
        <w:t>mainly contains (</w:t>
      </w:r>
      <w:proofErr w:type="spellStart"/>
      <w:r w:rsidRPr="00E01239">
        <w:rPr>
          <w:rFonts w:asciiTheme="minorHAnsi" w:hAnsiTheme="minorHAnsi" w:cstheme="minorHAnsi"/>
          <w:sz w:val="22"/>
          <w:szCs w:val="22"/>
          <w:lang w:val="en-GB"/>
        </w:rPr>
        <w:t>i</w:t>
      </w:r>
      <w:proofErr w:type="spellEnd"/>
      <w:r w:rsidRPr="00E01239">
        <w:rPr>
          <w:rFonts w:asciiTheme="minorHAnsi" w:hAnsiTheme="minorHAnsi" w:cstheme="minorHAnsi"/>
          <w:sz w:val="22"/>
          <w:szCs w:val="22"/>
          <w:lang w:val="en-GB"/>
        </w:rPr>
        <w:t xml:space="preserve">) the environmental and social </w:t>
      </w:r>
      <w:r w:rsidRPr="00E01239">
        <w:rPr>
          <w:rFonts w:asciiTheme="minorHAnsi" w:hAnsiTheme="minorHAnsi" w:cstheme="minorHAnsi"/>
          <w:spacing w:val="1"/>
          <w:sz w:val="22"/>
          <w:szCs w:val="22"/>
          <w:lang w:val="en-GB"/>
        </w:rPr>
        <w:t>selection process</w:t>
      </w:r>
      <w:r w:rsidRPr="00E01239">
        <w:rPr>
          <w:rFonts w:asciiTheme="minorHAnsi" w:hAnsiTheme="minorHAnsi" w:cstheme="minorHAnsi"/>
          <w:lang w:val="en-GB"/>
        </w:rPr>
        <w:t xml:space="preserve"> to </w:t>
      </w:r>
      <w:r w:rsidRPr="00E01239">
        <w:rPr>
          <w:rFonts w:asciiTheme="minorHAnsi" w:hAnsiTheme="minorHAnsi" w:cstheme="minorHAnsi"/>
          <w:sz w:val="22"/>
          <w:szCs w:val="22"/>
          <w:lang w:val="en-GB"/>
        </w:rPr>
        <w:t xml:space="preserve"> identify the potential environmental and social impacts that may result from the project activities  and the implementation and monitoring of the proposed avoidance and mitigation measures  according to the principle of the mitigation hierarchy, (ii)  the stakeholder engagement procedure including the consultation and information of stakeholders, (iii) environmental and social management measures for identified impacts and generic risks identified according to the principle of the mitigation hierarchy</w:t>
      </w:r>
      <w:r w:rsidRPr="00E01239">
        <w:rPr>
          <w:rFonts w:asciiTheme="minorHAnsi" w:hAnsiTheme="minorHAnsi" w:cstheme="minorHAnsi"/>
          <w:spacing w:val="-1"/>
          <w:sz w:val="22"/>
          <w:szCs w:val="22"/>
          <w:lang w:val="en-GB"/>
        </w:rPr>
        <w:t xml:space="preserve"> and including avoidance, mitigation, mitigation and/or compensation measures, (iv) the mechanism for monitoring and environmental monitoring of E&amp;S impacts and risks induced by the activities of the </w:t>
      </w:r>
      <w:r w:rsidRPr="00E01239">
        <w:rPr>
          <w:rFonts w:asciiTheme="minorHAnsi" w:hAnsiTheme="minorHAnsi" w:cstheme="minorHAnsi"/>
          <w:color w:val="000000" w:themeColor="text1"/>
          <w:sz w:val="22"/>
          <w:szCs w:val="22"/>
          <w:lang w:val="en-GB"/>
        </w:rPr>
        <w:t>FSRP-SN</w:t>
      </w:r>
      <w:r w:rsidRPr="00E01239">
        <w:rPr>
          <w:rFonts w:asciiTheme="minorHAnsi" w:hAnsiTheme="minorHAnsi" w:cstheme="minorHAnsi"/>
          <w:spacing w:val="-1"/>
          <w:sz w:val="22"/>
          <w:szCs w:val="22"/>
          <w:lang w:val="en-GB"/>
        </w:rPr>
        <w:t xml:space="preserve">, (v) the institutional arrangements with an assessment of the capacities of the entities involved in the E&amp;S management of the FSRP-SN and a capacity building plan, (vi) the procedure for addressing gender-based violence (GBV), sexual exploitation and abuse (SEA) and sexual harassment (HS), (vii) the </w:t>
      </w:r>
      <w:r w:rsidR="00D34060" w:rsidRPr="00E01239">
        <w:rPr>
          <w:rFonts w:asciiTheme="minorHAnsi" w:hAnsiTheme="minorHAnsi" w:cstheme="minorHAnsi"/>
          <w:spacing w:val="-1"/>
          <w:sz w:val="22"/>
          <w:szCs w:val="22"/>
          <w:lang w:val="en-GB"/>
        </w:rPr>
        <w:t xml:space="preserve">Grievance Mechanism (GM) </w:t>
      </w:r>
      <w:r w:rsidRPr="00E01239">
        <w:rPr>
          <w:rFonts w:asciiTheme="minorHAnsi" w:hAnsiTheme="minorHAnsi" w:cstheme="minorHAnsi"/>
          <w:spacing w:val="-1"/>
          <w:sz w:val="22"/>
          <w:szCs w:val="22"/>
          <w:lang w:val="en-GB"/>
        </w:rPr>
        <w:t xml:space="preserve">and (viii) the budget for the implementation of the </w:t>
      </w:r>
      <w:r w:rsidR="00E210DC" w:rsidRPr="00E01239">
        <w:rPr>
          <w:rFonts w:asciiTheme="minorHAnsi" w:hAnsiTheme="minorHAnsi" w:cstheme="minorHAnsi"/>
          <w:sz w:val="22"/>
          <w:szCs w:val="22"/>
          <w:lang w:val="en-GB"/>
        </w:rPr>
        <w:t>ESMF</w:t>
      </w:r>
      <w:r w:rsidRPr="00E01239">
        <w:rPr>
          <w:rFonts w:asciiTheme="minorHAnsi" w:hAnsiTheme="minorHAnsi" w:cstheme="minorHAnsi"/>
          <w:spacing w:val="-1"/>
          <w:sz w:val="22"/>
          <w:szCs w:val="22"/>
          <w:lang w:val="en-GB"/>
        </w:rPr>
        <w:t>.</w:t>
      </w:r>
    </w:p>
    <w:p w14:paraId="6DF1899D" w14:textId="4EE48EF9" w:rsidR="00DF39B7" w:rsidRPr="00E01239" w:rsidRDefault="00DF39B7">
      <w:pPr>
        <w:rPr>
          <w:rFonts w:asciiTheme="minorHAnsi" w:hAnsiTheme="minorHAnsi" w:cstheme="minorHAnsi"/>
          <w:sz w:val="22"/>
          <w:szCs w:val="22"/>
          <w:lang w:val="en-GB"/>
        </w:rPr>
      </w:pPr>
      <w:r w:rsidRPr="00E01239">
        <w:rPr>
          <w:rFonts w:asciiTheme="minorHAnsi" w:hAnsiTheme="minorHAnsi" w:cstheme="minorHAnsi"/>
          <w:sz w:val="22"/>
          <w:szCs w:val="22"/>
          <w:lang w:val="en-GB"/>
        </w:rPr>
        <w:br w:type="page"/>
      </w:r>
    </w:p>
    <w:p w14:paraId="663933BC" w14:textId="6AEEB171" w:rsidR="00493CE2" w:rsidRPr="00E01239" w:rsidRDefault="00493CE2" w:rsidP="00027669">
      <w:pPr>
        <w:numPr>
          <w:ilvl w:val="0"/>
          <w:numId w:val="188"/>
        </w:numPr>
        <w:spacing w:before="120" w:line="360" w:lineRule="exact"/>
        <w:jc w:val="both"/>
        <w:rPr>
          <w:rFonts w:asciiTheme="minorHAnsi" w:hAnsiTheme="minorHAnsi" w:cstheme="minorHAnsi"/>
          <w:b/>
          <w:color w:val="5B9BD5"/>
          <w:sz w:val="22"/>
          <w:szCs w:val="22"/>
          <w:lang w:val="en-GB"/>
        </w:rPr>
      </w:pPr>
      <w:r w:rsidRPr="00E01239">
        <w:rPr>
          <w:rFonts w:asciiTheme="minorHAnsi" w:hAnsiTheme="minorHAnsi" w:cstheme="minorHAnsi"/>
          <w:b/>
          <w:color w:val="5B9BD5"/>
          <w:sz w:val="22"/>
          <w:szCs w:val="22"/>
          <w:lang w:val="en-GB"/>
        </w:rPr>
        <w:lastRenderedPageBreak/>
        <w:t>NATIONAL LEGAL, REGULATORY</w:t>
      </w:r>
      <w:r w:rsidR="00FD50BB" w:rsidRPr="00E01239">
        <w:rPr>
          <w:rFonts w:asciiTheme="minorHAnsi" w:hAnsiTheme="minorHAnsi" w:cstheme="minorHAnsi"/>
          <w:b/>
          <w:color w:val="5B9BD5"/>
          <w:sz w:val="22"/>
          <w:szCs w:val="22"/>
          <w:lang w:val="en-GB"/>
        </w:rPr>
        <w:t>,</w:t>
      </w:r>
      <w:r w:rsidRPr="00E01239">
        <w:rPr>
          <w:rFonts w:asciiTheme="minorHAnsi" w:hAnsiTheme="minorHAnsi" w:cstheme="minorHAnsi"/>
          <w:b/>
          <w:color w:val="5B9BD5"/>
          <w:sz w:val="22"/>
          <w:szCs w:val="22"/>
          <w:lang w:val="en-GB"/>
        </w:rPr>
        <w:t xml:space="preserve"> AND INSTITUTIONAL ARRANGEMENTS</w:t>
      </w:r>
    </w:p>
    <w:p w14:paraId="3B829C1F" w14:textId="488AB816" w:rsidR="00493CE2" w:rsidRPr="00E01239" w:rsidRDefault="00493CE2" w:rsidP="00493CE2">
      <w:p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 xml:space="preserve">The relevant policy framework for the FSRP-SN is mainly made up of strategies, plans and programs including the </w:t>
      </w:r>
      <w:r w:rsidR="002605F4" w:rsidRPr="00E01239">
        <w:rPr>
          <w:rFonts w:asciiTheme="minorHAnsi" w:hAnsiTheme="minorHAnsi" w:cstheme="minorHAnsi"/>
          <w:sz w:val="22"/>
          <w:szCs w:val="22"/>
          <w:lang w:val="en-GB"/>
        </w:rPr>
        <w:t>Emerging Senegal Plan (ESP)</w:t>
      </w:r>
      <w:r w:rsidRPr="00E01239">
        <w:rPr>
          <w:rFonts w:asciiTheme="minorHAnsi" w:hAnsiTheme="minorHAnsi" w:cstheme="minorHAnsi"/>
          <w:sz w:val="22"/>
          <w:szCs w:val="22"/>
          <w:lang w:val="en-GB"/>
        </w:rPr>
        <w:t xml:space="preserve"> which frames the benchmark for economic and social policy in the medium and long term and includes strategies to improve the investment environment through structural reforms to make Senegal attractive, particularly through the preservation of the environment and access to land. The ESP is supplemented by operational documents which give concrete form to national programmes for spatial planning, environmental management, promotion of employment, and strengthening prevention and management of social risks. </w:t>
      </w:r>
    </w:p>
    <w:p w14:paraId="1CAC2F86" w14:textId="77777777" w:rsidR="00493CE2" w:rsidRPr="00E01239" w:rsidRDefault="00493CE2" w:rsidP="00493CE2">
      <w:p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 xml:space="preserve">At the legal level, Senegal has an arsenal in terms of environmental and social management. It includes the Senegalese Constitution, Act No. 2001-01 of 15 January 2001 on the Environmental Code, its implementing decree (Decree No. 2001-282 of 12 April 2001 implementing the Environmental Code) and certain regulatory texts (orders and circulars). This system interacts with sectoral codes (Water Code, Labour Code, Public Health Code, Sanitation Code, Senegalese Standards on Discharges, Urban Planning Code, Forest Code, Mining Code, Hunting Code, etc.) to cover all environmental and social, health and safety risks. With regard to land, the environmental legal system is well articulated with the legal framework for the management of rural land in Senegal, the main texts of which are Law 64-46 of 17 June 1964 on the national domain, representing about 95% of the national territory, as well as Decrees No. 64-573 of 30 July 1964 setting the conditions for the application of the said law,  the </w:t>
      </w:r>
      <w:proofErr w:type="spellStart"/>
      <w:r w:rsidRPr="00E01239">
        <w:rPr>
          <w:rFonts w:asciiTheme="minorHAnsi" w:hAnsiTheme="minorHAnsi" w:cstheme="minorHAnsi"/>
          <w:sz w:val="22"/>
          <w:szCs w:val="22"/>
          <w:lang w:val="en-GB"/>
        </w:rPr>
        <w:t>agro</w:t>
      </w:r>
      <w:proofErr w:type="spellEnd"/>
      <w:r w:rsidRPr="00E01239">
        <w:rPr>
          <w:rFonts w:asciiTheme="minorHAnsi" w:hAnsiTheme="minorHAnsi" w:cstheme="minorHAnsi"/>
          <w:sz w:val="22"/>
          <w:szCs w:val="22"/>
          <w:lang w:val="en-GB"/>
        </w:rPr>
        <w:t>-</w:t>
      </w:r>
      <w:proofErr w:type="spellStart"/>
      <w:r w:rsidRPr="00E01239">
        <w:rPr>
          <w:rFonts w:asciiTheme="minorHAnsi" w:hAnsiTheme="minorHAnsi" w:cstheme="minorHAnsi"/>
          <w:sz w:val="22"/>
          <w:szCs w:val="22"/>
          <w:lang w:val="en-GB"/>
        </w:rPr>
        <w:t>sylvo</w:t>
      </w:r>
      <w:proofErr w:type="spellEnd"/>
      <w:r w:rsidRPr="00E01239">
        <w:rPr>
          <w:rFonts w:asciiTheme="minorHAnsi" w:hAnsiTheme="minorHAnsi" w:cstheme="minorHAnsi"/>
          <w:sz w:val="22"/>
          <w:szCs w:val="22"/>
          <w:lang w:val="en-GB"/>
        </w:rPr>
        <w:t>-pastoral orientation law (LOASP) promulgated in 2004, Law No. 2013-10 of 28 December 2013 on the General Code of Local Authorities, Law No. 76-66 of 2 July 1976 on the State Domain Code applicable to the public and private domain of the State and Law No. 2011-07 of 30 March 2011 on the land ownership regime.</w:t>
      </w:r>
    </w:p>
    <w:p w14:paraId="14A7EE7D" w14:textId="0284A2B2" w:rsidR="00493CE2" w:rsidRPr="00E01239" w:rsidRDefault="00493CE2" w:rsidP="00493CE2">
      <w:p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In addition to this national legal system, Senegal has ratified a number of international conventions and treaties relating to environmental protection. It has also signed, adopted</w:t>
      </w:r>
      <w:r w:rsidR="000E5B6C"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ratified several treaties, conventions, covenants</w:t>
      </w:r>
      <w:r w:rsidR="000E5B6C"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charters obliging it to legislate on issues relating to Gender and Gender-Based Violence (GBV). Other conventions and additional protocols have been signed to prevent, punish</w:t>
      </w:r>
      <w:r w:rsidR="000E5B6C"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punish traffickers, especially women and children.</w:t>
      </w:r>
    </w:p>
    <w:p w14:paraId="0974FDD7" w14:textId="77777777" w:rsidR="00493CE2" w:rsidRPr="00E01239" w:rsidRDefault="00493CE2" w:rsidP="00493CE2">
      <w:p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 xml:space="preserve">At the institutional level, the Ministry of the Environment, Sustainable Development and Ecological Transition is responsible for implementing the Government's transversal and sectoral policy on environmental protection and sustainable development. Within this Ministry, the Directorate of Environment and Classified Establishments (DEEC) is the main entity responsible for the environmental assessment and monitoring procedure of projects and programmes. </w:t>
      </w:r>
    </w:p>
    <w:p w14:paraId="683ADF12" w14:textId="77777777" w:rsidR="00493CE2" w:rsidRPr="00E01239" w:rsidRDefault="00493CE2" w:rsidP="00027669">
      <w:pPr>
        <w:numPr>
          <w:ilvl w:val="0"/>
          <w:numId w:val="188"/>
        </w:numPr>
        <w:spacing w:before="120" w:line="360" w:lineRule="exact"/>
        <w:jc w:val="both"/>
        <w:rPr>
          <w:rFonts w:asciiTheme="minorHAnsi" w:hAnsiTheme="minorHAnsi" w:cstheme="minorHAnsi"/>
          <w:b/>
          <w:color w:val="5B9BD5"/>
          <w:sz w:val="22"/>
          <w:szCs w:val="22"/>
          <w:lang w:val="en-GB"/>
        </w:rPr>
      </w:pPr>
      <w:r w:rsidRPr="00E01239">
        <w:rPr>
          <w:rFonts w:asciiTheme="minorHAnsi" w:hAnsiTheme="minorHAnsi" w:cstheme="minorHAnsi"/>
          <w:b/>
          <w:color w:val="5B9BD5"/>
          <w:sz w:val="22"/>
          <w:szCs w:val="22"/>
          <w:lang w:val="en-GB"/>
        </w:rPr>
        <w:t>APPLICABLE WORLD BANK ENVIRONMENTAL AND SOCIAL STANDARDS</w:t>
      </w:r>
    </w:p>
    <w:p w14:paraId="16D3781E" w14:textId="77777777" w:rsidR="002605F4" w:rsidRPr="00E01239" w:rsidRDefault="002605F4" w:rsidP="00047AA4">
      <w:pPr>
        <w:spacing w:before="120" w:line="280" w:lineRule="exact"/>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The higher education support project is governed by the WB's Environmental and Social Framework (ESF), which consists of ten (10) Environmental and Social Standards (ESS) and aims to protect people and the environment from potential impacts that may occur in connection with World Bank-financed investment projects and to promote sustainable development. </w:t>
      </w:r>
    </w:p>
    <w:p w14:paraId="358C97B2" w14:textId="0CC502DB" w:rsidR="00493CE2" w:rsidRPr="00E01239" w:rsidRDefault="00493CE2" w:rsidP="00493CE2">
      <w:pPr>
        <w:spacing w:before="120" w:line="280" w:lineRule="exact"/>
        <w:jc w:val="both"/>
        <w:rPr>
          <w:rFonts w:asciiTheme="minorHAnsi" w:eastAsia="Calibri" w:hAnsiTheme="minorHAnsi" w:cstheme="minorHAnsi"/>
          <w:sz w:val="22"/>
          <w:szCs w:val="22"/>
          <w:lang w:val="en-GB"/>
        </w:rPr>
      </w:pPr>
    </w:p>
    <w:p w14:paraId="6DA45F8D" w14:textId="49E16F03" w:rsidR="00493CE2" w:rsidRPr="00E01239" w:rsidRDefault="00493CE2" w:rsidP="00493CE2">
      <w:p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 xml:space="preserve">Of the ten (10) </w:t>
      </w:r>
      <w:proofErr w:type="gramStart"/>
      <w:r w:rsidR="002605F4" w:rsidRPr="00E01239">
        <w:rPr>
          <w:rFonts w:asciiTheme="minorHAnsi" w:hAnsiTheme="minorHAnsi" w:cstheme="minorHAnsi"/>
          <w:sz w:val="22"/>
          <w:szCs w:val="22"/>
          <w:lang w:val="en-GB"/>
        </w:rPr>
        <w:t>ESS</w:t>
      </w:r>
      <w:proofErr w:type="gramEnd"/>
      <w:r w:rsidRPr="00E01239">
        <w:rPr>
          <w:rFonts w:asciiTheme="minorHAnsi" w:hAnsiTheme="minorHAnsi" w:cstheme="minorHAnsi"/>
          <w:sz w:val="22"/>
          <w:szCs w:val="22"/>
          <w:lang w:val="en-GB"/>
        </w:rPr>
        <w:t xml:space="preserve">, it appears that only two (2) will not be relevant to the Project, namely </w:t>
      </w:r>
      <w:r w:rsidR="002605F4" w:rsidRPr="00E01239">
        <w:rPr>
          <w:rFonts w:asciiTheme="minorHAnsi" w:hAnsiTheme="minorHAnsi" w:cstheme="minorHAnsi"/>
          <w:sz w:val="22"/>
          <w:szCs w:val="22"/>
          <w:lang w:val="en-GB"/>
        </w:rPr>
        <w:t>ESS</w:t>
      </w:r>
      <w:r w:rsidR="002605F4" w:rsidRPr="00E01239" w:rsidDel="002605F4">
        <w:rPr>
          <w:rFonts w:asciiTheme="minorHAnsi" w:hAnsiTheme="minorHAnsi" w:cstheme="minorHAnsi"/>
          <w:sz w:val="22"/>
          <w:szCs w:val="22"/>
          <w:lang w:val="en-GB"/>
        </w:rPr>
        <w:t xml:space="preserve"> </w:t>
      </w:r>
      <w:r w:rsidRPr="00E01239">
        <w:rPr>
          <w:rFonts w:asciiTheme="minorHAnsi" w:hAnsiTheme="minorHAnsi" w:cstheme="minorHAnsi"/>
          <w:sz w:val="22"/>
          <w:szCs w:val="22"/>
          <w:lang w:val="en-GB"/>
        </w:rPr>
        <w:t>7 and 9.</w:t>
      </w:r>
    </w:p>
    <w:p w14:paraId="55F2A6E6" w14:textId="0BDC9659" w:rsidR="00493CE2" w:rsidRPr="00E01239" w:rsidRDefault="62F6D573" w:rsidP="7CB1727A">
      <w:pPr>
        <w:spacing w:before="120" w:line="280" w:lineRule="exact"/>
        <w:jc w:val="both"/>
        <w:rPr>
          <w:rFonts w:asciiTheme="minorHAnsi" w:eastAsia="Calibri" w:hAnsiTheme="minorHAnsi" w:cstheme="minorBidi"/>
          <w:sz w:val="22"/>
          <w:szCs w:val="22"/>
          <w:lang w:val="en-GB"/>
        </w:rPr>
      </w:pPr>
      <w:r w:rsidRPr="00E01239">
        <w:rPr>
          <w:rFonts w:asciiTheme="minorHAnsi" w:hAnsiTheme="minorHAnsi" w:cstheme="minorBidi"/>
          <w:sz w:val="22"/>
          <w:szCs w:val="22"/>
          <w:lang w:val="en-GB"/>
        </w:rPr>
        <w:t xml:space="preserve">According to the World Bank classification, the FSRP-NS is a project of </w:t>
      </w:r>
      <w:r w:rsidR="5ACF5548" w:rsidRPr="00E01239">
        <w:rPr>
          <w:rFonts w:asciiTheme="minorHAnsi" w:hAnsiTheme="minorHAnsi" w:cstheme="minorBidi"/>
          <w:sz w:val="22"/>
          <w:szCs w:val="22"/>
          <w:lang w:val="en-GB"/>
        </w:rPr>
        <w:t xml:space="preserve">substantial </w:t>
      </w:r>
      <w:proofErr w:type="gramStart"/>
      <w:r w:rsidRPr="00E01239">
        <w:rPr>
          <w:rFonts w:asciiTheme="minorHAnsi" w:hAnsiTheme="minorHAnsi" w:cstheme="minorBidi"/>
          <w:sz w:val="22"/>
          <w:szCs w:val="22"/>
          <w:lang w:val="en-GB"/>
        </w:rPr>
        <w:t>environmental  and</w:t>
      </w:r>
      <w:proofErr w:type="gramEnd"/>
      <w:r w:rsidRPr="00E01239">
        <w:rPr>
          <w:rFonts w:asciiTheme="minorHAnsi" w:hAnsiTheme="minorHAnsi" w:cstheme="minorBidi"/>
          <w:sz w:val="22"/>
          <w:szCs w:val="22"/>
          <w:lang w:val="en-GB"/>
        </w:rPr>
        <w:t xml:space="preserve">  social risk.</w:t>
      </w:r>
    </w:p>
    <w:p w14:paraId="58F99700" w14:textId="0E2A7D0B" w:rsidR="00DF39B7" w:rsidRPr="00E01239" w:rsidRDefault="00DF39B7">
      <w:pPr>
        <w:rPr>
          <w:rFonts w:asciiTheme="minorHAnsi" w:eastAsia="Arial Unicode MS" w:hAnsiTheme="minorHAnsi" w:cstheme="minorHAnsi"/>
          <w:sz w:val="22"/>
          <w:szCs w:val="22"/>
          <w:lang w:val="en-GB"/>
        </w:rPr>
      </w:pPr>
      <w:r w:rsidRPr="00E01239">
        <w:rPr>
          <w:rFonts w:asciiTheme="minorHAnsi" w:eastAsia="Arial Unicode MS" w:hAnsiTheme="minorHAnsi" w:cstheme="minorHAnsi"/>
          <w:sz w:val="22"/>
          <w:szCs w:val="22"/>
          <w:lang w:val="en-GB"/>
        </w:rPr>
        <w:br w:type="page"/>
      </w:r>
    </w:p>
    <w:p w14:paraId="7A22C5D8" w14:textId="77777777" w:rsidR="00493CE2" w:rsidRPr="00E01239" w:rsidRDefault="00493CE2" w:rsidP="00027669">
      <w:pPr>
        <w:numPr>
          <w:ilvl w:val="0"/>
          <w:numId w:val="188"/>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lastRenderedPageBreak/>
        <w:t>ENVIRONMENTAL AND SOCIAL REFERENCE DATA</w:t>
      </w:r>
    </w:p>
    <w:p w14:paraId="230CF06C" w14:textId="77777777" w:rsidR="00493CE2" w:rsidRPr="00E01239" w:rsidRDefault="00493CE2" w:rsidP="00493CE2">
      <w:pPr>
        <w:spacing w:before="120" w:line="280" w:lineRule="exact"/>
        <w:jc w:val="both"/>
        <w:rPr>
          <w:rFonts w:asciiTheme="minorHAnsi" w:eastAsia="Calibri" w:hAnsiTheme="minorHAnsi" w:cstheme="minorHAnsi"/>
          <w:sz w:val="22"/>
          <w:szCs w:val="22"/>
        </w:rPr>
      </w:pPr>
      <w:r w:rsidRPr="00E01239">
        <w:rPr>
          <w:rFonts w:asciiTheme="minorHAnsi" w:hAnsiTheme="minorHAnsi" w:cstheme="minorHAnsi"/>
          <w:sz w:val="22"/>
          <w:szCs w:val="22"/>
          <w:lang w:val="en-GB"/>
        </w:rPr>
        <w:t xml:space="preserve">From the situational analysis of the biophysical and socio-economic profile of the FSRP-SN intervention areas, several environmental and social issues of varying levels of sensitivity were identified. </w:t>
      </w:r>
      <w:proofErr w:type="spellStart"/>
      <w:r w:rsidRPr="00E01239">
        <w:rPr>
          <w:rFonts w:asciiTheme="minorHAnsi" w:hAnsiTheme="minorHAnsi" w:cstheme="minorHAnsi"/>
          <w:sz w:val="22"/>
          <w:szCs w:val="22"/>
        </w:rPr>
        <w:t>They</w:t>
      </w:r>
      <w:proofErr w:type="spellEnd"/>
      <w:r w:rsidRPr="00E01239">
        <w:rPr>
          <w:rFonts w:asciiTheme="minorHAnsi" w:hAnsiTheme="minorHAnsi" w:cstheme="minorHAnsi"/>
          <w:sz w:val="22"/>
          <w:szCs w:val="22"/>
        </w:rPr>
        <w:t xml:space="preserve"> are </w:t>
      </w:r>
      <w:proofErr w:type="spellStart"/>
      <w:r w:rsidRPr="00E01239">
        <w:rPr>
          <w:rFonts w:asciiTheme="minorHAnsi" w:hAnsiTheme="minorHAnsi" w:cstheme="minorHAnsi"/>
          <w:sz w:val="22"/>
          <w:szCs w:val="22"/>
        </w:rPr>
        <w:t>summarized</w:t>
      </w:r>
      <w:proofErr w:type="spellEnd"/>
      <w:r w:rsidRPr="00E01239">
        <w:rPr>
          <w:rFonts w:asciiTheme="minorHAnsi" w:hAnsiTheme="minorHAnsi" w:cstheme="minorHAnsi"/>
          <w:sz w:val="22"/>
          <w:szCs w:val="22"/>
        </w:rPr>
        <w:t xml:space="preserve"> in the </w:t>
      </w:r>
      <w:proofErr w:type="spellStart"/>
      <w:r w:rsidRPr="00E01239">
        <w:rPr>
          <w:rFonts w:asciiTheme="minorHAnsi" w:hAnsiTheme="minorHAnsi" w:cstheme="minorHAnsi"/>
          <w:sz w:val="22"/>
          <w:szCs w:val="22"/>
        </w:rPr>
        <w:t>following</w:t>
      </w:r>
      <w:proofErr w:type="spellEnd"/>
      <w:r w:rsidRPr="00E01239">
        <w:rPr>
          <w:rFonts w:asciiTheme="minorHAnsi" w:hAnsiTheme="minorHAnsi" w:cstheme="minorHAnsi"/>
          <w:sz w:val="22"/>
          <w:szCs w:val="22"/>
        </w:rPr>
        <w:t xml:space="preserve"> table.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19"/>
        <w:gridCol w:w="6190"/>
        <w:gridCol w:w="1252"/>
      </w:tblGrid>
      <w:tr w:rsidR="00493CE2" w:rsidRPr="00E01239" w14:paraId="2366E804" w14:textId="77777777" w:rsidTr="00F43E8A">
        <w:trPr>
          <w:trHeight w:val="711"/>
          <w:tblHeader/>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vAlign w:val="center"/>
            <w:hideMark/>
          </w:tcPr>
          <w:p w14:paraId="427029F0" w14:textId="77777777" w:rsidR="00493CE2" w:rsidRPr="00E01239" w:rsidRDefault="00493CE2" w:rsidP="00F43E8A">
            <w:pPr>
              <w:jc w:val="center"/>
              <w:rPr>
                <w:rFonts w:asciiTheme="minorHAnsi" w:hAnsiTheme="minorHAnsi" w:cstheme="minorHAnsi"/>
                <w:bCs/>
                <w:sz w:val="22"/>
                <w:szCs w:val="22"/>
              </w:rPr>
            </w:pPr>
            <w:r w:rsidRPr="00E01239">
              <w:rPr>
                <w:rFonts w:asciiTheme="minorHAnsi" w:hAnsiTheme="minorHAnsi" w:cstheme="minorHAnsi"/>
                <w:bCs/>
                <w:sz w:val="22"/>
                <w:szCs w:val="22"/>
              </w:rPr>
              <w:t>Issues</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vAlign w:val="center"/>
            <w:hideMark/>
          </w:tcPr>
          <w:p w14:paraId="6405B9B2" w14:textId="77777777" w:rsidR="00493CE2" w:rsidRPr="00E01239" w:rsidRDefault="00493CE2" w:rsidP="00F43E8A">
            <w:pPr>
              <w:jc w:val="center"/>
              <w:rPr>
                <w:rFonts w:asciiTheme="minorHAnsi" w:hAnsiTheme="minorHAnsi" w:cstheme="minorHAnsi"/>
                <w:bCs/>
                <w:sz w:val="22"/>
                <w:szCs w:val="22"/>
              </w:rPr>
            </w:pPr>
            <w:r w:rsidRPr="00E01239">
              <w:rPr>
                <w:rFonts w:asciiTheme="minorHAnsi" w:hAnsiTheme="minorHAnsi" w:cstheme="minorHAnsi"/>
                <w:bCs/>
                <w:sz w:val="22"/>
                <w:szCs w:val="22"/>
              </w:rPr>
              <w:t>Description</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vAlign w:val="center"/>
            <w:hideMark/>
          </w:tcPr>
          <w:p w14:paraId="4AB1D5E1" w14:textId="77777777" w:rsidR="00493CE2" w:rsidRPr="00E01239" w:rsidRDefault="00493CE2" w:rsidP="00F43E8A">
            <w:pPr>
              <w:jc w:val="center"/>
              <w:rPr>
                <w:rFonts w:asciiTheme="minorHAnsi" w:hAnsiTheme="minorHAnsi" w:cstheme="minorHAnsi"/>
                <w:bCs/>
                <w:sz w:val="22"/>
                <w:szCs w:val="22"/>
              </w:rPr>
            </w:pPr>
            <w:proofErr w:type="spellStart"/>
            <w:r w:rsidRPr="00E01239">
              <w:rPr>
                <w:rFonts w:asciiTheme="minorHAnsi" w:hAnsiTheme="minorHAnsi" w:cstheme="minorHAnsi"/>
                <w:bCs/>
                <w:sz w:val="22"/>
                <w:szCs w:val="22"/>
              </w:rPr>
              <w:t>Level</w:t>
            </w:r>
            <w:proofErr w:type="spellEnd"/>
            <w:r w:rsidRPr="00E01239">
              <w:rPr>
                <w:rFonts w:asciiTheme="minorHAnsi" w:hAnsiTheme="minorHAnsi" w:cstheme="minorHAnsi"/>
                <w:bCs/>
                <w:sz w:val="22"/>
                <w:szCs w:val="22"/>
              </w:rPr>
              <w:t xml:space="preserve"> of </w:t>
            </w:r>
            <w:proofErr w:type="spellStart"/>
            <w:r w:rsidRPr="00E01239">
              <w:rPr>
                <w:rFonts w:asciiTheme="minorHAnsi" w:hAnsiTheme="minorHAnsi" w:cstheme="minorHAnsi"/>
                <w:bCs/>
                <w:sz w:val="22"/>
                <w:szCs w:val="22"/>
              </w:rPr>
              <w:t>sensitivity</w:t>
            </w:r>
            <w:proofErr w:type="spellEnd"/>
          </w:p>
        </w:tc>
      </w:tr>
      <w:tr w:rsidR="00493CE2" w:rsidRPr="00E01239" w14:paraId="48E3467F" w14:textId="77777777" w:rsidTr="00F43E8A">
        <w:trPr>
          <w:trHeight w:val="1133"/>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3DDF9BAC" w14:textId="77777777" w:rsidR="00493CE2" w:rsidRPr="00E01239" w:rsidRDefault="00493CE2" w:rsidP="00F43E8A">
            <w:pPr>
              <w:jc w:val="both"/>
              <w:rPr>
                <w:rFonts w:asciiTheme="minorHAnsi" w:eastAsia="Calibri" w:hAnsiTheme="minorHAnsi" w:cstheme="minorHAnsi"/>
                <w:sz w:val="22"/>
                <w:szCs w:val="22"/>
              </w:rPr>
            </w:pPr>
            <w:r w:rsidRPr="00E01239">
              <w:rPr>
                <w:rFonts w:asciiTheme="minorHAnsi" w:hAnsiTheme="minorHAnsi" w:cstheme="minorHAnsi"/>
                <w:sz w:val="22"/>
                <w:szCs w:val="22"/>
              </w:rPr>
              <w:t xml:space="preserve">Water </w:t>
            </w:r>
            <w:proofErr w:type="spellStart"/>
            <w:r w:rsidRPr="00E01239">
              <w:rPr>
                <w:rFonts w:asciiTheme="minorHAnsi" w:hAnsiTheme="minorHAnsi" w:cstheme="minorHAnsi"/>
                <w:sz w:val="22"/>
                <w:szCs w:val="22"/>
              </w:rPr>
              <w:t>availability</w:t>
            </w:r>
            <w:proofErr w:type="spellEnd"/>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4663F47E" w14:textId="77777777"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Due to the interannual and intra-annual variability of precipitation, the quantities of water available in rivers and ponds are increasingly low, for both humans and livestock. This situation leads to greater competition around the resource and high concentrations around water points such as boreholes and ponds.</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03A76BE8" w14:textId="28809A51" w:rsidR="00493CE2" w:rsidRPr="00E01239" w:rsidRDefault="006631EC" w:rsidP="00F43E8A">
            <w:pPr>
              <w:jc w:val="center"/>
              <w:rPr>
                <w:rFonts w:asciiTheme="minorHAnsi" w:eastAsia="Calibri" w:hAnsiTheme="minorHAnsi" w:cstheme="minorHAnsi"/>
                <w:sz w:val="22"/>
                <w:szCs w:val="22"/>
              </w:rPr>
            </w:pPr>
            <w:r w:rsidRPr="00E01239">
              <w:rPr>
                <w:rFonts w:asciiTheme="minorHAnsi" w:hAnsiTheme="minorHAnsi" w:cstheme="minorHAnsi"/>
                <w:sz w:val="22"/>
                <w:szCs w:val="22"/>
                <w:lang w:val="en-US"/>
              </w:rPr>
              <w:t xml:space="preserve"> </w:t>
            </w:r>
            <w:r w:rsidRPr="00E01239">
              <w:rPr>
                <w:rFonts w:asciiTheme="minorHAnsi" w:hAnsiTheme="minorHAnsi" w:cstheme="minorHAnsi"/>
                <w:sz w:val="22"/>
                <w:szCs w:val="22"/>
              </w:rPr>
              <w:t>High</w:t>
            </w:r>
          </w:p>
        </w:tc>
      </w:tr>
      <w:tr w:rsidR="00493CE2" w:rsidRPr="00E01239" w14:paraId="64BFA215" w14:textId="77777777" w:rsidTr="00F43E8A">
        <w:trPr>
          <w:trHeight w:val="1684"/>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52145E36" w14:textId="77777777"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Groundwater little exploited and sometimes of poor quality</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726F22EB" w14:textId="68ACE1ED"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 xml:space="preserve">The numerous boreholes in the project area play an important role in watering livestock, especially in the </w:t>
            </w:r>
            <w:proofErr w:type="spellStart"/>
            <w:r w:rsidRPr="00E01239">
              <w:rPr>
                <w:rFonts w:asciiTheme="minorHAnsi" w:hAnsiTheme="minorHAnsi" w:cstheme="minorHAnsi"/>
                <w:sz w:val="22"/>
                <w:szCs w:val="22"/>
                <w:lang w:val="en-GB"/>
              </w:rPr>
              <w:t>silvopastoral</w:t>
            </w:r>
            <w:proofErr w:type="spellEnd"/>
            <w:r w:rsidRPr="00E01239">
              <w:rPr>
                <w:rFonts w:asciiTheme="minorHAnsi" w:hAnsiTheme="minorHAnsi" w:cstheme="minorHAnsi"/>
                <w:sz w:val="22"/>
                <w:szCs w:val="22"/>
                <w:lang w:val="en-GB"/>
              </w:rPr>
              <w:t xml:space="preserve"> zone, and sometimes in watering certain farms. However, the number of these water points is still insufficient, and many pockets polarizing several pastoralist camps and located on transhumance routes are not covered. In addition, in some places, because of the characteristics of the aquifers captured, the quality of the water is not the best. A large number of boreholes in the western part of the country are salty. Non-</w:t>
            </w:r>
            <w:r w:rsidR="006631EC" w:rsidRPr="00E01239">
              <w:rPr>
                <w:rFonts w:asciiTheme="minorHAnsi" w:hAnsiTheme="minorHAnsi" w:cstheme="minorHAnsi"/>
                <w:sz w:val="22"/>
                <w:szCs w:val="22"/>
                <w:lang w:val="en-GB"/>
              </w:rPr>
              <w:t>saltwater</w:t>
            </w:r>
            <w:r w:rsidRPr="00E01239">
              <w:rPr>
                <w:rFonts w:asciiTheme="minorHAnsi" w:hAnsiTheme="minorHAnsi" w:cstheme="minorHAnsi"/>
                <w:sz w:val="22"/>
                <w:szCs w:val="22"/>
                <w:lang w:val="en-GB"/>
              </w:rPr>
              <w:t xml:space="preserve"> points are often polluted (wells) and nearly a third of them have very high fluoride concentrations (up to 10mg per </w:t>
            </w:r>
            <w:proofErr w:type="spellStart"/>
            <w:r w:rsidRPr="00E01239">
              <w:rPr>
                <w:rFonts w:asciiTheme="minorHAnsi" w:hAnsiTheme="minorHAnsi" w:cstheme="minorHAnsi"/>
                <w:sz w:val="22"/>
                <w:szCs w:val="22"/>
                <w:lang w:val="en-GB"/>
              </w:rPr>
              <w:t>liter</w:t>
            </w:r>
            <w:proofErr w:type="spellEnd"/>
            <w:r w:rsidRPr="00E01239">
              <w:rPr>
                <w:rFonts w:asciiTheme="minorHAnsi" w:hAnsiTheme="minorHAnsi" w:cstheme="minorHAnsi"/>
                <w:sz w:val="22"/>
                <w:szCs w:val="22"/>
                <w:lang w:val="en-GB"/>
              </w:rPr>
              <w:t xml:space="preserve"> according to the characterization results conducted by the </w:t>
            </w:r>
            <w:r w:rsidR="002605F4" w:rsidRPr="00E01239">
              <w:rPr>
                <w:rFonts w:asciiTheme="minorHAnsi" w:hAnsiTheme="minorHAnsi" w:cstheme="minorHAnsi"/>
                <w:sz w:val="22"/>
                <w:szCs w:val="22"/>
                <w:lang w:val="en-GB"/>
              </w:rPr>
              <w:t>Water Resources Management and Planning Department (</w:t>
            </w:r>
            <w:r w:rsidRPr="00E01239">
              <w:rPr>
                <w:rFonts w:asciiTheme="minorHAnsi" w:hAnsiTheme="minorHAnsi" w:cstheme="minorHAnsi"/>
                <w:sz w:val="22"/>
                <w:szCs w:val="22"/>
                <w:lang w:val="en-GB"/>
              </w:rPr>
              <w:t>DGPRE</w:t>
            </w:r>
            <w:r w:rsidR="002605F4"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w:t>
            </w:r>
            <w:r w:rsidR="002605F4" w:rsidRPr="00E01239">
              <w:rPr>
                <w:rFonts w:asciiTheme="minorHAnsi" w:hAnsiTheme="minorHAnsi" w:cstheme="minorHAnsi"/>
                <w:sz w:val="22"/>
                <w:szCs w:val="22"/>
                <w:lang w:val="en-GB"/>
              </w:rPr>
              <w:t>Senegal National Water Company (</w:t>
            </w:r>
            <w:r w:rsidRPr="00E01239">
              <w:rPr>
                <w:rFonts w:asciiTheme="minorHAnsi" w:hAnsiTheme="minorHAnsi" w:cstheme="minorHAnsi"/>
                <w:sz w:val="22"/>
                <w:szCs w:val="22"/>
                <w:lang w:val="en-GB"/>
              </w:rPr>
              <w:t>SONES</w:t>
            </w:r>
            <w:r w:rsidR="002605F4"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as part of the present improvement of water quality in the groundnut basin, 2016)</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hideMark/>
          </w:tcPr>
          <w:p w14:paraId="2C9B8164" w14:textId="77777777" w:rsidR="00493CE2" w:rsidRPr="00E01239" w:rsidRDefault="00493CE2" w:rsidP="00F43E8A">
            <w:pPr>
              <w:jc w:val="center"/>
              <w:rPr>
                <w:rFonts w:asciiTheme="minorHAnsi" w:eastAsia="Calibri" w:hAnsiTheme="minorHAnsi" w:cstheme="minorHAnsi"/>
                <w:sz w:val="22"/>
                <w:szCs w:val="22"/>
              </w:rPr>
            </w:pPr>
            <w:proofErr w:type="spellStart"/>
            <w:r w:rsidRPr="00E01239">
              <w:rPr>
                <w:rFonts w:asciiTheme="minorHAnsi" w:hAnsiTheme="minorHAnsi" w:cstheme="minorHAnsi"/>
                <w:sz w:val="22"/>
                <w:szCs w:val="22"/>
              </w:rPr>
              <w:t>Moderate</w:t>
            </w:r>
            <w:proofErr w:type="spellEnd"/>
          </w:p>
        </w:tc>
      </w:tr>
      <w:tr w:rsidR="00493CE2" w:rsidRPr="00E01239" w14:paraId="1D8C11AD" w14:textId="77777777" w:rsidTr="00F43E8A">
        <w:trPr>
          <w:trHeight w:val="693"/>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26B9E7C8" w14:textId="01AC6DE6" w:rsidR="00493CE2" w:rsidRPr="00E01239" w:rsidRDefault="00493CE2" w:rsidP="00F43E8A">
            <w:pPr>
              <w:jc w:val="both"/>
              <w:rPr>
                <w:rFonts w:asciiTheme="minorHAnsi" w:eastAsia="Calibri" w:hAnsiTheme="minorHAnsi" w:cstheme="minorHAnsi"/>
                <w:sz w:val="22"/>
                <w:szCs w:val="22"/>
              </w:rPr>
            </w:pPr>
            <w:r w:rsidRPr="00E01239">
              <w:rPr>
                <w:rFonts w:asciiTheme="minorHAnsi" w:hAnsiTheme="minorHAnsi" w:cstheme="minorHAnsi"/>
                <w:sz w:val="22"/>
                <w:szCs w:val="22"/>
              </w:rPr>
              <w:t>Bush</w:t>
            </w:r>
            <w:r w:rsidR="00A448A9"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fires</w:t>
            </w:r>
            <w:proofErr w:type="spellEnd"/>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44FDA990" w14:textId="77777777"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 xml:space="preserve">The passage of fires in </w:t>
            </w:r>
            <w:proofErr w:type="spellStart"/>
            <w:r w:rsidRPr="00E01239">
              <w:rPr>
                <w:rFonts w:asciiTheme="minorHAnsi" w:hAnsiTheme="minorHAnsi" w:cstheme="minorHAnsi"/>
                <w:sz w:val="22"/>
                <w:szCs w:val="22"/>
                <w:lang w:val="en-GB"/>
              </w:rPr>
              <w:t>agrosylvopastoral</w:t>
            </w:r>
            <w:proofErr w:type="spellEnd"/>
            <w:r w:rsidRPr="00E01239">
              <w:rPr>
                <w:rFonts w:asciiTheme="minorHAnsi" w:hAnsiTheme="minorHAnsi" w:cstheme="minorHAnsi"/>
                <w:sz w:val="22"/>
                <w:szCs w:val="22"/>
                <w:lang w:val="en-GB"/>
              </w:rPr>
              <w:t xml:space="preserve"> areas causes significant damage to wildlife habitats, ecosystem services and natural resources in general; with special access on herbaceous biomass. Biodiversity loss is noticeable as a result of recurrent fires, and its consequences are increasingly affecting people and </w:t>
            </w:r>
            <w:proofErr w:type="spellStart"/>
            <w:r w:rsidRPr="00E01239">
              <w:rPr>
                <w:rFonts w:asciiTheme="minorHAnsi" w:hAnsiTheme="minorHAnsi" w:cstheme="minorHAnsi"/>
                <w:sz w:val="22"/>
                <w:szCs w:val="22"/>
                <w:lang w:val="en-GB"/>
              </w:rPr>
              <w:t>agrosilvopastoral</w:t>
            </w:r>
            <w:proofErr w:type="spellEnd"/>
            <w:r w:rsidRPr="00E01239">
              <w:rPr>
                <w:rFonts w:asciiTheme="minorHAnsi" w:hAnsiTheme="minorHAnsi" w:cstheme="minorHAnsi"/>
                <w:sz w:val="22"/>
                <w:szCs w:val="22"/>
                <w:lang w:val="en-GB"/>
              </w:rPr>
              <w:t xml:space="preserve"> systems. Every year, thousands of hectares are swept away by fire. In the project intervention area, Ferlo and the eastern groundnut basin are the areas most affected by this phenomenon.</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525EE535" w14:textId="4B642C65" w:rsidR="00493CE2" w:rsidRPr="00E01239" w:rsidRDefault="003C59F0" w:rsidP="00F43E8A">
            <w:pPr>
              <w:jc w:val="center"/>
              <w:rPr>
                <w:rFonts w:asciiTheme="minorHAnsi" w:eastAsia="Calibri" w:hAnsiTheme="minorHAnsi" w:cstheme="minorHAnsi"/>
                <w:sz w:val="22"/>
                <w:szCs w:val="22"/>
              </w:rPr>
            </w:pPr>
            <w:r w:rsidRPr="00E01239">
              <w:rPr>
                <w:rFonts w:asciiTheme="minorHAnsi" w:hAnsiTheme="minorHAnsi" w:cstheme="minorHAnsi"/>
                <w:sz w:val="22"/>
                <w:szCs w:val="22"/>
              </w:rPr>
              <w:t xml:space="preserve">High </w:t>
            </w:r>
          </w:p>
        </w:tc>
      </w:tr>
      <w:tr w:rsidR="00493CE2" w:rsidRPr="00E01239" w14:paraId="55FD1090" w14:textId="77777777" w:rsidTr="00F43E8A">
        <w:trPr>
          <w:trHeight w:val="1123"/>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218ED126" w14:textId="77777777"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Degradation of vegetation cover by overcutting</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7EFA543A" w14:textId="77777777"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The low availability of biomass is strongly linked to anthropogenic action following excessive cutting of trees for fodder (cutting, pruning, delimbing, pruning) increases the pressure on plant resources. We are thus witnessing the gradual disappearance of protected trees especially in classified forests and reserves, which leads to a lack of regeneration and a degradation of biodiversity.</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hideMark/>
          </w:tcPr>
          <w:p w14:paraId="647E2277" w14:textId="77777777" w:rsidR="00493CE2" w:rsidRPr="00E01239" w:rsidRDefault="00493CE2" w:rsidP="00F43E8A">
            <w:pPr>
              <w:jc w:val="center"/>
              <w:rPr>
                <w:rFonts w:asciiTheme="minorHAnsi" w:eastAsia="Calibri" w:hAnsiTheme="minorHAnsi" w:cstheme="minorHAnsi"/>
                <w:sz w:val="22"/>
                <w:szCs w:val="22"/>
              </w:rPr>
            </w:pPr>
            <w:proofErr w:type="spellStart"/>
            <w:r w:rsidRPr="00E01239">
              <w:rPr>
                <w:rFonts w:asciiTheme="minorHAnsi" w:hAnsiTheme="minorHAnsi" w:cstheme="minorHAnsi"/>
                <w:sz w:val="22"/>
                <w:szCs w:val="22"/>
              </w:rPr>
              <w:t>Moderate</w:t>
            </w:r>
            <w:proofErr w:type="spellEnd"/>
          </w:p>
        </w:tc>
      </w:tr>
      <w:tr w:rsidR="00493CE2" w:rsidRPr="00E01239" w14:paraId="4F74B550" w14:textId="77777777" w:rsidTr="00F43E8A">
        <w:trPr>
          <w:trHeight w:val="661"/>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14:paraId="68713C47" w14:textId="77777777" w:rsidR="00493CE2" w:rsidRPr="00E01239" w:rsidRDefault="00493CE2" w:rsidP="00F43E8A">
            <w:pPr>
              <w:jc w:val="both"/>
              <w:rPr>
                <w:rFonts w:asciiTheme="minorHAnsi" w:eastAsia="Calibri" w:hAnsiTheme="minorHAnsi" w:cstheme="minorHAnsi"/>
                <w:sz w:val="22"/>
                <w:szCs w:val="22"/>
              </w:rPr>
            </w:pPr>
            <w:r w:rsidRPr="00E01239">
              <w:rPr>
                <w:rFonts w:asciiTheme="minorHAnsi" w:hAnsiTheme="minorHAnsi" w:cstheme="minorHAnsi"/>
                <w:sz w:val="22"/>
                <w:szCs w:val="22"/>
              </w:rPr>
              <w:t xml:space="preserve">Land </w:t>
            </w:r>
            <w:proofErr w:type="spellStart"/>
            <w:r w:rsidRPr="00E01239">
              <w:rPr>
                <w:rFonts w:asciiTheme="minorHAnsi" w:hAnsiTheme="minorHAnsi" w:cstheme="minorHAnsi"/>
                <w:sz w:val="22"/>
                <w:szCs w:val="22"/>
              </w:rPr>
              <w:t>degradation</w:t>
            </w:r>
            <w:proofErr w:type="spellEnd"/>
            <w:r w:rsidRPr="00E01239">
              <w:rPr>
                <w:rFonts w:asciiTheme="minorHAnsi" w:hAnsiTheme="minorHAnsi" w:cstheme="minorHAnsi"/>
                <w:sz w:val="22"/>
                <w:szCs w:val="22"/>
              </w:rPr>
              <w:t xml:space="preserve"> </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14:paraId="5B225312" w14:textId="77777777"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The process of salinization and acidification of the land, especially at the level of mudflats and certain lowlands in Lower Casamance and Middle Casamance, constitutes a threat to the expansion of cultivated areas.</w:t>
            </w:r>
          </w:p>
          <w:p w14:paraId="4ED9CD3A" w14:textId="5D07FCBA"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At the level of the groundnut basin, the phenomena of very advanced degradation of tropical ferruginous soils with little leaching called "</w:t>
            </w:r>
            <w:proofErr w:type="spellStart"/>
            <w:r w:rsidRPr="00E01239">
              <w:rPr>
                <w:rFonts w:asciiTheme="minorHAnsi" w:hAnsiTheme="minorHAnsi" w:cstheme="minorHAnsi"/>
                <w:sz w:val="22"/>
                <w:szCs w:val="22"/>
                <w:lang w:val="en-GB"/>
              </w:rPr>
              <w:t>dior</w:t>
            </w:r>
            <w:proofErr w:type="spellEnd"/>
            <w:r w:rsidRPr="00E01239">
              <w:rPr>
                <w:rFonts w:asciiTheme="minorHAnsi" w:hAnsiTheme="minorHAnsi" w:cstheme="minorHAnsi"/>
                <w:sz w:val="22"/>
                <w:szCs w:val="22"/>
                <w:lang w:val="en-GB"/>
              </w:rPr>
              <w:t xml:space="preserve"> soils" located in the northern part of the groundnut basin and the poverty of the soils is increasingly accentuated with the reduction of fallow time and the insufficiency </w:t>
            </w:r>
            <w:r w:rsidRPr="00E01239">
              <w:rPr>
                <w:rFonts w:asciiTheme="minorHAnsi" w:hAnsiTheme="minorHAnsi" w:cstheme="minorHAnsi"/>
                <w:sz w:val="22"/>
                <w:szCs w:val="22"/>
                <w:lang w:val="en-GB"/>
              </w:rPr>
              <w:lastRenderedPageBreak/>
              <w:t>or absence of land fertilization in the groundnut basin, constitutes constraints for the development of agricultural initiatives.</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tcPr>
          <w:p w14:paraId="14A3154C" w14:textId="167743D7" w:rsidR="00493CE2" w:rsidRPr="00E01239" w:rsidRDefault="003C59F0" w:rsidP="00F43E8A">
            <w:pPr>
              <w:jc w:val="center"/>
              <w:rPr>
                <w:rFonts w:asciiTheme="minorHAnsi" w:eastAsia="Calibri" w:hAnsiTheme="minorHAnsi" w:cstheme="minorHAnsi"/>
                <w:sz w:val="22"/>
                <w:szCs w:val="22"/>
              </w:rPr>
            </w:pPr>
            <w:r w:rsidRPr="00E01239">
              <w:rPr>
                <w:rFonts w:asciiTheme="minorHAnsi" w:hAnsiTheme="minorHAnsi" w:cstheme="minorHAnsi"/>
                <w:sz w:val="22"/>
                <w:szCs w:val="22"/>
              </w:rPr>
              <w:lastRenderedPageBreak/>
              <w:t xml:space="preserve">High </w:t>
            </w:r>
          </w:p>
        </w:tc>
      </w:tr>
      <w:tr w:rsidR="00493CE2" w:rsidRPr="00E01239" w14:paraId="1D305202" w14:textId="77777777" w:rsidTr="00F43E8A">
        <w:trPr>
          <w:trHeight w:val="661"/>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4B5C9A73" w14:textId="77777777" w:rsidR="00493CE2" w:rsidRPr="00E01239" w:rsidRDefault="00493CE2" w:rsidP="00F43E8A">
            <w:pPr>
              <w:jc w:val="both"/>
              <w:rPr>
                <w:rFonts w:asciiTheme="minorHAnsi" w:eastAsia="Calibri" w:hAnsiTheme="minorHAnsi" w:cstheme="minorHAnsi"/>
                <w:sz w:val="22"/>
                <w:szCs w:val="22"/>
              </w:rPr>
            </w:pPr>
            <w:r w:rsidRPr="00E01239">
              <w:rPr>
                <w:rFonts w:asciiTheme="minorHAnsi" w:hAnsiTheme="minorHAnsi" w:cstheme="minorHAnsi"/>
                <w:sz w:val="22"/>
                <w:szCs w:val="22"/>
              </w:rPr>
              <w:t xml:space="preserve">Land </w:t>
            </w:r>
            <w:proofErr w:type="spellStart"/>
            <w:r w:rsidRPr="00E01239">
              <w:rPr>
                <w:rFonts w:asciiTheme="minorHAnsi" w:hAnsiTheme="minorHAnsi" w:cstheme="minorHAnsi"/>
                <w:sz w:val="22"/>
                <w:szCs w:val="22"/>
              </w:rPr>
              <w:t>competition</w:t>
            </w:r>
            <w:proofErr w:type="spellEnd"/>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3A9E0632" w14:textId="78724187"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 xml:space="preserve">The absence of land tenure security for </w:t>
            </w:r>
            <w:proofErr w:type="spellStart"/>
            <w:r w:rsidRPr="00E01239">
              <w:rPr>
                <w:rFonts w:asciiTheme="minorHAnsi" w:hAnsiTheme="minorHAnsi" w:cstheme="minorHAnsi"/>
                <w:sz w:val="22"/>
                <w:szCs w:val="22"/>
                <w:lang w:val="en-GB"/>
              </w:rPr>
              <w:t>agrosylvopastoral</w:t>
            </w:r>
            <w:proofErr w:type="spellEnd"/>
            <w:r w:rsidRPr="00E01239">
              <w:rPr>
                <w:rFonts w:asciiTheme="minorHAnsi" w:hAnsiTheme="minorHAnsi" w:cstheme="minorHAnsi"/>
                <w:sz w:val="22"/>
                <w:szCs w:val="22"/>
                <w:lang w:val="en-GB"/>
              </w:rPr>
              <w:t xml:space="preserve"> activities, and therefore of land management based on uses, contributes to weakening rural economic initiative. </w:t>
            </w:r>
            <w:r w:rsidR="000A38BF" w:rsidRPr="00E01239">
              <w:rPr>
                <w:rFonts w:asciiTheme="minorHAnsi" w:hAnsiTheme="minorHAnsi" w:cstheme="minorHAnsi"/>
                <w:sz w:val="22"/>
                <w:szCs w:val="22"/>
                <w:lang w:val="en-GB"/>
              </w:rPr>
              <w:t xml:space="preserve">This state of affairs is all the </w:t>
            </w:r>
            <w:proofErr w:type="gramStart"/>
            <w:r w:rsidR="000A38BF" w:rsidRPr="00E01239">
              <w:rPr>
                <w:rFonts w:asciiTheme="minorHAnsi" w:hAnsiTheme="minorHAnsi" w:cstheme="minorHAnsi"/>
                <w:sz w:val="22"/>
                <w:szCs w:val="22"/>
                <w:lang w:val="en-GB"/>
              </w:rPr>
              <w:t>more true</w:t>
            </w:r>
            <w:proofErr w:type="gramEnd"/>
            <w:r w:rsidR="000A38BF" w:rsidRPr="00E01239">
              <w:rPr>
                <w:rFonts w:asciiTheme="minorHAnsi" w:hAnsiTheme="minorHAnsi" w:cstheme="minorHAnsi"/>
                <w:sz w:val="22"/>
                <w:szCs w:val="22"/>
                <w:lang w:val="en-GB"/>
              </w:rPr>
              <w:t xml:space="preserve"> </w:t>
            </w:r>
            <w:proofErr w:type="spellStart"/>
            <w:r w:rsidR="000A38BF" w:rsidRPr="00E01239">
              <w:rPr>
                <w:rFonts w:asciiTheme="minorHAnsi" w:hAnsiTheme="minorHAnsi" w:cstheme="minorHAnsi"/>
                <w:sz w:val="22"/>
                <w:szCs w:val="22"/>
                <w:lang w:val="en-GB"/>
              </w:rPr>
              <w:t>as</w:t>
            </w:r>
            <w:r w:rsidRPr="00E01239">
              <w:rPr>
                <w:rFonts w:asciiTheme="minorHAnsi" w:hAnsiTheme="minorHAnsi" w:cstheme="minorHAnsi"/>
                <w:sz w:val="22"/>
                <w:szCs w:val="22"/>
                <w:lang w:val="en-GB"/>
              </w:rPr>
              <w:t>the</w:t>
            </w:r>
            <w:proofErr w:type="spellEnd"/>
            <w:r w:rsidRPr="00E01239">
              <w:rPr>
                <w:rFonts w:asciiTheme="minorHAnsi" w:hAnsiTheme="minorHAnsi" w:cstheme="minorHAnsi"/>
                <w:sz w:val="22"/>
                <w:szCs w:val="22"/>
                <w:lang w:val="en-GB"/>
              </w:rPr>
              <w:t xml:space="preserve"> management of national land assets through the law on the national domain only provides for urban areas, classified areas, terroir areas and pioneer areas which, today, are returned to the terroir areas. There is therefore an increasing need to implement an update of the </w:t>
            </w:r>
            <w:r w:rsidR="002605F4" w:rsidRPr="00E01239">
              <w:rPr>
                <w:rFonts w:asciiTheme="minorHAnsi" w:hAnsiTheme="minorHAnsi" w:cstheme="minorHAnsi"/>
                <w:sz w:val="22"/>
                <w:szCs w:val="22"/>
                <w:lang w:val="en-GB"/>
              </w:rPr>
              <w:t>land use and development plan (</w:t>
            </w:r>
            <w:r w:rsidRPr="00E01239">
              <w:rPr>
                <w:rFonts w:asciiTheme="minorHAnsi" w:hAnsiTheme="minorHAnsi" w:cstheme="minorHAnsi"/>
                <w:sz w:val="22"/>
                <w:szCs w:val="22"/>
                <w:lang w:val="en-GB"/>
              </w:rPr>
              <w:t>POAS</w:t>
            </w:r>
            <w:r w:rsidR="002605F4"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in the project areas. The insecurity and crisis situation experienced by Casamance are at the origin of a strong sensitivity on the occupation of land and have led to social conflicts related to land</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5B606C87" w14:textId="5248E19C" w:rsidR="00493CE2" w:rsidRPr="00E01239" w:rsidRDefault="003C59F0" w:rsidP="00F43E8A">
            <w:pPr>
              <w:jc w:val="center"/>
              <w:rPr>
                <w:rFonts w:asciiTheme="minorHAnsi" w:eastAsia="Calibri" w:hAnsiTheme="minorHAnsi" w:cstheme="minorHAnsi"/>
                <w:color w:val="FF0000"/>
                <w:sz w:val="22"/>
                <w:szCs w:val="22"/>
              </w:rPr>
            </w:pPr>
            <w:r w:rsidRPr="00E01239">
              <w:rPr>
                <w:rFonts w:asciiTheme="minorHAnsi" w:hAnsiTheme="minorHAnsi" w:cstheme="minorHAnsi"/>
                <w:sz w:val="22"/>
                <w:szCs w:val="22"/>
              </w:rPr>
              <w:t xml:space="preserve">High </w:t>
            </w:r>
          </w:p>
        </w:tc>
      </w:tr>
      <w:tr w:rsidR="00493CE2" w:rsidRPr="00E01239" w14:paraId="05FDE3BF" w14:textId="77777777" w:rsidTr="00F43E8A">
        <w:trPr>
          <w:trHeight w:val="834"/>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61C6DDD5" w14:textId="77777777" w:rsidR="00493CE2" w:rsidRPr="00E01239" w:rsidRDefault="00493CE2" w:rsidP="00F43E8A">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Sexual Exploitation and Abuse (SEA), and Sexual Harassment (HS)</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25391CAE" w14:textId="436B761F" w:rsidR="00493CE2" w:rsidRPr="00E01239" w:rsidRDefault="00493CE2" w:rsidP="002605F4">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 xml:space="preserve">The work and influx of workers present a substantial risk of </w:t>
            </w:r>
            <w:r w:rsidR="002605F4" w:rsidRPr="00E01239">
              <w:rPr>
                <w:rFonts w:asciiTheme="minorHAnsi" w:hAnsiTheme="minorHAnsi" w:cstheme="minorHAnsi"/>
                <w:sz w:val="22"/>
                <w:szCs w:val="22"/>
                <w:lang w:val="en-GB"/>
              </w:rPr>
              <w:t>Sexual Exploitation and Abuse (SEA) and Sexual Harassment (SH)</w:t>
            </w:r>
            <w:r w:rsidRPr="00E01239">
              <w:rPr>
                <w:rFonts w:asciiTheme="minorHAnsi" w:hAnsiTheme="minorHAnsi" w:cstheme="minorHAnsi"/>
                <w:sz w:val="22"/>
                <w:szCs w:val="22"/>
                <w:lang w:val="en-GB"/>
              </w:rPr>
              <w:t xml:space="preserve">. Gatherings around markets and economic centres can also pose </w:t>
            </w:r>
            <w:r w:rsidR="002605F4" w:rsidRPr="00E01239">
              <w:rPr>
                <w:rFonts w:asciiTheme="minorHAnsi" w:hAnsiTheme="minorHAnsi" w:cstheme="minorHAnsi"/>
                <w:sz w:val="22"/>
                <w:szCs w:val="22"/>
                <w:lang w:val="en-GB"/>
              </w:rPr>
              <w:t>SEA</w:t>
            </w:r>
            <w:r w:rsidRPr="00E01239">
              <w:rPr>
                <w:rFonts w:asciiTheme="minorHAnsi" w:hAnsiTheme="minorHAnsi" w:cstheme="minorHAnsi"/>
                <w:sz w:val="22"/>
                <w:szCs w:val="22"/>
                <w:lang w:val="en-GB"/>
              </w:rPr>
              <w:t>/</w:t>
            </w:r>
            <w:r w:rsidR="002605F4" w:rsidRPr="00E01239">
              <w:rPr>
                <w:rFonts w:asciiTheme="minorHAnsi" w:hAnsiTheme="minorHAnsi" w:cstheme="minorHAnsi"/>
                <w:sz w:val="22"/>
                <w:szCs w:val="22"/>
                <w:lang w:val="en-GB"/>
              </w:rPr>
              <w:t>S</w:t>
            </w:r>
            <w:r w:rsidRPr="00E01239">
              <w:rPr>
                <w:rFonts w:asciiTheme="minorHAnsi" w:hAnsiTheme="minorHAnsi" w:cstheme="minorHAnsi"/>
                <w:sz w:val="22"/>
                <w:szCs w:val="22"/>
                <w:lang w:val="en-GB"/>
              </w:rPr>
              <w:t xml:space="preserve">H risks, particularly because of the risks of exclusion of vulnerable groups such as women and girls. In addition, the implementation of the project may lead to blockages and recriminations by men towards the women beneficiaries of investments and thus induce </w:t>
            </w:r>
            <w:r w:rsidR="002605F4" w:rsidRPr="00E01239">
              <w:rPr>
                <w:rFonts w:asciiTheme="minorHAnsi" w:hAnsiTheme="minorHAnsi" w:cstheme="minorHAnsi"/>
                <w:sz w:val="22"/>
                <w:szCs w:val="22"/>
                <w:lang w:val="en-GB"/>
              </w:rPr>
              <w:t>SEA</w:t>
            </w:r>
            <w:r w:rsidR="002605F4" w:rsidRPr="00E01239" w:rsidDel="002605F4">
              <w:rPr>
                <w:rFonts w:asciiTheme="minorHAnsi" w:hAnsiTheme="minorHAnsi" w:cstheme="minorHAnsi"/>
                <w:sz w:val="22"/>
                <w:szCs w:val="22"/>
                <w:lang w:val="en-GB"/>
              </w:rPr>
              <w:t xml:space="preserve"> </w:t>
            </w:r>
            <w:r w:rsidRPr="00E01239">
              <w:rPr>
                <w:rFonts w:asciiTheme="minorHAnsi" w:hAnsiTheme="minorHAnsi" w:cstheme="minorHAnsi"/>
                <w:sz w:val="22"/>
                <w:szCs w:val="22"/>
                <w:lang w:val="en-GB"/>
              </w:rPr>
              <w:t>/S</w:t>
            </w:r>
            <w:r w:rsidR="002605F4" w:rsidRPr="00E01239">
              <w:rPr>
                <w:rFonts w:asciiTheme="minorHAnsi" w:hAnsiTheme="minorHAnsi" w:cstheme="minorHAnsi"/>
                <w:sz w:val="22"/>
                <w:szCs w:val="22"/>
                <w:lang w:val="en-GB"/>
              </w:rPr>
              <w:t>H</w:t>
            </w:r>
            <w:r w:rsidRPr="00E01239">
              <w:rPr>
                <w:rFonts w:asciiTheme="minorHAnsi" w:hAnsiTheme="minorHAnsi" w:cstheme="minorHAnsi"/>
                <w:sz w:val="22"/>
                <w:szCs w:val="22"/>
                <w:lang w:val="en-GB"/>
              </w:rPr>
              <w:t xml:space="preserve"> risks. The implementation of the project should be accompanied by sensitization of men on the integration of vulnerable groups in the agricultural and pastoral development process.</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1B0E130F" w14:textId="51040A64" w:rsidR="00493CE2" w:rsidRPr="00E01239" w:rsidRDefault="003C59F0" w:rsidP="00F43E8A">
            <w:pPr>
              <w:jc w:val="center"/>
              <w:rPr>
                <w:rFonts w:asciiTheme="minorHAnsi" w:eastAsia="Calibri" w:hAnsiTheme="minorHAnsi" w:cstheme="minorHAnsi"/>
                <w:sz w:val="22"/>
                <w:szCs w:val="22"/>
              </w:rPr>
            </w:pPr>
            <w:r w:rsidRPr="00E01239">
              <w:rPr>
                <w:rFonts w:asciiTheme="minorHAnsi" w:hAnsiTheme="minorHAnsi" w:cstheme="minorHAnsi"/>
                <w:sz w:val="22"/>
                <w:szCs w:val="22"/>
              </w:rPr>
              <w:t xml:space="preserve">High </w:t>
            </w:r>
          </w:p>
        </w:tc>
      </w:tr>
    </w:tbl>
    <w:p w14:paraId="7816B9D3" w14:textId="77777777" w:rsidR="00493CE2" w:rsidRPr="00E01239" w:rsidRDefault="00493CE2" w:rsidP="00027669">
      <w:pPr>
        <w:numPr>
          <w:ilvl w:val="0"/>
          <w:numId w:val="188"/>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 xml:space="preserve">POTENTIAL ENVIRONMENTAL AND SOCIAL RISKS </w:t>
      </w:r>
    </w:p>
    <w:p w14:paraId="30C7AFCB" w14:textId="77777777" w:rsidR="00493CE2" w:rsidRPr="00E01239" w:rsidRDefault="00493CE2" w:rsidP="00493CE2">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The implementation of the various components of the FSRP-NS will have a set of positive impacts but also negative environmental and social effects.</w:t>
      </w:r>
    </w:p>
    <w:p w14:paraId="77AFC985" w14:textId="77777777" w:rsidR="00493CE2" w:rsidRPr="00E01239" w:rsidRDefault="00493CE2" w:rsidP="00493CE2">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The major positive impacts induced by the activities of the FSRP-SN are:</w:t>
      </w:r>
    </w:p>
    <w:p w14:paraId="2DD2FE29" w14:textId="77777777" w:rsidR="00493CE2" w:rsidRPr="00E01239" w:rsidRDefault="00493CE2" w:rsidP="00027669">
      <w:pPr>
        <w:pStyle w:val="Paragraphedeliste"/>
        <w:numPr>
          <w:ilvl w:val="0"/>
          <w:numId w:val="187"/>
        </w:num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 xml:space="preserve">Strengthening the resilience of productive systems to climatic hazards </w:t>
      </w:r>
    </w:p>
    <w:p w14:paraId="126D34B4" w14:textId="77777777" w:rsidR="00493CE2" w:rsidRPr="00E01239" w:rsidRDefault="00493CE2" w:rsidP="00027669">
      <w:pPr>
        <w:pStyle w:val="Paragraphedeliste"/>
        <w:numPr>
          <w:ilvl w:val="0"/>
          <w:numId w:val="187"/>
        </w:num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Improving the governance of food security monitoring mechanisms</w:t>
      </w:r>
    </w:p>
    <w:p w14:paraId="028B8DA6" w14:textId="77777777" w:rsidR="00493CE2" w:rsidRPr="00E01239" w:rsidRDefault="00493CE2" w:rsidP="00027669">
      <w:pPr>
        <w:pStyle w:val="Paragraphedeliste"/>
        <w:numPr>
          <w:ilvl w:val="0"/>
          <w:numId w:val="187"/>
        </w:num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Strengthening the monitoring and early warning system for crop pests</w:t>
      </w:r>
    </w:p>
    <w:p w14:paraId="3EC5CBE2" w14:textId="77777777" w:rsidR="00493CE2" w:rsidRPr="00E01239" w:rsidRDefault="00493CE2" w:rsidP="00027669">
      <w:pPr>
        <w:pStyle w:val="Paragraphedeliste"/>
        <w:numPr>
          <w:ilvl w:val="0"/>
          <w:numId w:val="187"/>
        </w:numPr>
        <w:spacing w:before="120" w:line="280" w:lineRule="exact"/>
        <w:jc w:val="both"/>
        <w:rPr>
          <w:rFonts w:asciiTheme="minorHAnsi" w:eastAsia="Calibri" w:hAnsiTheme="minorHAnsi" w:cstheme="minorHAnsi"/>
          <w:sz w:val="22"/>
          <w:szCs w:val="22"/>
        </w:rPr>
      </w:pPr>
      <w:proofErr w:type="spellStart"/>
      <w:r w:rsidRPr="00E01239">
        <w:rPr>
          <w:rFonts w:asciiTheme="minorHAnsi" w:hAnsiTheme="minorHAnsi" w:cstheme="minorHAnsi"/>
          <w:sz w:val="22"/>
          <w:szCs w:val="22"/>
        </w:rPr>
        <w:t>Genetic</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improvement</w:t>
      </w:r>
      <w:proofErr w:type="spellEnd"/>
      <w:r w:rsidRPr="00E01239">
        <w:rPr>
          <w:rFonts w:asciiTheme="minorHAnsi" w:hAnsiTheme="minorHAnsi" w:cstheme="minorHAnsi"/>
          <w:sz w:val="22"/>
          <w:szCs w:val="22"/>
        </w:rPr>
        <w:t xml:space="preserve"> of </w:t>
      </w:r>
      <w:proofErr w:type="spellStart"/>
      <w:r w:rsidRPr="00E01239">
        <w:rPr>
          <w:rFonts w:asciiTheme="minorHAnsi" w:hAnsiTheme="minorHAnsi" w:cstheme="minorHAnsi"/>
          <w:sz w:val="22"/>
          <w:szCs w:val="22"/>
        </w:rPr>
        <w:t>livestock</w:t>
      </w:r>
      <w:proofErr w:type="spellEnd"/>
    </w:p>
    <w:p w14:paraId="452B67E2" w14:textId="77777777" w:rsidR="00493CE2" w:rsidRPr="00E01239" w:rsidRDefault="00493CE2" w:rsidP="00027669">
      <w:pPr>
        <w:pStyle w:val="Paragraphedeliste"/>
        <w:numPr>
          <w:ilvl w:val="0"/>
          <w:numId w:val="187"/>
        </w:num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Modernisation of national agricultural advisory and extension services</w:t>
      </w:r>
    </w:p>
    <w:p w14:paraId="2D3D1E39" w14:textId="77777777" w:rsidR="00493CE2" w:rsidRPr="00E01239" w:rsidRDefault="00493CE2" w:rsidP="00027669">
      <w:pPr>
        <w:pStyle w:val="Paragraphedeliste"/>
        <w:numPr>
          <w:ilvl w:val="0"/>
          <w:numId w:val="187"/>
        </w:num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Strengthening local planning tools with the determination of vocation areas</w:t>
      </w:r>
    </w:p>
    <w:p w14:paraId="1CBD315F" w14:textId="77777777" w:rsidR="00493CE2" w:rsidRPr="00E01239" w:rsidRDefault="00493CE2" w:rsidP="00027669">
      <w:pPr>
        <w:pStyle w:val="Paragraphedeliste"/>
        <w:numPr>
          <w:ilvl w:val="0"/>
          <w:numId w:val="187"/>
        </w:num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Development of tools to quantify GHG emissions from food systems to assess the contribution of the agriculture and livestock sector to the NDC</w:t>
      </w:r>
    </w:p>
    <w:p w14:paraId="211BD9FD" w14:textId="77777777" w:rsidR="00493CE2" w:rsidRPr="00E01239" w:rsidRDefault="00493CE2" w:rsidP="00027669">
      <w:pPr>
        <w:pStyle w:val="Paragraphedeliste"/>
        <w:numPr>
          <w:ilvl w:val="0"/>
          <w:numId w:val="187"/>
        </w:num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Social inclusion and strengthening of the employability of young people and women in the financing of economic sub-projects in the different links of animal value chains</w:t>
      </w:r>
    </w:p>
    <w:p w14:paraId="44867588" w14:textId="77777777" w:rsidR="00493CE2" w:rsidRPr="00E01239" w:rsidRDefault="00493CE2" w:rsidP="00027669">
      <w:pPr>
        <w:pStyle w:val="Paragraphedeliste"/>
        <w:numPr>
          <w:ilvl w:val="0"/>
          <w:numId w:val="187"/>
        </w:numPr>
        <w:spacing w:before="120" w:line="280" w:lineRule="exact"/>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Strengthening Immunization Service Delivery (MEPA)</w:t>
      </w:r>
    </w:p>
    <w:p w14:paraId="7557CC34" w14:textId="77777777" w:rsidR="00493CE2" w:rsidRPr="00E01239" w:rsidRDefault="00493CE2" w:rsidP="00493CE2">
      <w:pPr>
        <w:jc w:val="both"/>
        <w:rPr>
          <w:rFonts w:asciiTheme="minorHAnsi" w:eastAsia="Calibri" w:hAnsiTheme="minorHAnsi" w:cstheme="minorHAnsi"/>
          <w:sz w:val="22"/>
          <w:szCs w:val="22"/>
          <w:lang w:val="en-GB"/>
        </w:rPr>
      </w:pPr>
    </w:p>
    <w:p w14:paraId="4441D303" w14:textId="0C9F6BCA" w:rsidR="00493CE2" w:rsidRPr="00E01239" w:rsidRDefault="00493CE2" w:rsidP="00493CE2">
      <w:pPr>
        <w:jc w:val="both"/>
        <w:rPr>
          <w:rFonts w:asciiTheme="minorHAnsi" w:eastAsia="Calibri" w:hAnsiTheme="minorHAnsi" w:cstheme="minorHAnsi"/>
          <w:sz w:val="22"/>
          <w:szCs w:val="22"/>
          <w:lang w:val="en-GB"/>
        </w:rPr>
      </w:pPr>
      <w:r w:rsidRPr="00E01239">
        <w:rPr>
          <w:rFonts w:asciiTheme="minorHAnsi" w:hAnsiTheme="minorHAnsi" w:cstheme="minorHAnsi"/>
          <w:sz w:val="22"/>
          <w:szCs w:val="22"/>
          <w:lang w:val="en-GB"/>
        </w:rPr>
        <w:t>On the other hand, several negative effects are foreseen in the implementation and exploitation phases of the planned investments in the various components of the FSRP-</w:t>
      </w:r>
      <w:r w:rsidR="00860E33" w:rsidRPr="00E01239">
        <w:rPr>
          <w:rFonts w:asciiTheme="minorHAnsi" w:hAnsiTheme="minorHAnsi" w:cstheme="minorHAnsi"/>
          <w:sz w:val="22"/>
          <w:szCs w:val="22"/>
          <w:lang w:val="en-GB"/>
        </w:rPr>
        <w:t>SN</w:t>
      </w:r>
      <w:r w:rsidRPr="00E01239">
        <w:rPr>
          <w:rFonts w:asciiTheme="minorHAnsi" w:hAnsiTheme="minorHAnsi" w:cstheme="minorHAnsi"/>
          <w:sz w:val="22"/>
          <w:szCs w:val="22"/>
          <w:lang w:val="en-GB"/>
        </w:rPr>
        <w:t>.</w:t>
      </w:r>
    </w:p>
    <w:p w14:paraId="2C48F820" w14:textId="77777777" w:rsidR="00493CE2" w:rsidRPr="00E01239" w:rsidRDefault="00493CE2" w:rsidP="00493CE2">
      <w:pPr>
        <w:jc w:val="both"/>
        <w:rPr>
          <w:rFonts w:asciiTheme="minorHAnsi" w:eastAsia="Calibri" w:hAnsiTheme="minorHAnsi" w:cstheme="minorHAnsi"/>
          <w:sz w:val="22"/>
          <w:szCs w:val="22"/>
          <w:lang w:val="en-GB"/>
        </w:rPr>
      </w:pPr>
    </w:p>
    <w:p w14:paraId="0663BBE5" w14:textId="77777777" w:rsidR="00493CE2" w:rsidRPr="00E01239" w:rsidRDefault="00493CE2" w:rsidP="00027669">
      <w:pPr>
        <w:pStyle w:val="Paragraphedeliste"/>
        <w:numPr>
          <w:ilvl w:val="0"/>
          <w:numId w:val="182"/>
        </w:numPr>
        <w:spacing w:line="360" w:lineRule="exact"/>
        <w:ind w:left="426"/>
        <w:jc w:val="both"/>
        <w:rPr>
          <w:rFonts w:asciiTheme="minorHAnsi" w:hAnsiTheme="minorHAnsi" w:cstheme="minorHAnsi"/>
          <w:sz w:val="22"/>
          <w:szCs w:val="22"/>
          <w:u w:val="single"/>
          <w:lang w:val="en-GB"/>
        </w:rPr>
      </w:pPr>
      <w:r w:rsidRPr="00E01239">
        <w:rPr>
          <w:rFonts w:asciiTheme="minorHAnsi" w:hAnsiTheme="minorHAnsi" w:cstheme="minorHAnsi"/>
          <w:sz w:val="22"/>
          <w:szCs w:val="22"/>
          <w:u w:val="single"/>
          <w:lang w:val="en-GB"/>
        </w:rPr>
        <w:t>During the construction phase, the potential major impacts are:</w:t>
      </w:r>
    </w:p>
    <w:p w14:paraId="3B2BF29E" w14:textId="77777777"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The social impacts induced by construction site installations with the need to acquire land for their development,</w:t>
      </w:r>
    </w:p>
    <w:p w14:paraId="20077A9B" w14:textId="77777777"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lastRenderedPageBreak/>
        <w:t>The risks of alteration of the quality of water bodies by accidental oil spills, the resuspension of fine particles, the use of materials from quarries, water runoff in contact with contaminated soils, etc.</w:t>
      </w:r>
    </w:p>
    <w:p w14:paraId="59F752AA" w14:textId="77777777"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The modification of natural livestock transhumance areas with the consequences of accidents related to cohabitation with construction machinery, the exposure of livestock to certain forms of pollution at watering points and localized conflicts with herders over rights of way</w:t>
      </w:r>
    </w:p>
    <w:p w14:paraId="002B331B" w14:textId="5AF6E6C5"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Increased risks of sexual exploitation and abuse/harassment (</w:t>
      </w:r>
      <w:r w:rsidR="00860E33" w:rsidRPr="00E01239">
        <w:rPr>
          <w:rFonts w:asciiTheme="minorHAnsi" w:hAnsiTheme="minorHAnsi" w:cstheme="minorHAnsi"/>
          <w:sz w:val="22"/>
          <w:szCs w:val="22"/>
          <w:lang w:val="en-GB"/>
        </w:rPr>
        <w:t>SEA/SH</w:t>
      </w:r>
      <w:r w:rsidRPr="00E01239">
        <w:rPr>
          <w:rFonts w:asciiTheme="minorHAnsi" w:hAnsiTheme="minorHAnsi" w:cstheme="minorHAnsi"/>
          <w:sz w:val="22"/>
          <w:szCs w:val="22"/>
          <w:lang w:val="en-GB"/>
        </w:rPr>
        <w:t>) mainly due to the influx of foreign workers, the use of local labour, the increase in workers' disposable income which may increase the incidence of prostitution, etc.</w:t>
      </w:r>
    </w:p>
    <w:p w14:paraId="7FA0759F" w14:textId="77777777" w:rsidR="00493CE2" w:rsidRPr="00E01239" w:rsidRDefault="00493CE2" w:rsidP="00027669">
      <w:pPr>
        <w:pStyle w:val="Paragraphedeliste"/>
        <w:numPr>
          <w:ilvl w:val="0"/>
          <w:numId w:val="182"/>
        </w:numPr>
        <w:spacing w:line="360" w:lineRule="exact"/>
        <w:ind w:left="426"/>
        <w:jc w:val="both"/>
        <w:rPr>
          <w:rFonts w:asciiTheme="minorHAnsi" w:hAnsiTheme="minorHAnsi" w:cstheme="minorHAnsi"/>
          <w:sz w:val="22"/>
          <w:szCs w:val="22"/>
          <w:u w:val="single"/>
          <w:lang w:val="en-GB"/>
        </w:rPr>
      </w:pPr>
      <w:r w:rsidRPr="00E01239">
        <w:rPr>
          <w:rFonts w:asciiTheme="minorHAnsi" w:hAnsiTheme="minorHAnsi" w:cstheme="minorHAnsi"/>
          <w:sz w:val="22"/>
          <w:szCs w:val="22"/>
          <w:u w:val="single"/>
          <w:lang w:val="en-GB"/>
        </w:rPr>
        <w:t>In the exploitation phase of FSRP-SN investments, the major potential impacts are:</w:t>
      </w:r>
    </w:p>
    <w:p w14:paraId="49CD5026" w14:textId="77777777"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rPr>
      </w:pPr>
      <w:r w:rsidRPr="00E01239">
        <w:rPr>
          <w:rFonts w:asciiTheme="minorHAnsi" w:hAnsiTheme="minorHAnsi" w:cstheme="minorHAnsi"/>
          <w:sz w:val="22"/>
          <w:szCs w:val="22"/>
        </w:rPr>
        <w:t>Alteration of land use areas</w:t>
      </w:r>
    </w:p>
    <w:p w14:paraId="6488A9BA" w14:textId="77777777"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Increasing the carbon footprint of the agriculture and livestock sectors</w:t>
      </w:r>
    </w:p>
    <w:p w14:paraId="69E4424C" w14:textId="230F8DAC"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The destruction of natural ecosystems </w:t>
      </w:r>
      <w:r w:rsidR="00D91B82" w:rsidRPr="00E01239">
        <w:rPr>
          <w:rFonts w:asciiTheme="minorHAnsi" w:hAnsiTheme="minorHAnsi" w:cstheme="minorHAnsi"/>
          <w:sz w:val="22"/>
          <w:szCs w:val="22"/>
          <w:lang w:val="en-GB"/>
        </w:rPr>
        <w:t>using</w:t>
      </w:r>
      <w:r w:rsidRPr="00E01239">
        <w:rPr>
          <w:rFonts w:asciiTheme="minorHAnsi" w:hAnsiTheme="minorHAnsi" w:cstheme="minorHAnsi"/>
          <w:sz w:val="22"/>
          <w:szCs w:val="22"/>
          <w:lang w:val="en-GB"/>
        </w:rPr>
        <w:t xml:space="preserve"> pesticides</w:t>
      </w:r>
    </w:p>
    <w:p w14:paraId="74D055DE" w14:textId="77777777"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Surface water pollution by drainage of agricultural plots and loss of natural areas used for avian resources,</w:t>
      </w:r>
    </w:p>
    <w:p w14:paraId="777B13F1" w14:textId="26BAD62E"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The risks of proliferation of invasive plants</w:t>
      </w:r>
    </w:p>
    <w:p w14:paraId="47B8ECC7" w14:textId="77777777"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Increasing withdrawals from surface water resources</w:t>
      </w:r>
    </w:p>
    <w:p w14:paraId="1C605B3F" w14:textId="52F1F702" w:rsidR="00493CE2" w:rsidRPr="00E01239" w:rsidRDefault="00493CE2" w:rsidP="00027669">
      <w:pPr>
        <w:pStyle w:val="Paragraphedeliste"/>
        <w:numPr>
          <w:ilvl w:val="0"/>
          <w:numId w:val="181"/>
        </w:numPr>
        <w:spacing w:line="360" w:lineRule="exact"/>
        <w:ind w:hanging="294"/>
        <w:jc w:val="both"/>
        <w:rPr>
          <w:rFonts w:asciiTheme="minorHAnsi" w:hAnsiTheme="minorHAnsi" w:cstheme="minorHAnsi"/>
          <w:sz w:val="22"/>
          <w:szCs w:val="22"/>
          <w:lang w:val="en-GB"/>
        </w:rPr>
      </w:pPr>
      <w:r w:rsidRPr="00E01239">
        <w:rPr>
          <w:rFonts w:asciiTheme="minorHAnsi" w:hAnsiTheme="minorHAnsi" w:cstheme="minorHAnsi"/>
          <w:sz w:val="22"/>
          <w:szCs w:val="22"/>
          <w:lang w:val="en-GB"/>
        </w:rPr>
        <w:t>Exposure of pastoral actors to the chemical and infectious risks induced by biomedical waste</w:t>
      </w:r>
      <w:r w:rsidR="00D91B82" w:rsidRPr="00E01239">
        <w:rPr>
          <w:rFonts w:asciiTheme="minorHAnsi" w:hAnsiTheme="minorHAnsi" w:cstheme="minorHAnsi"/>
          <w:sz w:val="22"/>
          <w:szCs w:val="22"/>
          <w:lang w:val="en-GB"/>
        </w:rPr>
        <w:t>.</w:t>
      </w:r>
    </w:p>
    <w:p w14:paraId="51827286" w14:textId="1704ABF7" w:rsidR="00860E33" w:rsidRPr="00E01239" w:rsidRDefault="00860E33" w:rsidP="00047AA4">
      <w:pPr>
        <w:numPr>
          <w:ilvl w:val="0"/>
          <w:numId w:val="188"/>
        </w:numPr>
        <w:spacing w:before="120" w:line="360" w:lineRule="exact"/>
        <w:jc w:val="both"/>
        <w:rPr>
          <w:rFonts w:asciiTheme="minorHAnsi" w:hAnsiTheme="minorHAnsi" w:cstheme="minorHAnsi"/>
          <w:b/>
          <w:color w:val="5B9BD5"/>
          <w:sz w:val="22"/>
          <w:szCs w:val="22"/>
          <w:lang w:val="en-GB"/>
        </w:rPr>
      </w:pPr>
      <w:r w:rsidRPr="00E01239">
        <w:rPr>
          <w:rFonts w:asciiTheme="minorHAnsi" w:hAnsiTheme="minorHAnsi" w:cstheme="minorHAnsi"/>
          <w:b/>
          <w:color w:val="5B9BD5"/>
          <w:sz w:val="22"/>
          <w:szCs w:val="22"/>
          <w:lang w:val="en-GB"/>
        </w:rPr>
        <w:t xml:space="preserve">ENVIRONMENTAL AND SOCIAL MANAGEMENT FRAMEWORK PLAN (ESMP) </w:t>
      </w:r>
    </w:p>
    <w:p w14:paraId="0E764461" w14:textId="3FBE3B78" w:rsidR="00493CE2" w:rsidRPr="00E01239" w:rsidRDefault="00493CE2" w:rsidP="00493CE2">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It should be noted that the FSRP-</w:t>
      </w:r>
      <w:r w:rsidR="00860E33" w:rsidRPr="00E01239">
        <w:rPr>
          <w:rFonts w:asciiTheme="minorHAnsi" w:hAnsiTheme="minorHAnsi" w:cstheme="minorHAnsi"/>
          <w:sz w:val="22"/>
          <w:szCs w:val="22"/>
          <w:lang w:val="en-GB"/>
        </w:rPr>
        <w:t xml:space="preserve">SN </w:t>
      </w:r>
      <w:r w:rsidRPr="00E01239">
        <w:rPr>
          <w:rFonts w:asciiTheme="minorHAnsi" w:hAnsiTheme="minorHAnsi" w:cstheme="minorHAnsi"/>
          <w:sz w:val="22"/>
          <w:szCs w:val="22"/>
          <w:lang w:val="en-GB"/>
        </w:rPr>
        <w:t xml:space="preserve">is classified as </w:t>
      </w:r>
      <w:r w:rsidR="00860E33" w:rsidRPr="00E01239">
        <w:rPr>
          <w:rFonts w:asciiTheme="minorHAnsi" w:hAnsiTheme="minorHAnsi" w:cstheme="minorHAnsi"/>
          <w:b/>
          <w:sz w:val="22"/>
          <w:szCs w:val="22"/>
          <w:lang w:val="en-GB"/>
        </w:rPr>
        <w:t xml:space="preserve">substantial </w:t>
      </w:r>
      <w:r w:rsidRPr="00E01239">
        <w:rPr>
          <w:rFonts w:asciiTheme="minorHAnsi" w:hAnsiTheme="minorHAnsi" w:cstheme="minorHAnsi"/>
          <w:b/>
          <w:sz w:val="22"/>
          <w:szCs w:val="22"/>
          <w:lang w:val="en-GB"/>
        </w:rPr>
        <w:t xml:space="preserve">environmental and </w:t>
      </w:r>
      <w:r w:rsidR="00860E33" w:rsidRPr="00E01239">
        <w:rPr>
          <w:rFonts w:asciiTheme="minorHAnsi" w:hAnsiTheme="minorHAnsi" w:cstheme="minorHAnsi"/>
          <w:b/>
          <w:sz w:val="22"/>
          <w:szCs w:val="22"/>
          <w:lang w:val="en-GB"/>
        </w:rPr>
        <w:t xml:space="preserve">social risk </w:t>
      </w:r>
      <w:r w:rsidRPr="00E01239">
        <w:rPr>
          <w:rFonts w:asciiTheme="minorHAnsi" w:hAnsiTheme="minorHAnsi" w:cstheme="minorHAnsi"/>
          <w:sz w:val="22"/>
          <w:szCs w:val="22"/>
          <w:lang w:val="en-GB"/>
        </w:rPr>
        <w:t>by the World Bank because of the nature of the activities it may require and their sensitivity, which corresponds to category 1 according to national legislation.</w:t>
      </w:r>
    </w:p>
    <w:p w14:paraId="2E50CBE4" w14:textId="300E9805" w:rsidR="00860E33" w:rsidRPr="00E01239" w:rsidRDefault="00860E33" w:rsidP="00860E33">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The Environmental and Social Management Framework Plan (ESMP) drawn up includes the procedure for the environmental and social for the environmental and social selection of sub-projects (screening).</w:t>
      </w:r>
    </w:p>
    <w:p w14:paraId="6A29F163" w14:textId="68B75C41" w:rsidR="00493CE2" w:rsidRPr="00E01239" w:rsidRDefault="00493CE2" w:rsidP="00493CE2">
      <w:pPr>
        <w:suppressAutoHyphens/>
        <w:autoSpaceDN w:val="0"/>
        <w:spacing w:before="120" w:line="360" w:lineRule="exact"/>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The screening process proposed in this </w:t>
      </w:r>
      <w:r w:rsidR="00860E33" w:rsidRPr="00E01239">
        <w:rPr>
          <w:rFonts w:asciiTheme="minorHAnsi" w:hAnsiTheme="minorHAnsi" w:cstheme="minorHAnsi"/>
          <w:sz w:val="22"/>
          <w:szCs w:val="22"/>
          <w:lang w:val="en-GB"/>
        </w:rPr>
        <w:t>ESMF</w:t>
      </w:r>
      <w:r w:rsidR="00860E33" w:rsidRPr="00E01239">
        <w:rPr>
          <w:rFonts w:asciiTheme="minorHAnsi" w:hAnsiTheme="minorHAnsi" w:cstheme="minorHAnsi"/>
          <w:lang w:val="en-GB"/>
        </w:rPr>
        <w:t xml:space="preserve"> </w:t>
      </w:r>
      <w:r w:rsidRPr="00E01239">
        <w:rPr>
          <w:rFonts w:asciiTheme="minorHAnsi" w:hAnsiTheme="minorHAnsi" w:cstheme="minorHAnsi"/>
          <w:sz w:val="22"/>
          <w:szCs w:val="22"/>
          <w:lang w:val="en-GB"/>
        </w:rPr>
        <w:t xml:space="preserve">remains applicable to all World Bank-financed projects and complements the national environmental assessment procedure, including the screening and classification of sub-projects. The determination of the environmental and social categories of activities will be determined by the result of the environmental and social screening. </w:t>
      </w:r>
    </w:p>
    <w:p w14:paraId="661E4CFD" w14:textId="55706410" w:rsidR="00493CE2" w:rsidRPr="00E01239" w:rsidRDefault="00493CE2" w:rsidP="00493CE2">
      <w:pPr>
        <w:suppressAutoHyphens/>
        <w:autoSpaceDN w:val="0"/>
        <w:spacing w:before="120" w:line="360" w:lineRule="exact"/>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The </w:t>
      </w:r>
      <w:r w:rsidR="00860E33" w:rsidRPr="00E01239">
        <w:rPr>
          <w:rFonts w:asciiTheme="minorHAnsi" w:hAnsiTheme="minorHAnsi" w:cstheme="minorHAnsi"/>
          <w:sz w:val="22"/>
          <w:szCs w:val="22"/>
          <w:lang w:val="en-GB"/>
        </w:rPr>
        <w:t xml:space="preserve">Project Coordination Unit (PCU) </w:t>
      </w:r>
      <w:r w:rsidRPr="00E01239">
        <w:rPr>
          <w:rFonts w:asciiTheme="minorHAnsi" w:hAnsiTheme="minorHAnsi" w:cstheme="minorHAnsi"/>
          <w:sz w:val="22"/>
          <w:szCs w:val="22"/>
          <w:lang w:val="en-GB"/>
        </w:rPr>
        <w:t xml:space="preserve">FSRPSN/MEPA and the </w:t>
      </w:r>
      <w:r w:rsidR="00860E33" w:rsidRPr="00E01239">
        <w:rPr>
          <w:rFonts w:asciiTheme="minorHAnsi" w:hAnsiTheme="minorHAnsi" w:cstheme="minorHAnsi"/>
          <w:sz w:val="22"/>
          <w:szCs w:val="22"/>
          <w:lang w:val="en-GB"/>
        </w:rPr>
        <w:t xml:space="preserve">PCU </w:t>
      </w:r>
      <w:r w:rsidRPr="00E01239">
        <w:rPr>
          <w:rFonts w:asciiTheme="minorHAnsi" w:hAnsiTheme="minorHAnsi" w:cstheme="minorHAnsi"/>
          <w:sz w:val="22"/>
          <w:szCs w:val="22"/>
          <w:lang w:val="en-GB"/>
        </w:rPr>
        <w:t xml:space="preserve">FSRP/MAERSA will be responsible for preparing the technical files of the sub-project activities (identification, recruitment procedure for study providers, etc.). </w:t>
      </w:r>
    </w:p>
    <w:p w14:paraId="337C6093" w14:textId="77777777" w:rsidR="00493CE2" w:rsidRPr="00E01239" w:rsidRDefault="00493CE2" w:rsidP="00493CE2">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The stages of environmental and social management of the sub-projects are described below:</w:t>
      </w:r>
    </w:p>
    <w:p w14:paraId="4591B900" w14:textId="77777777" w:rsidR="00493CE2" w:rsidRPr="00E01239" w:rsidRDefault="00493CE2"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Step 1: Environmental and social classification or screening of sub-projects</w:t>
      </w:r>
    </w:p>
    <w:p w14:paraId="0273076D" w14:textId="77777777" w:rsidR="00493CE2" w:rsidRPr="00E01239" w:rsidRDefault="00493CE2"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proofErr w:type="spellStart"/>
      <w:r w:rsidRPr="00E01239">
        <w:rPr>
          <w:rFonts w:asciiTheme="minorHAnsi" w:hAnsiTheme="minorHAnsi" w:cstheme="minorHAnsi"/>
          <w:bCs/>
          <w:sz w:val="22"/>
          <w:szCs w:val="22"/>
        </w:rPr>
        <w:t>Step</w:t>
      </w:r>
      <w:proofErr w:type="spellEnd"/>
      <w:r w:rsidRPr="00E01239">
        <w:rPr>
          <w:rFonts w:asciiTheme="minorHAnsi" w:hAnsiTheme="minorHAnsi" w:cstheme="minorHAnsi"/>
          <w:bCs/>
          <w:sz w:val="22"/>
          <w:szCs w:val="22"/>
        </w:rPr>
        <w:t xml:space="preserve"> </w:t>
      </w:r>
      <w:proofErr w:type="gramStart"/>
      <w:r w:rsidRPr="00E01239">
        <w:rPr>
          <w:rFonts w:asciiTheme="minorHAnsi" w:hAnsiTheme="minorHAnsi" w:cstheme="minorHAnsi"/>
          <w:bCs/>
          <w:sz w:val="22"/>
          <w:szCs w:val="22"/>
        </w:rPr>
        <w:t>2:</w:t>
      </w:r>
      <w:proofErr w:type="gramEnd"/>
      <w:r w:rsidRPr="00E01239">
        <w:rPr>
          <w:rFonts w:asciiTheme="minorHAnsi" w:hAnsiTheme="minorHAnsi" w:cstheme="minorHAnsi"/>
          <w:bCs/>
          <w:sz w:val="22"/>
          <w:szCs w:val="22"/>
        </w:rPr>
        <w:t xml:space="preserve"> Validation of the classification</w:t>
      </w:r>
    </w:p>
    <w:p w14:paraId="11F08C95" w14:textId="77777777" w:rsidR="00493CE2" w:rsidRPr="00E01239" w:rsidRDefault="00493CE2"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Step 3: Preparation of the environmental and social instrument</w:t>
      </w:r>
    </w:p>
    <w:p w14:paraId="544DFB82" w14:textId="5D5B16A2" w:rsidR="00493CE2" w:rsidRPr="00E01239" w:rsidRDefault="00493CE2"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lastRenderedPageBreak/>
        <w:t xml:space="preserve">Step 4: Review, approval of </w:t>
      </w:r>
      <w:r w:rsidR="00860E33" w:rsidRPr="00E01239">
        <w:rPr>
          <w:rFonts w:asciiTheme="minorHAnsi" w:hAnsiTheme="minorHAnsi" w:cstheme="minorHAnsi"/>
          <w:sz w:val="22"/>
          <w:szCs w:val="22"/>
          <w:lang w:val="en-GB"/>
        </w:rPr>
        <w:t xml:space="preserve">Environmental and Social Impact Assessment (ESIA) </w:t>
      </w:r>
      <w:r w:rsidRPr="00E01239">
        <w:rPr>
          <w:rFonts w:asciiTheme="minorHAnsi" w:hAnsiTheme="minorHAnsi" w:cstheme="minorHAnsi"/>
          <w:sz w:val="22"/>
          <w:szCs w:val="22"/>
          <w:lang w:val="en-GB"/>
        </w:rPr>
        <w:t>/</w:t>
      </w:r>
      <w:r w:rsidR="00F14693" w:rsidRPr="00E01239">
        <w:rPr>
          <w:rFonts w:asciiTheme="minorHAnsi" w:hAnsiTheme="minorHAnsi" w:cstheme="minorHAnsi"/>
          <w:sz w:val="22"/>
          <w:szCs w:val="22"/>
          <w:lang w:val="en-GB"/>
        </w:rPr>
        <w:t>Environmental Impact Analysis (EIA)</w:t>
      </w:r>
      <w:r w:rsidRPr="00E01239">
        <w:rPr>
          <w:rFonts w:asciiTheme="minorHAnsi" w:hAnsiTheme="minorHAnsi" w:cstheme="minorHAnsi"/>
          <w:sz w:val="22"/>
          <w:szCs w:val="22"/>
          <w:lang w:val="en-GB"/>
        </w:rPr>
        <w:t xml:space="preserve"> reports, public hearings and dissemination, and Obtaining the Environmental Conformity Certificate (EAC)</w:t>
      </w:r>
    </w:p>
    <w:p w14:paraId="4EB690BA" w14:textId="77777777" w:rsidR="00493CE2" w:rsidRPr="00E01239" w:rsidRDefault="00493CE2"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rPr>
      </w:pPr>
      <w:proofErr w:type="spellStart"/>
      <w:r w:rsidRPr="00E01239">
        <w:rPr>
          <w:rFonts w:asciiTheme="minorHAnsi" w:hAnsiTheme="minorHAnsi" w:cstheme="minorHAnsi"/>
          <w:bCs/>
          <w:sz w:val="22"/>
          <w:szCs w:val="22"/>
        </w:rPr>
        <w:t>Step</w:t>
      </w:r>
      <w:proofErr w:type="spellEnd"/>
      <w:r w:rsidRPr="00E01239">
        <w:rPr>
          <w:rFonts w:asciiTheme="minorHAnsi" w:hAnsiTheme="minorHAnsi" w:cstheme="minorHAnsi"/>
          <w:bCs/>
          <w:sz w:val="22"/>
          <w:szCs w:val="22"/>
        </w:rPr>
        <w:t xml:space="preserve"> </w:t>
      </w:r>
      <w:proofErr w:type="gramStart"/>
      <w:r w:rsidRPr="00E01239">
        <w:rPr>
          <w:rFonts w:asciiTheme="minorHAnsi" w:hAnsiTheme="minorHAnsi" w:cstheme="minorHAnsi"/>
          <w:bCs/>
          <w:sz w:val="22"/>
          <w:szCs w:val="22"/>
        </w:rPr>
        <w:t>5:</w:t>
      </w:r>
      <w:proofErr w:type="gramEnd"/>
      <w:r w:rsidRPr="00E01239">
        <w:rPr>
          <w:rFonts w:asciiTheme="minorHAnsi" w:hAnsiTheme="minorHAnsi" w:cstheme="minorHAnsi"/>
          <w:bCs/>
          <w:sz w:val="22"/>
          <w:szCs w:val="22"/>
        </w:rPr>
        <w:t xml:space="preserve"> </w:t>
      </w:r>
      <w:proofErr w:type="spellStart"/>
      <w:r w:rsidRPr="00E01239">
        <w:rPr>
          <w:rFonts w:asciiTheme="minorHAnsi" w:hAnsiTheme="minorHAnsi" w:cstheme="minorHAnsi"/>
          <w:bCs/>
          <w:sz w:val="22"/>
          <w:szCs w:val="22"/>
        </w:rPr>
        <w:t>Publish</w:t>
      </w:r>
      <w:proofErr w:type="spellEnd"/>
      <w:r w:rsidRPr="00E01239">
        <w:rPr>
          <w:rFonts w:asciiTheme="minorHAnsi" w:hAnsiTheme="minorHAnsi" w:cstheme="minorHAnsi"/>
          <w:bCs/>
          <w:sz w:val="22"/>
          <w:szCs w:val="22"/>
        </w:rPr>
        <w:t xml:space="preserve"> the document</w:t>
      </w:r>
    </w:p>
    <w:p w14:paraId="4CDB1BFE" w14:textId="77777777" w:rsidR="00493CE2" w:rsidRPr="00E01239" w:rsidRDefault="00493CE2"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Step 6: Integration of environmental and social provisions into tender documents </w:t>
      </w:r>
    </w:p>
    <w:p w14:paraId="0CCDB2BF" w14:textId="371BC016" w:rsidR="00493CE2" w:rsidRPr="00E01239" w:rsidRDefault="00493CE2"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Step 7: Environmental Monitoring by the Approval of the ESMP-Site (including its annexes including the Waste Management Plan, the Health and Safety Plan, the Mitigation Action Plan and Response to GBV Risks, </w:t>
      </w:r>
      <w:r w:rsidR="00F14693" w:rsidRPr="00E01239">
        <w:rPr>
          <w:rFonts w:asciiTheme="minorHAnsi" w:hAnsiTheme="minorHAnsi" w:cstheme="minorHAnsi"/>
          <w:sz w:val="22"/>
          <w:szCs w:val="22"/>
          <w:lang w:val="en-GB"/>
        </w:rPr>
        <w:t>SEA/SH</w:t>
      </w:r>
      <w:r w:rsidRPr="00E01239">
        <w:rPr>
          <w:rFonts w:asciiTheme="minorHAnsi" w:hAnsiTheme="minorHAnsi" w:cstheme="minorHAnsi"/>
          <w:sz w:val="22"/>
          <w:szCs w:val="22"/>
          <w:lang w:val="en-GB"/>
        </w:rPr>
        <w:t>, etc.)</w:t>
      </w:r>
    </w:p>
    <w:p w14:paraId="4A4F0A33" w14:textId="77777777" w:rsidR="00493CE2" w:rsidRPr="00E01239" w:rsidRDefault="00493CE2" w:rsidP="00027669">
      <w:pPr>
        <w:numPr>
          <w:ilvl w:val="0"/>
          <w:numId w:val="183"/>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Step 8: Environmental monitoring of the implementation of the project</w:t>
      </w:r>
    </w:p>
    <w:p w14:paraId="554724F0" w14:textId="77777777" w:rsidR="00493CE2" w:rsidRPr="00E01239" w:rsidRDefault="00493CE2" w:rsidP="00493CE2">
      <w:pPr>
        <w:spacing w:before="120" w:line="360" w:lineRule="exact"/>
        <w:jc w:val="both"/>
        <w:rPr>
          <w:rFonts w:asciiTheme="minorHAnsi" w:hAnsiTheme="minorHAnsi" w:cstheme="minorHAnsi"/>
          <w:sz w:val="22"/>
          <w:szCs w:val="22"/>
          <w:lang w:val="en-GB"/>
        </w:rPr>
      </w:pPr>
    </w:p>
    <w:p w14:paraId="2560DFEF" w14:textId="77777777" w:rsidR="00493CE2" w:rsidRPr="00E01239" w:rsidRDefault="00493CE2" w:rsidP="00027669">
      <w:pPr>
        <w:numPr>
          <w:ilvl w:val="0"/>
          <w:numId w:val="188"/>
        </w:numPr>
        <w:spacing w:before="120" w:line="360" w:lineRule="exact"/>
        <w:jc w:val="both"/>
        <w:rPr>
          <w:rFonts w:asciiTheme="minorHAnsi" w:hAnsiTheme="minorHAnsi" w:cstheme="minorHAnsi"/>
          <w:b/>
          <w:color w:val="5B9BD5"/>
          <w:sz w:val="22"/>
          <w:szCs w:val="22"/>
        </w:rPr>
      </w:pPr>
      <w:r w:rsidRPr="00E01239">
        <w:rPr>
          <w:rFonts w:asciiTheme="minorHAnsi" w:hAnsiTheme="minorHAnsi" w:cstheme="minorHAnsi"/>
          <w:b/>
          <w:color w:val="5B9BD5"/>
          <w:sz w:val="22"/>
          <w:szCs w:val="22"/>
        </w:rPr>
        <w:t xml:space="preserve">ADDITIONAL PROCEDURES </w:t>
      </w:r>
    </w:p>
    <w:p w14:paraId="708369CD" w14:textId="77777777" w:rsidR="00493CE2" w:rsidRPr="00E01239" w:rsidRDefault="00493CE2" w:rsidP="00027669">
      <w:pPr>
        <w:numPr>
          <w:ilvl w:val="0"/>
          <w:numId w:val="184"/>
        </w:numPr>
        <w:shd w:val="clear" w:color="auto" w:fill="FFFFFF"/>
        <w:spacing w:before="120" w:line="360" w:lineRule="exact"/>
        <w:ind w:right="19"/>
        <w:contextualSpacing/>
        <w:jc w:val="both"/>
        <w:rPr>
          <w:rFonts w:asciiTheme="minorHAnsi" w:hAnsiTheme="minorHAnsi" w:cstheme="minorHAnsi"/>
          <w:b/>
          <w:bCs/>
          <w:spacing w:val="-1"/>
          <w:sz w:val="22"/>
          <w:szCs w:val="22"/>
          <w:lang w:val="en-GB"/>
        </w:rPr>
      </w:pPr>
      <w:r w:rsidRPr="00E01239">
        <w:rPr>
          <w:rFonts w:asciiTheme="minorHAnsi" w:hAnsiTheme="minorHAnsi" w:cstheme="minorHAnsi"/>
          <w:b/>
          <w:spacing w:val="-1"/>
          <w:sz w:val="22"/>
          <w:szCs w:val="22"/>
          <w:lang w:val="en-GB"/>
        </w:rPr>
        <w:t>Stakeholder engagement procedure including stakeholder consultation and information</w:t>
      </w:r>
    </w:p>
    <w:p w14:paraId="7C7EDEF2" w14:textId="30D8F04E"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In accordance with the requirements of </w:t>
      </w:r>
      <w:r w:rsidR="00F14693" w:rsidRPr="00E01239">
        <w:rPr>
          <w:rFonts w:asciiTheme="minorHAnsi" w:hAnsiTheme="minorHAnsi" w:cstheme="minorHAnsi"/>
          <w:sz w:val="22"/>
          <w:szCs w:val="22"/>
          <w:lang w:val="en-GB"/>
        </w:rPr>
        <w:t>ESS</w:t>
      </w:r>
      <w:r w:rsidR="00F14693" w:rsidRPr="00E01239" w:rsidDel="00F14693">
        <w:rPr>
          <w:rFonts w:asciiTheme="minorHAnsi" w:hAnsiTheme="minorHAnsi" w:cstheme="minorHAnsi"/>
          <w:sz w:val="22"/>
          <w:szCs w:val="22"/>
          <w:lang w:val="en-GB"/>
        </w:rPr>
        <w:t xml:space="preserve"> </w:t>
      </w:r>
      <w:r w:rsidRPr="00E01239">
        <w:rPr>
          <w:rFonts w:asciiTheme="minorHAnsi" w:hAnsiTheme="minorHAnsi" w:cstheme="minorHAnsi"/>
          <w:sz w:val="22"/>
          <w:szCs w:val="22"/>
          <w:lang w:val="en-GB"/>
        </w:rPr>
        <w:t>10, a Stakeholder Engagement Plan has been prepared in a separate volume. The plan identifies all categories of stakeholders (interested, affected and vulnerable groups) and presents the methodology for information, communication</w:t>
      </w:r>
      <w:r w:rsidR="001B0A25"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stakeholder engagement. Separate and exclusively targeted consultations for women and girls will be conducted at a later date by the </w:t>
      </w:r>
      <w:r w:rsidR="00F14693" w:rsidRPr="00E01239">
        <w:rPr>
          <w:rFonts w:asciiTheme="minorHAnsi" w:hAnsiTheme="minorHAnsi" w:cstheme="minorHAnsi"/>
          <w:sz w:val="22"/>
          <w:szCs w:val="22"/>
          <w:lang w:val="en-GB"/>
        </w:rPr>
        <w:t>PCU</w:t>
      </w:r>
      <w:r w:rsidR="00F14693" w:rsidRPr="00E01239" w:rsidDel="00F14693">
        <w:rPr>
          <w:rFonts w:asciiTheme="minorHAnsi" w:hAnsiTheme="minorHAnsi" w:cstheme="minorHAnsi"/>
          <w:sz w:val="22"/>
          <w:szCs w:val="22"/>
          <w:lang w:val="en-GB"/>
        </w:rPr>
        <w:t xml:space="preserve"> </w:t>
      </w:r>
      <w:r w:rsidRPr="00E01239">
        <w:rPr>
          <w:rFonts w:asciiTheme="minorHAnsi" w:hAnsiTheme="minorHAnsi" w:cstheme="minorHAnsi"/>
          <w:sz w:val="22"/>
          <w:szCs w:val="22"/>
          <w:lang w:val="en-GB"/>
        </w:rPr>
        <w:t xml:space="preserve">FSRP/MEPA and the </w:t>
      </w:r>
      <w:r w:rsidR="00F14693" w:rsidRPr="00E01239">
        <w:rPr>
          <w:rFonts w:asciiTheme="minorHAnsi" w:hAnsiTheme="minorHAnsi" w:cstheme="minorHAnsi"/>
          <w:sz w:val="22"/>
          <w:szCs w:val="22"/>
          <w:lang w:val="en-GB"/>
        </w:rPr>
        <w:t xml:space="preserve">PCU </w:t>
      </w:r>
      <w:r w:rsidRPr="00E01239">
        <w:rPr>
          <w:rFonts w:asciiTheme="minorHAnsi" w:hAnsiTheme="minorHAnsi" w:cstheme="minorHAnsi"/>
          <w:sz w:val="22"/>
          <w:szCs w:val="22"/>
          <w:lang w:val="en-GB"/>
        </w:rPr>
        <w:t>CP FSRP/MAERSA in safe and accessible and female-led locations. This inclusive procedure will be followed for information, consultation</w:t>
      </w:r>
      <w:r w:rsidR="001B0A25"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negotiation to ensure the social acceptability of the project. Consultation tools and techniques will have to conform to a logic of preventive communication and social communication as set out in the </w:t>
      </w:r>
      <w:r w:rsidR="00F14693" w:rsidRPr="00E01239">
        <w:rPr>
          <w:rFonts w:asciiTheme="minorHAnsi" w:hAnsiTheme="minorHAnsi" w:cstheme="minorHAnsi"/>
          <w:sz w:val="22"/>
          <w:szCs w:val="22"/>
          <w:lang w:val="en-GB"/>
        </w:rPr>
        <w:t>Stakeholder Engagement Plan (SEP)</w:t>
      </w:r>
      <w:r w:rsidRPr="00E01239">
        <w:rPr>
          <w:rFonts w:asciiTheme="minorHAnsi" w:hAnsiTheme="minorHAnsi" w:cstheme="minorHAnsi"/>
          <w:sz w:val="22"/>
          <w:szCs w:val="22"/>
          <w:lang w:val="en-GB"/>
        </w:rPr>
        <w:t>.</w:t>
      </w:r>
    </w:p>
    <w:p w14:paraId="2A08C683" w14:textId="77777777" w:rsidR="00F14693" w:rsidRPr="00E01239" w:rsidRDefault="00493CE2" w:rsidP="000A38BF">
      <w:pPr>
        <w:numPr>
          <w:ilvl w:val="0"/>
          <w:numId w:val="184"/>
        </w:numPr>
        <w:shd w:val="clear" w:color="auto" w:fill="FFFFFF"/>
        <w:spacing w:before="120" w:line="360" w:lineRule="exact"/>
        <w:ind w:right="19"/>
        <w:contextualSpacing/>
        <w:jc w:val="both"/>
        <w:rPr>
          <w:rFonts w:asciiTheme="minorHAnsi" w:hAnsiTheme="minorHAnsi" w:cstheme="minorHAnsi"/>
          <w:b/>
          <w:spacing w:val="-1"/>
          <w:sz w:val="22"/>
          <w:szCs w:val="22"/>
          <w:lang w:val="en-GB"/>
        </w:rPr>
      </w:pPr>
      <w:r w:rsidRPr="00E01239">
        <w:rPr>
          <w:rFonts w:asciiTheme="minorHAnsi" w:hAnsiTheme="minorHAnsi" w:cstheme="minorHAnsi"/>
          <w:b/>
          <w:spacing w:val="-1"/>
          <w:sz w:val="22"/>
          <w:szCs w:val="22"/>
          <w:lang w:val="en-GB"/>
        </w:rPr>
        <w:t xml:space="preserve">Procedure for addressing gender-based violence (GBV), </w:t>
      </w:r>
      <w:r w:rsidR="00F14693" w:rsidRPr="00E01239">
        <w:rPr>
          <w:rFonts w:asciiTheme="minorHAnsi" w:hAnsiTheme="minorHAnsi" w:cstheme="minorHAnsi"/>
          <w:b/>
          <w:spacing w:val="-1"/>
          <w:sz w:val="22"/>
          <w:szCs w:val="22"/>
          <w:lang w:val="en-GB"/>
        </w:rPr>
        <w:t>Sexual Exploitation and Abuse (SEA) and Sexual Harassment (SH)</w:t>
      </w:r>
    </w:p>
    <w:p w14:paraId="6B81EB4B" w14:textId="6858504A"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In accordance with the World Bank's ESC, particularly in terms of social risk management, an </w:t>
      </w:r>
      <w:r w:rsidR="00F14693" w:rsidRPr="00E01239">
        <w:rPr>
          <w:rFonts w:asciiTheme="minorHAnsi" w:hAnsiTheme="minorHAnsi" w:cstheme="minorHAnsi"/>
          <w:sz w:val="22"/>
          <w:szCs w:val="22"/>
          <w:lang w:val="en-GB"/>
        </w:rPr>
        <w:t xml:space="preserve">SEA/SH </w:t>
      </w:r>
      <w:r w:rsidRPr="00E01239">
        <w:rPr>
          <w:rFonts w:asciiTheme="minorHAnsi" w:hAnsiTheme="minorHAnsi" w:cstheme="minorHAnsi"/>
          <w:sz w:val="22"/>
          <w:szCs w:val="22"/>
          <w:lang w:val="en-GB"/>
        </w:rPr>
        <w:t>Risk Mitigation and Response Plan has been prepared in separate volume of this CGES. This action plan, which determines the strategy and modalities of implementation, is focused, on the one hand, on actions to prevent gender-based violence, and, on the other hand, on measures to take care of victims if cases are identified.</w:t>
      </w:r>
    </w:p>
    <w:p w14:paraId="722C9B19" w14:textId="0A8029B5"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It consists of two components (</w:t>
      </w:r>
      <w:proofErr w:type="spellStart"/>
      <w:r w:rsidRPr="00E01239">
        <w:rPr>
          <w:rFonts w:asciiTheme="minorHAnsi" w:hAnsiTheme="minorHAnsi" w:cstheme="minorHAnsi"/>
          <w:sz w:val="22"/>
          <w:szCs w:val="22"/>
          <w:lang w:val="en-GB"/>
        </w:rPr>
        <w:t>i</w:t>
      </w:r>
      <w:proofErr w:type="spellEnd"/>
      <w:r w:rsidRPr="00E01239">
        <w:rPr>
          <w:rFonts w:asciiTheme="minorHAnsi" w:hAnsiTheme="minorHAnsi" w:cstheme="minorHAnsi"/>
          <w:sz w:val="22"/>
          <w:szCs w:val="22"/>
          <w:lang w:val="en-GB"/>
        </w:rPr>
        <w:t>) component n°1 covers information, prevention</w:t>
      </w:r>
      <w:r w:rsidR="001B0A25"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awareness-raising activities on gender-based violence and (ii) a second component which deals with the care of victims of violence, health measures and standard standards for the care of potential victims, referral and follow-up of complaint files, psychosocial care for victims of violence, legal and judicial assistance</w:t>
      </w:r>
      <w:r w:rsidR="00FA7D7D"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opportunities for social reintegration. </w:t>
      </w:r>
    </w:p>
    <w:p w14:paraId="3446FBDA" w14:textId="1F0D0D63"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The implementation of this plan will prevent and address all reported cases of GBV/</w:t>
      </w:r>
      <w:r w:rsidR="00F14693" w:rsidRPr="00E01239">
        <w:rPr>
          <w:rFonts w:asciiTheme="minorHAnsi" w:hAnsiTheme="minorHAnsi" w:cstheme="minorHAnsi"/>
          <w:sz w:val="22"/>
          <w:szCs w:val="22"/>
          <w:lang w:val="en-GB"/>
        </w:rPr>
        <w:t xml:space="preserve"> SEA/SH </w:t>
      </w:r>
      <w:r w:rsidRPr="00E01239">
        <w:rPr>
          <w:rFonts w:asciiTheme="minorHAnsi" w:hAnsiTheme="minorHAnsi" w:cstheme="minorHAnsi"/>
          <w:sz w:val="22"/>
          <w:szCs w:val="22"/>
          <w:lang w:val="en-GB"/>
        </w:rPr>
        <w:t xml:space="preserve">and will be supported by the Project's complaints management mechanism and will operate in parallel to ensure the confidentiality and safety of survivors.  </w:t>
      </w:r>
    </w:p>
    <w:p w14:paraId="2238B815" w14:textId="52C75506" w:rsidR="00493CE2" w:rsidRPr="00E01239" w:rsidRDefault="00F14693" w:rsidP="00027669">
      <w:pPr>
        <w:numPr>
          <w:ilvl w:val="0"/>
          <w:numId w:val="184"/>
        </w:numPr>
        <w:shd w:val="clear" w:color="auto" w:fill="FFFFFF"/>
        <w:spacing w:before="120" w:line="360" w:lineRule="exact"/>
        <w:ind w:right="19"/>
        <w:contextualSpacing/>
        <w:jc w:val="both"/>
        <w:rPr>
          <w:rFonts w:asciiTheme="minorHAnsi" w:hAnsiTheme="minorHAnsi" w:cstheme="minorHAnsi"/>
          <w:b/>
          <w:spacing w:val="-1"/>
          <w:sz w:val="22"/>
          <w:szCs w:val="22"/>
        </w:rPr>
      </w:pPr>
      <w:proofErr w:type="spellStart"/>
      <w:r w:rsidRPr="00E01239">
        <w:rPr>
          <w:rFonts w:asciiTheme="minorHAnsi" w:hAnsiTheme="minorHAnsi" w:cstheme="minorHAnsi"/>
          <w:b/>
          <w:spacing w:val="-1"/>
          <w:sz w:val="22"/>
          <w:szCs w:val="22"/>
        </w:rPr>
        <w:lastRenderedPageBreak/>
        <w:t>Grievance</w:t>
      </w:r>
      <w:proofErr w:type="spellEnd"/>
      <w:r w:rsidRPr="00E01239">
        <w:rPr>
          <w:rFonts w:asciiTheme="minorHAnsi" w:hAnsiTheme="minorHAnsi" w:cstheme="minorHAnsi"/>
          <w:b/>
          <w:spacing w:val="-1"/>
          <w:sz w:val="22"/>
          <w:szCs w:val="22"/>
        </w:rPr>
        <w:t xml:space="preserve"> </w:t>
      </w:r>
      <w:proofErr w:type="spellStart"/>
      <w:r w:rsidRPr="00E01239">
        <w:rPr>
          <w:rFonts w:asciiTheme="minorHAnsi" w:hAnsiTheme="minorHAnsi" w:cstheme="minorHAnsi"/>
          <w:b/>
          <w:spacing w:val="-1"/>
          <w:sz w:val="22"/>
          <w:szCs w:val="22"/>
        </w:rPr>
        <w:t>Redress</w:t>
      </w:r>
      <w:proofErr w:type="spellEnd"/>
      <w:r w:rsidRPr="00E01239">
        <w:rPr>
          <w:rFonts w:asciiTheme="minorHAnsi" w:hAnsiTheme="minorHAnsi" w:cstheme="minorHAnsi"/>
          <w:b/>
          <w:spacing w:val="-1"/>
          <w:sz w:val="22"/>
          <w:szCs w:val="22"/>
        </w:rPr>
        <w:t xml:space="preserve"> Service (GRS)</w:t>
      </w:r>
    </w:p>
    <w:p w14:paraId="74FAC7F4" w14:textId="44159AA6"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The project developed a stakeholder engagement plan with a </w:t>
      </w:r>
      <w:r w:rsidR="00F14693" w:rsidRPr="00E01239">
        <w:rPr>
          <w:rFonts w:asciiTheme="minorHAnsi" w:hAnsiTheme="minorHAnsi" w:cstheme="minorHAnsi"/>
          <w:sz w:val="22"/>
          <w:szCs w:val="22"/>
          <w:lang w:val="en-GB"/>
        </w:rPr>
        <w:t>Grievance Redress Service (GRS)</w:t>
      </w:r>
      <w:r w:rsidRPr="00E01239">
        <w:rPr>
          <w:rFonts w:asciiTheme="minorHAnsi" w:hAnsiTheme="minorHAnsi" w:cstheme="minorHAnsi"/>
          <w:sz w:val="22"/>
          <w:szCs w:val="22"/>
          <w:lang w:val="en-GB"/>
        </w:rPr>
        <w:t xml:space="preserve"> that provides stakeholders with an accessible procedure and means to express and amicably address grievances and complaints of those affected and interested in the project.</w:t>
      </w:r>
    </w:p>
    <w:p w14:paraId="53D5E309" w14:textId="77777777"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This procedure consists of the following eight (8) steps: </w:t>
      </w:r>
    </w:p>
    <w:p w14:paraId="4F73B2CD" w14:textId="71CCCAF6" w:rsidR="00493CE2" w:rsidRPr="00E01239" w:rsidRDefault="00493CE2"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proofErr w:type="spellStart"/>
      <w:r w:rsidRPr="00E01239">
        <w:rPr>
          <w:rFonts w:asciiTheme="minorHAnsi" w:hAnsiTheme="minorHAnsi" w:cstheme="minorHAnsi"/>
          <w:bCs/>
          <w:sz w:val="22"/>
          <w:szCs w:val="22"/>
        </w:rPr>
        <w:t>Dissemination</w:t>
      </w:r>
      <w:proofErr w:type="spellEnd"/>
      <w:r w:rsidRPr="00E01239">
        <w:rPr>
          <w:rFonts w:asciiTheme="minorHAnsi" w:hAnsiTheme="minorHAnsi" w:cstheme="minorHAnsi"/>
          <w:bCs/>
          <w:sz w:val="22"/>
          <w:szCs w:val="22"/>
        </w:rPr>
        <w:t xml:space="preserve"> of information</w:t>
      </w:r>
    </w:p>
    <w:p w14:paraId="249F36D8" w14:textId="589320C6" w:rsidR="00493CE2" w:rsidRPr="00E01239" w:rsidRDefault="00493CE2"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Receipt, registration</w:t>
      </w:r>
      <w:r w:rsidR="001178B2"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acknowledgement of receipt of complaints </w:t>
      </w:r>
    </w:p>
    <w:p w14:paraId="0B07C42E" w14:textId="1F5D2ADE" w:rsidR="00493CE2" w:rsidRPr="00E01239" w:rsidRDefault="00493CE2"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Sorting, categorization, examination of the admissibility of claims </w:t>
      </w:r>
    </w:p>
    <w:p w14:paraId="43FDC5AB" w14:textId="54423F71" w:rsidR="00493CE2" w:rsidRPr="00E01239" w:rsidRDefault="00493CE2"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Complaint review, investigation</w:t>
      </w:r>
      <w:r w:rsidR="001178B2"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verification </w:t>
      </w:r>
    </w:p>
    <w:p w14:paraId="79950A5C" w14:textId="0C88C61E" w:rsidR="00493CE2" w:rsidRPr="00E01239" w:rsidRDefault="00493CE2"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Internal and external handling of the complaint</w:t>
      </w:r>
    </w:p>
    <w:p w14:paraId="65BB5212" w14:textId="76252E3C" w:rsidR="00493CE2" w:rsidRPr="00E01239" w:rsidRDefault="00493CE2"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Closure of complaints and archiving </w:t>
      </w:r>
    </w:p>
    <w:p w14:paraId="5E48770C" w14:textId="0B6B9CA0" w:rsidR="00493CE2" w:rsidRPr="00E01239" w:rsidRDefault="00493CE2"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Monitoring, </w:t>
      </w:r>
      <w:proofErr w:type="spellStart"/>
      <w:r w:rsidRPr="00E01239">
        <w:rPr>
          <w:rFonts w:asciiTheme="minorHAnsi" w:hAnsiTheme="minorHAnsi" w:cstheme="minorHAnsi"/>
          <w:bCs/>
          <w:sz w:val="22"/>
          <w:szCs w:val="22"/>
        </w:rPr>
        <w:t>evaluation</w:t>
      </w:r>
      <w:proofErr w:type="spellEnd"/>
      <w:r w:rsidRPr="00E01239">
        <w:rPr>
          <w:rFonts w:asciiTheme="minorHAnsi" w:hAnsiTheme="minorHAnsi" w:cstheme="minorHAnsi"/>
          <w:bCs/>
          <w:sz w:val="22"/>
          <w:szCs w:val="22"/>
        </w:rPr>
        <w:t xml:space="preserve"> and </w:t>
      </w:r>
      <w:proofErr w:type="spellStart"/>
      <w:r w:rsidRPr="00E01239">
        <w:rPr>
          <w:rFonts w:asciiTheme="minorHAnsi" w:hAnsiTheme="minorHAnsi" w:cstheme="minorHAnsi"/>
          <w:bCs/>
          <w:sz w:val="22"/>
          <w:szCs w:val="22"/>
        </w:rPr>
        <w:t>reporting</w:t>
      </w:r>
      <w:proofErr w:type="spellEnd"/>
    </w:p>
    <w:p w14:paraId="1D0BE087" w14:textId="77777777" w:rsidR="00493CE2" w:rsidRPr="00E01239" w:rsidRDefault="00493CE2" w:rsidP="00027669">
      <w:pPr>
        <w:numPr>
          <w:ilvl w:val="0"/>
          <w:numId w:val="185"/>
        </w:numPr>
        <w:suppressAutoHyphens/>
        <w:autoSpaceDN w:val="0"/>
        <w:spacing w:before="120" w:line="360" w:lineRule="exact"/>
        <w:contextualSpacing/>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 xml:space="preserve">Legal </w:t>
      </w:r>
      <w:proofErr w:type="spellStart"/>
      <w:r w:rsidRPr="00E01239">
        <w:rPr>
          <w:rFonts w:asciiTheme="minorHAnsi" w:hAnsiTheme="minorHAnsi" w:cstheme="minorHAnsi"/>
          <w:bCs/>
          <w:sz w:val="22"/>
          <w:szCs w:val="22"/>
        </w:rPr>
        <w:t>remedies</w:t>
      </w:r>
      <w:proofErr w:type="spellEnd"/>
    </w:p>
    <w:p w14:paraId="6BB1545C" w14:textId="77777777" w:rsidR="00493CE2" w:rsidRPr="00E01239" w:rsidRDefault="00493CE2" w:rsidP="00493CE2">
      <w:pPr>
        <w:jc w:val="both"/>
        <w:rPr>
          <w:rFonts w:asciiTheme="minorHAnsi" w:hAnsiTheme="minorHAnsi" w:cstheme="minorHAnsi"/>
          <w:sz w:val="22"/>
          <w:szCs w:val="22"/>
        </w:rPr>
      </w:pPr>
    </w:p>
    <w:p w14:paraId="0CFE4BE7" w14:textId="0BDAB97C"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A judicial remedy may be triggered by the complainant if community, communal or departmental approaches do not resolve the conflict. However, the use of the </w:t>
      </w:r>
      <w:r w:rsidR="00F14693" w:rsidRPr="00E01239">
        <w:rPr>
          <w:rFonts w:asciiTheme="minorHAnsi" w:hAnsiTheme="minorHAnsi" w:cstheme="minorHAnsi"/>
          <w:sz w:val="22"/>
          <w:szCs w:val="22"/>
          <w:lang w:val="en-GB"/>
        </w:rPr>
        <w:t xml:space="preserve">GRS </w:t>
      </w:r>
      <w:r w:rsidRPr="00E01239">
        <w:rPr>
          <w:rFonts w:asciiTheme="minorHAnsi" w:hAnsiTheme="minorHAnsi" w:cstheme="minorHAnsi"/>
          <w:sz w:val="22"/>
          <w:szCs w:val="22"/>
          <w:lang w:val="en-GB"/>
        </w:rPr>
        <w:t xml:space="preserve">does not prevent the case from being brought before the courts.   </w:t>
      </w:r>
    </w:p>
    <w:p w14:paraId="12B2A7C6" w14:textId="77777777" w:rsidR="00493CE2" w:rsidRPr="00E01239" w:rsidRDefault="00493CE2" w:rsidP="00493CE2">
      <w:pPr>
        <w:suppressAutoHyphens/>
        <w:autoSpaceDN w:val="0"/>
        <w:spacing w:before="120" w:line="360" w:lineRule="exact"/>
        <w:jc w:val="both"/>
        <w:textAlignment w:val="baseline"/>
        <w:rPr>
          <w:rFonts w:asciiTheme="minorHAnsi" w:hAnsiTheme="minorHAnsi" w:cstheme="minorHAnsi"/>
          <w:bCs/>
          <w:sz w:val="22"/>
          <w:szCs w:val="22"/>
          <w:lang w:val="en-GB"/>
        </w:rPr>
      </w:pPr>
    </w:p>
    <w:p w14:paraId="6ADB1C03" w14:textId="77777777" w:rsidR="00493CE2" w:rsidRPr="00E01239" w:rsidRDefault="00493CE2" w:rsidP="00027669">
      <w:pPr>
        <w:numPr>
          <w:ilvl w:val="0"/>
          <w:numId w:val="188"/>
        </w:numPr>
        <w:spacing w:before="120" w:line="360" w:lineRule="exact"/>
        <w:jc w:val="both"/>
        <w:rPr>
          <w:rFonts w:asciiTheme="minorHAnsi" w:hAnsiTheme="minorHAnsi" w:cstheme="minorHAnsi"/>
          <w:b/>
          <w:color w:val="5B9BD5"/>
          <w:sz w:val="22"/>
          <w:szCs w:val="22"/>
          <w:lang w:val="en-GB"/>
        </w:rPr>
      </w:pPr>
      <w:r w:rsidRPr="00E01239">
        <w:rPr>
          <w:rFonts w:asciiTheme="minorHAnsi" w:hAnsiTheme="minorHAnsi" w:cstheme="minorHAnsi"/>
          <w:b/>
          <w:color w:val="5B9BD5"/>
          <w:sz w:val="22"/>
          <w:szCs w:val="22"/>
          <w:lang w:val="en-GB"/>
        </w:rPr>
        <w:t>INSTITUTIONAL ARRANGEMENTS, RESPONSIBILITIES AND CAPACITY-BUILDING</w:t>
      </w:r>
    </w:p>
    <w:p w14:paraId="72CE8B0F" w14:textId="377AB2DC"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Environmental and social management will be carried out by the </w:t>
      </w:r>
      <w:r w:rsidR="00F14693" w:rsidRPr="00E01239">
        <w:rPr>
          <w:rFonts w:asciiTheme="minorHAnsi" w:hAnsiTheme="minorHAnsi" w:cstheme="minorHAnsi"/>
          <w:sz w:val="22"/>
          <w:szCs w:val="22"/>
          <w:lang w:val="en-GB"/>
        </w:rPr>
        <w:t xml:space="preserve">PCU </w:t>
      </w:r>
      <w:r w:rsidRPr="00E01239">
        <w:rPr>
          <w:rFonts w:asciiTheme="minorHAnsi" w:hAnsiTheme="minorHAnsi" w:cstheme="minorHAnsi"/>
          <w:sz w:val="22"/>
          <w:szCs w:val="22"/>
          <w:lang w:val="en-GB"/>
        </w:rPr>
        <w:t xml:space="preserve">FSRP/MEPA and the </w:t>
      </w:r>
      <w:r w:rsidR="00F14693" w:rsidRPr="00E01239">
        <w:rPr>
          <w:rFonts w:asciiTheme="minorHAnsi" w:hAnsiTheme="minorHAnsi" w:cstheme="minorHAnsi"/>
          <w:sz w:val="22"/>
          <w:szCs w:val="22"/>
          <w:lang w:val="en-GB"/>
        </w:rPr>
        <w:t xml:space="preserve">PCU </w:t>
      </w:r>
      <w:r w:rsidRPr="00E01239">
        <w:rPr>
          <w:rFonts w:asciiTheme="minorHAnsi" w:hAnsiTheme="minorHAnsi" w:cstheme="minorHAnsi"/>
          <w:sz w:val="22"/>
          <w:szCs w:val="22"/>
          <w:lang w:val="en-GB"/>
        </w:rPr>
        <w:t>FSRP/MAERSA. They will guarantee the environmental, social, hygiene, health</w:t>
      </w:r>
      <w:r w:rsidR="001178B2" w:rsidRPr="00E01239">
        <w:rPr>
          <w:rFonts w:asciiTheme="minorHAnsi" w:hAnsiTheme="minorHAnsi" w:cstheme="minorHAnsi"/>
          <w:sz w:val="22"/>
          <w:szCs w:val="22"/>
          <w:lang w:val="en-GB"/>
        </w:rPr>
        <w:t>,</w:t>
      </w:r>
      <w:r w:rsidRPr="00E01239">
        <w:rPr>
          <w:rFonts w:asciiTheme="minorHAnsi" w:hAnsiTheme="minorHAnsi" w:cstheme="minorHAnsi"/>
          <w:sz w:val="22"/>
          <w:szCs w:val="22"/>
          <w:lang w:val="en-GB"/>
        </w:rPr>
        <w:t xml:space="preserve"> and safety compliance of the Project, obtaining the permits and authorizations required by the regulations, the preparation of periodic monitoring reports and the completion report. In addition, the </w:t>
      </w:r>
      <w:r w:rsidR="00F14693" w:rsidRPr="00E01239">
        <w:rPr>
          <w:rFonts w:asciiTheme="minorHAnsi" w:hAnsiTheme="minorHAnsi" w:cstheme="minorHAnsi"/>
          <w:sz w:val="22"/>
          <w:szCs w:val="22"/>
          <w:lang w:val="en-GB"/>
        </w:rPr>
        <w:t xml:space="preserve">PCU </w:t>
      </w:r>
      <w:r w:rsidRPr="00E01239">
        <w:rPr>
          <w:rFonts w:asciiTheme="minorHAnsi" w:hAnsiTheme="minorHAnsi" w:cstheme="minorHAnsi"/>
          <w:sz w:val="22"/>
          <w:szCs w:val="22"/>
          <w:lang w:val="en-GB"/>
        </w:rPr>
        <w:t xml:space="preserve">FSRP/MEPA and the </w:t>
      </w:r>
      <w:r w:rsidR="00F14693" w:rsidRPr="00E01239">
        <w:rPr>
          <w:rFonts w:asciiTheme="minorHAnsi" w:hAnsiTheme="minorHAnsi" w:cstheme="minorHAnsi"/>
          <w:sz w:val="22"/>
          <w:szCs w:val="22"/>
          <w:lang w:val="en-GB"/>
        </w:rPr>
        <w:t xml:space="preserve">PCU </w:t>
      </w:r>
      <w:r w:rsidRPr="00E01239">
        <w:rPr>
          <w:rFonts w:asciiTheme="minorHAnsi" w:hAnsiTheme="minorHAnsi" w:cstheme="minorHAnsi"/>
          <w:sz w:val="22"/>
          <w:szCs w:val="22"/>
          <w:lang w:val="en-GB"/>
        </w:rPr>
        <w:t xml:space="preserve">FSRP/MAERSA ensure that the World Bank and other stakeholders receive all environmental and social monitoring reports. </w:t>
      </w:r>
    </w:p>
    <w:p w14:paraId="78B9B4E8" w14:textId="6ECF0DD4"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In addition to the two UCPs, the implementation of the </w:t>
      </w:r>
      <w:r w:rsidR="00F14693" w:rsidRPr="00E01239">
        <w:rPr>
          <w:rFonts w:asciiTheme="minorHAnsi" w:hAnsiTheme="minorHAnsi" w:cstheme="minorHAnsi"/>
          <w:sz w:val="22"/>
          <w:szCs w:val="22"/>
          <w:lang w:val="en-GB"/>
        </w:rPr>
        <w:t xml:space="preserve">ESMP </w:t>
      </w:r>
      <w:r w:rsidRPr="00E01239">
        <w:rPr>
          <w:rFonts w:asciiTheme="minorHAnsi" w:hAnsiTheme="minorHAnsi" w:cstheme="minorHAnsi"/>
          <w:sz w:val="22"/>
          <w:szCs w:val="22"/>
          <w:lang w:val="en-GB"/>
        </w:rPr>
        <w:t xml:space="preserve">involves other actors. In this regard, institutional arrangements as well as specific capacity-building measures for actors in charge of implementing the </w:t>
      </w:r>
      <w:r w:rsidR="00F14693" w:rsidRPr="00E01239">
        <w:rPr>
          <w:rFonts w:asciiTheme="minorHAnsi" w:hAnsiTheme="minorHAnsi" w:cstheme="minorHAnsi"/>
          <w:sz w:val="22"/>
          <w:szCs w:val="22"/>
          <w:lang w:val="en-GB"/>
        </w:rPr>
        <w:t xml:space="preserve">ESMP </w:t>
      </w:r>
      <w:r w:rsidRPr="00E01239">
        <w:rPr>
          <w:rFonts w:asciiTheme="minorHAnsi" w:hAnsiTheme="minorHAnsi" w:cstheme="minorHAnsi"/>
          <w:sz w:val="22"/>
          <w:szCs w:val="22"/>
          <w:lang w:val="en-GB"/>
        </w:rPr>
        <w:t xml:space="preserve">are needed. The table below summarizes the institutional arrangements for the implementation of the </w:t>
      </w:r>
      <w:r w:rsidR="00F14693" w:rsidRPr="00E01239">
        <w:rPr>
          <w:rFonts w:asciiTheme="minorHAnsi" w:hAnsiTheme="minorHAnsi" w:cstheme="minorHAnsi"/>
          <w:sz w:val="22"/>
          <w:szCs w:val="22"/>
          <w:lang w:val="en-GB"/>
        </w:rPr>
        <w:t>ESMP</w:t>
      </w:r>
      <w:r w:rsidRPr="00E01239">
        <w:rPr>
          <w:rFonts w:asciiTheme="minorHAnsi" w:hAnsiTheme="minorHAnsi" w:cstheme="minorHAnsi"/>
          <w:sz w:val="22"/>
          <w:szCs w:val="22"/>
          <w:lang w:val="en-GB"/>
        </w:rPr>
        <w:t xml:space="preserve">. </w:t>
      </w:r>
    </w:p>
    <w:p w14:paraId="075E2F3B" w14:textId="77777777" w:rsidR="00493CE2" w:rsidRPr="00E01239" w:rsidRDefault="00493CE2" w:rsidP="00493CE2">
      <w:pPr>
        <w:pStyle w:val="Paragraphedeliste"/>
        <w:rPr>
          <w:rFonts w:asciiTheme="minorHAnsi" w:hAnsiTheme="minorHAnsi" w:cstheme="minorHAnsi"/>
          <w:b/>
          <w:color w:val="5B9BD5"/>
          <w:sz w:val="22"/>
          <w:szCs w:val="22"/>
          <w:lang w:val="en-GB"/>
        </w:rPr>
      </w:pPr>
    </w:p>
    <w:tbl>
      <w:tblPr>
        <w:tblW w:w="531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36"/>
        <w:gridCol w:w="7287"/>
      </w:tblGrid>
      <w:tr w:rsidR="00493CE2" w:rsidRPr="00E01239" w14:paraId="4FF38229" w14:textId="77777777" w:rsidTr="7CB1727A">
        <w:trPr>
          <w:trHeight w:val="588"/>
          <w:tblHeader/>
          <w:jc w:val="center"/>
        </w:trPr>
        <w:tc>
          <w:tcPr>
            <w:tcW w:w="1214" w:type="pct"/>
            <w:shd w:val="clear" w:color="auto" w:fill="000000" w:themeFill="text1"/>
            <w:vAlign w:val="center"/>
          </w:tcPr>
          <w:p w14:paraId="4346A328" w14:textId="77777777" w:rsidR="00493CE2" w:rsidRPr="00E01239" w:rsidRDefault="00493CE2" w:rsidP="00F43E8A">
            <w:pPr>
              <w:jc w:val="center"/>
              <w:rPr>
                <w:rFonts w:asciiTheme="minorHAnsi" w:hAnsiTheme="minorHAnsi" w:cstheme="minorHAnsi"/>
                <w:b/>
                <w:sz w:val="21"/>
                <w:szCs w:val="21"/>
              </w:rPr>
            </w:pPr>
            <w:r w:rsidRPr="00E01239">
              <w:rPr>
                <w:rFonts w:asciiTheme="minorHAnsi" w:hAnsiTheme="minorHAnsi" w:cstheme="minorHAnsi"/>
                <w:b/>
                <w:sz w:val="21"/>
                <w:szCs w:val="21"/>
              </w:rPr>
              <w:lastRenderedPageBreak/>
              <w:t>Actors</w:t>
            </w:r>
          </w:p>
        </w:tc>
        <w:tc>
          <w:tcPr>
            <w:tcW w:w="3786" w:type="pct"/>
            <w:shd w:val="clear" w:color="auto" w:fill="000000" w:themeFill="text1"/>
            <w:vAlign w:val="center"/>
          </w:tcPr>
          <w:p w14:paraId="07EDFC44" w14:textId="77777777" w:rsidR="00493CE2" w:rsidRPr="00E01239" w:rsidRDefault="00493CE2" w:rsidP="00F43E8A">
            <w:pPr>
              <w:jc w:val="center"/>
              <w:rPr>
                <w:rFonts w:asciiTheme="minorHAnsi" w:hAnsiTheme="minorHAnsi" w:cstheme="minorHAnsi"/>
                <w:b/>
                <w:sz w:val="21"/>
                <w:szCs w:val="21"/>
              </w:rPr>
            </w:pPr>
            <w:proofErr w:type="spellStart"/>
            <w:r w:rsidRPr="00E01239">
              <w:rPr>
                <w:rFonts w:asciiTheme="minorHAnsi" w:hAnsiTheme="minorHAnsi" w:cstheme="minorHAnsi"/>
                <w:b/>
                <w:sz w:val="21"/>
                <w:szCs w:val="21"/>
              </w:rPr>
              <w:t>Responsibilities</w:t>
            </w:r>
            <w:proofErr w:type="spellEnd"/>
          </w:p>
        </w:tc>
      </w:tr>
      <w:tr w:rsidR="00493CE2" w:rsidRPr="00B84AC2" w14:paraId="4129295B" w14:textId="77777777" w:rsidTr="7CB1727A">
        <w:trPr>
          <w:trHeight w:val="3105"/>
          <w:jc w:val="center"/>
        </w:trPr>
        <w:tc>
          <w:tcPr>
            <w:tcW w:w="1214" w:type="pct"/>
            <w:shd w:val="clear" w:color="auto" w:fill="auto"/>
            <w:vAlign w:val="center"/>
          </w:tcPr>
          <w:p w14:paraId="4BD54758" w14:textId="185275FB" w:rsidR="00493CE2" w:rsidRPr="00E01239" w:rsidRDefault="00F14693" w:rsidP="00047AA4">
            <w:pPr>
              <w:pStyle w:val="Paragraphedeliste"/>
              <w:numPr>
                <w:ilvl w:val="0"/>
                <w:numId w:val="190"/>
              </w:numPr>
              <w:rPr>
                <w:rFonts w:asciiTheme="minorHAnsi" w:hAnsiTheme="minorHAnsi" w:cstheme="minorHAnsi"/>
                <w:sz w:val="22"/>
                <w:szCs w:val="22"/>
              </w:rPr>
            </w:pPr>
            <w:r w:rsidRPr="00E01239">
              <w:rPr>
                <w:rFonts w:asciiTheme="minorHAnsi" w:hAnsiTheme="minorHAnsi" w:cstheme="minorHAnsi"/>
                <w:sz w:val="22"/>
                <w:szCs w:val="22"/>
              </w:rPr>
              <w:t xml:space="preserve">PCU </w:t>
            </w:r>
            <w:r w:rsidR="00493CE2" w:rsidRPr="00E01239">
              <w:rPr>
                <w:rFonts w:asciiTheme="minorHAnsi" w:hAnsiTheme="minorHAnsi" w:cstheme="minorHAnsi"/>
                <w:sz w:val="22"/>
                <w:szCs w:val="22"/>
              </w:rPr>
              <w:t>FSRP/MEPA</w:t>
            </w:r>
          </w:p>
          <w:p w14:paraId="501EDCC0" w14:textId="2E84CA51" w:rsidR="00493CE2" w:rsidRPr="00E01239" w:rsidRDefault="00F14693" w:rsidP="00047AA4">
            <w:pPr>
              <w:pStyle w:val="Paragraphedeliste"/>
              <w:numPr>
                <w:ilvl w:val="0"/>
                <w:numId w:val="190"/>
              </w:numPr>
              <w:rPr>
                <w:rFonts w:asciiTheme="minorHAnsi" w:hAnsiTheme="minorHAnsi" w:cstheme="minorHAnsi"/>
                <w:sz w:val="21"/>
                <w:szCs w:val="21"/>
              </w:rPr>
            </w:pPr>
            <w:r w:rsidRPr="00E01239">
              <w:rPr>
                <w:rFonts w:asciiTheme="minorHAnsi" w:hAnsiTheme="minorHAnsi" w:cstheme="minorHAnsi"/>
                <w:sz w:val="22"/>
                <w:szCs w:val="22"/>
              </w:rPr>
              <w:t xml:space="preserve">PCU </w:t>
            </w:r>
            <w:r w:rsidR="00493CE2" w:rsidRPr="00E01239">
              <w:rPr>
                <w:rFonts w:asciiTheme="minorHAnsi" w:hAnsiTheme="minorHAnsi" w:cstheme="minorHAnsi"/>
                <w:sz w:val="22"/>
                <w:szCs w:val="22"/>
              </w:rPr>
              <w:t>FSRP/MAERSA</w:t>
            </w:r>
          </w:p>
        </w:tc>
        <w:tc>
          <w:tcPr>
            <w:tcW w:w="3786" w:type="pct"/>
            <w:shd w:val="clear" w:color="auto" w:fill="auto"/>
            <w:vAlign w:val="center"/>
          </w:tcPr>
          <w:p w14:paraId="4B078D2A" w14:textId="792C6A39" w:rsidR="00493CE2" w:rsidRPr="00E01239" w:rsidRDefault="7BB29AFD"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Fiducial</w:t>
            </w:r>
            <w:r w:rsidR="62F6D573" w:rsidRPr="00E01239">
              <w:rPr>
                <w:rFonts w:asciiTheme="minorHAnsi" w:hAnsiTheme="minorHAnsi" w:cstheme="minorBidi"/>
                <w:sz w:val="21"/>
                <w:szCs w:val="21"/>
                <w:lang w:val="en-GB"/>
              </w:rPr>
              <w:t xml:space="preserve"> management of the project's environmental and social activities</w:t>
            </w:r>
          </w:p>
          <w:p w14:paraId="7BBF4ECF"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Coordination of the monitoring of environmental and social aspects and the interface with other actors,</w:t>
            </w:r>
          </w:p>
          <w:p w14:paraId="753F5122"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 xml:space="preserve">Coordination of the implementation of Information, Education and Awareness Programs with other stakeholders in order to inform about the nature of Project activities and environmental and social issues during the implementation of Project activities.  </w:t>
            </w:r>
          </w:p>
          <w:p w14:paraId="191881F6" w14:textId="77777777" w:rsidR="00493CE2" w:rsidRPr="00E01239" w:rsidRDefault="62F6D573" w:rsidP="00027669">
            <w:pPr>
              <w:numPr>
                <w:ilvl w:val="0"/>
                <w:numId w:val="156"/>
              </w:numPr>
              <w:ind w:left="324" w:hanging="283"/>
              <w:jc w:val="both"/>
              <w:rPr>
                <w:rFonts w:asciiTheme="minorHAnsi" w:hAnsiTheme="minorHAnsi" w:cstheme="minorHAnsi"/>
                <w:sz w:val="21"/>
                <w:szCs w:val="21"/>
              </w:rPr>
            </w:pPr>
            <w:proofErr w:type="spellStart"/>
            <w:r w:rsidRPr="00E01239">
              <w:rPr>
                <w:rFonts w:asciiTheme="minorHAnsi" w:hAnsiTheme="minorHAnsi" w:cstheme="minorBidi"/>
                <w:sz w:val="21"/>
                <w:szCs w:val="21"/>
              </w:rPr>
              <w:t>Environmental</w:t>
            </w:r>
            <w:proofErr w:type="spellEnd"/>
            <w:r w:rsidRPr="00E01239">
              <w:rPr>
                <w:rFonts w:asciiTheme="minorHAnsi" w:hAnsiTheme="minorHAnsi" w:cstheme="minorBidi"/>
                <w:sz w:val="21"/>
                <w:szCs w:val="21"/>
              </w:rPr>
              <w:t xml:space="preserve"> </w:t>
            </w:r>
            <w:proofErr w:type="spellStart"/>
            <w:r w:rsidRPr="00E01239">
              <w:rPr>
                <w:rFonts w:asciiTheme="minorHAnsi" w:hAnsiTheme="minorHAnsi" w:cstheme="minorBidi"/>
                <w:sz w:val="21"/>
                <w:szCs w:val="21"/>
              </w:rPr>
              <w:t>selection</w:t>
            </w:r>
            <w:proofErr w:type="spellEnd"/>
            <w:r w:rsidRPr="00E01239">
              <w:rPr>
                <w:rFonts w:asciiTheme="minorHAnsi" w:hAnsiTheme="minorHAnsi" w:cstheme="minorBidi"/>
                <w:sz w:val="21"/>
                <w:szCs w:val="21"/>
              </w:rPr>
              <w:t xml:space="preserve"> of </w:t>
            </w:r>
            <w:proofErr w:type="spellStart"/>
            <w:r w:rsidRPr="00E01239">
              <w:rPr>
                <w:rFonts w:asciiTheme="minorHAnsi" w:hAnsiTheme="minorHAnsi" w:cstheme="minorBidi"/>
                <w:sz w:val="21"/>
                <w:szCs w:val="21"/>
              </w:rPr>
              <w:t>sub-projects</w:t>
            </w:r>
            <w:proofErr w:type="spellEnd"/>
          </w:p>
          <w:p w14:paraId="5C3E708A"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Elaboration of terms of reference and recruitment of consultants in charge of the elaboration of environmental and social studies</w:t>
            </w:r>
          </w:p>
          <w:p w14:paraId="6270447C" w14:textId="77777777" w:rsidR="00493CE2" w:rsidRPr="00E01239" w:rsidRDefault="62F6D573" w:rsidP="00027669">
            <w:pPr>
              <w:numPr>
                <w:ilvl w:val="0"/>
                <w:numId w:val="156"/>
              </w:numPr>
              <w:ind w:left="324" w:hanging="283"/>
              <w:jc w:val="both"/>
              <w:rPr>
                <w:rFonts w:asciiTheme="minorHAnsi" w:hAnsiTheme="minorHAnsi" w:cstheme="minorHAnsi"/>
                <w:sz w:val="21"/>
                <w:szCs w:val="21"/>
              </w:rPr>
            </w:pPr>
            <w:proofErr w:type="spellStart"/>
            <w:r w:rsidRPr="00E01239">
              <w:rPr>
                <w:rFonts w:asciiTheme="minorHAnsi" w:hAnsiTheme="minorHAnsi" w:cstheme="minorBidi"/>
                <w:sz w:val="21"/>
                <w:szCs w:val="21"/>
              </w:rPr>
              <w:t>Approval</w:t>
            </w:r>
            <w:proofErr w:type="spellEnd"/>
            <w:r w:rsidRPr="00E01239">
              <w:rPr>
                <w:rFonts w:asciiTheme="minorHAnsi" w:hAnsiTheme="minorHAnsi" w:cstheme="minorBidi"/>
                <w:sz w:val="21"/>
                <w:szCs w:val="21"/>
              </w:rPr>
              <w:t xml:space="preserve"> of </w:t>
            </w:r>
            <w:proofErr w:type="spellStart"/>
            <w:r w:rsidRPr="00E01239">
              <w:rPr>
                <w:rFonts w:asciiTheme="minorHAnsi" w:hAnsiTheme="minorHAnsi" w:cstheme="minorBidi"/>
                <w:sz w:val="21"/>
                <w:szCs w:val="21"/>
              </w:rPr>
              <w:t>deliverables</w:t>
            </w:r>
            <w:proofErr w:type="spellEnd"/>
          </w:p>
          <w:p w14:paraId="08002789"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Integration of environmental clauses in DAOs</w:t>
            </w:r>
          </w:p>
          <w:p w14:paraId="08F9681F"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Validation of profiles of HSE experts recruited by construction companies and inspection missions</w:t>
            </w:r>
          </w:p>
          <w:p w14:paraId="631C2D53"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Approval of environmental and social monitoring reports</w:t>
            </w:r>
          </w:p>
          <w:p w14:paraId="4B03AE9B"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Monitoring the implementation of resettlement plans</w:t>
            </w:r>
          </w:p>
          <w:p w14:paraId="674E47E6"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Mid-term and final evaluation of the Project</w:t>
            </w:r>
          </w:p>
        </w:tc>
      </w:tr>
      <w:tr w:rsidR="00493CE2" w:rsidRPr="00B84AC2" w14:paraId="4006A153" w14:textId="77777777" w:rsidTr="7CB1727A">
        <w:trPr>
          <w:trHeight w:val="1102"/>
          <w:jc w:val="center"/>
        </w:trPr>
        <w:tc>
          <w:tcPr>
            <w:tcW w:w="1214" w:type="pct"/>
            <w:shd w:val="clear" w:color="auto" w:fill="auto"/>
            <w:vAlign w:val="center"/>
          </w:tcPr>
          <w:p w14:paraId="632469FD" w14:textId="77777777" w:rsidR="00493CE2" w:rsidRPr="00E01239" w:rsidRDefault="00493CE2" w:rsidP="00F43E8A">
            <w:pPr>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Directorate of Environment and Classified Establishments (DEEC) &amp; Regional Divisions of the Environment and Classified Establishments (DREEC)  </w:t>
            </w:r>
          </w:p>
        </w:tc>
        <w:tc>
          <w:tcPr>
            <w:tcW w:w="3786" w:type="pct"/>
            <w:shd w:val="clear" w:color="auto" w:fill="auto"/>
            <w:vAlign w:val="center"/>
          </w:tcPr>
          <w:p w14:paraId="0702F843"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Approval of environmental and social studies of sub-projects</w:t>
            </w:r>
          </w:p>
          <w:p w14:paraId="17FAE4A7"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Issuance of environmental and social compliance certificates</w:t>
            </w:r>
          </w:p>
          <w:p w14:paraId="0F22AAFF" w14:textId="2A1E9B6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Monitoring (national/local) of compliance of the implementation of environmental and social measures, hygiene, health</w:t>
            </w:r>
            <w:r w:rsidR="7BB29AFD" w:rsidRPr="00E01239">
              <w:rPr>
                <w:rFonts w:asciiTheme="minorHAnsi" w:hAnsiTheme="minorHAnsi" w:cstheme="minorBidi"/>
                <w:sz w:val="21"/>
                <w:szCs w:val="21"/>
                <w:lang w:val="en-GB"/>
              </w:rPr>
              <w:t>,</w:t>
            </w:r>
            <w:r w:rsidRPr="00E01239">
              <w:rPr>
                <w:rFonts w:asciiTheme="minorHAnsi" w:hAnsiTheme="minorHAnsi" w:cstheme="minorBidi"/>
                <w:sz w:val="21"/>
                <w:szCs w:val="21"/>
                <w:lang w:val="en-GB"/>
              </w:rPr>
              <w:t xml:space="preserve"> and safety of the Project.</w:t>
            </w:r>
          </w:p>
        </w:tc>
      </w:tr>
      <w:tr w:rsidR="00493CE2" w:rsidRPr="00B84AC2" w14:paraId="23B650D6" w14:textId="77777777" w:rsidTr="7CB1727A">
        <w:trPr>
          <w:trHeight w:val="824"/>
          <w:jc w:val="center"/>
        </w:trPr>
        <w:tc>
          <w:tcPr>
            <w:tcW w:w="1214" w:type="pct"/>
            <w:shd w:val="clear" w:color="auto" w:fill="auto"/>
            <w:vAlign w:val="center"/>
          </w:tcPr>
          <w:p w14:paraId="5967B8D4" w14:textId="77777777" w:rsidR="00493CE2" w:rsidRPr="00E01239" w:rsidRDefault="00493CE2" w:rsidP="00F43E8A">
            <w:pPr>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Regional Environmental Monitoring Committees (CRSE)  </w:t>
            </w:r>
          </w:p>
        </w:tc>
        <w:tc>
          <w:tcPr>
            <w:tcW w:w="3786" w:type="pct"/>
            <w:shd w:val="clear" w:color="auto" w:fill="auto"/>
            <w:vAlign w:val="center"/>
          </w:tcPr>
          <w:p w14:paraId="7B2A8862"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Support for the approval of environmental and social studies of sub-projects</w:t>
            </w:r>
          </w:p>
          <w:p w14:paraId="29BF22F8" w14:textId="37525EBE"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 xml:space="preserve">Environmental and social monitoring (sovereign control), under the coordination of the </w:t>
            </w:r>
            <w:r w:rsidR="725D7FF7" w:rsidRPr="00E01239">
              <w:rPr>
                <w:rFonts w:asciiTheme="minorHAnsi" w:hAnsiTheme="minorHAnsi" w:cstheme="minorBidi"/>
                <w:sz w:val="21"/>
                <w:szCs w:val="21"/>
                <w:lang w:val="en-GB"/>
              </w:rPr>
              <w:t>DREEC</w:t>
            </w:r>
          </w:p>
          <w:p w14:paraId="24AD583D"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Participate in the completion of the screening form</w:t>
            </w:r>
          </w:p>
          <w:p w14:paraId="291EF554"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Monitoring the implementation of environmental and social aspects of activities</w:t>
            </w:r>
          </w:p>
        </w:tc>
      </w:tr>
      <w:tr w:rsidR="00493CE2" w:rsidRPr="00B84AC2" w14:paraId="00641AE2" w14:textId="77777777" w:rsidTr="7CB1727A">
        <w:trPr>
          <w:trHeight w:val="824"/>
          <w:jc w:val="center"/>
        </w:trPr>
        <w:tc>
          <w:tcPr>
            <w:tcW w:w="1214" w:type="pct"/>
            <w:shd w:val="clear" w:color="auto" w:fill="auto"/>
            <w:vAlign w:val="center"/>
          </w:tcPr>
          <w:p w14:paraId="2447F9DC" w14:textId="37F417C6" w:rsidR="00493CE2" w:rsidRPr="00E01239" w:rsidRDefault="007D5EE4" w:rsidP="00F43E8A">
            <w:pPr>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Department </w:t>
            </w:r>
            <w:r w:rsidR="00F14693" w:rsidRPr="00E01239">
              <w:rPr>
                <w:rFonts w:asciiTheme="minorHAnsi" w:hAnsiTheme="minorHAnsi" w:cstheme="minorHAnsi"/>
                <w:sz w:val="22"/>
                <w:szCs w:val="22"/>
                <w:lang w:val="en-GB"/>
              </w:rPr>
              <w:t>of plant protection (DPV)</w:t>
            </w:r>
          </w:p>
        </w:tc>
        <w:tc>
          <w:tcPr>
            <w:tcW w:w="3786" w:type="pct"/>
            <w:shd w:val="clear" w:color="auto" w:fill="auto"/>
            <w:vAlign w:val="center"/>
          </w:tcPr>
          <w:p w14:paraId="784937C6"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Support for the development of the pest and pesticide management plan</w:t>
            </w:r>
          </w:p>
          <w:p w14:paraId="2BED9261"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Identification of vulnerable areas in terms of introduction of unregistered products</w:t>
            </w:r>
          </w:p>
          <w:p w14:paraId="541558FF"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Identification of management pathways for empty pesticide containers</w:t>
            </w:r>
          </w:p>
          <w:p w14:paraId="52040C99"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Support for pest control initiatives</w:t>
            </w:r>
          </w:p>
        </w:tc>
      </w:tr>
      <w:tr w:rsidR="00493CE2" w:rsidRPr="00B84AC2" w14:paraId="3AC1BB20" w14:textId="77777777" w:rsidTr="7CB1727A">
        <w:trPr>
          <w:trHeight w:val="824"/>
          <w:jc w:val="center"/>
        </w:trPr>
        <w:tc>
          <w:tcPr>
            <w:tcW w:w="1214" w:type="pct"/>
            <w:shd w:val="clear" w:color="auto" w:fill="auto"/>
            <w:vAlign w:val="center"/>
          </w:tcPr>
          <w:p w14:paraId="1B6806A7" w14:textId="5292142E" w:rsidR="00493CE2" w:rsidRPr="00E01239" w:rsidRDefault="00493CE2" w:rsidP="00F43E8A">
            <w:pPr>
              <w:rPr>
                <w:rFonts w:asciiTheme="minorHAnsi" w:hAnsiTheme="minorHAnsi" w:cstheme="minorHAnsi"/>
                <w:bCs/>
                <w:sz w:val="22"/>
                <w:szCs w:val="22"/>
              </w:rPr>
            </w:pPr>
            <w:proofErr w:type="spellStart"/>
            <w:r w:rsidRPr="00E01239">
              <w:rPr>
                <w:rFonts w:asciiTheme="minorHAnsi" w:hAnsiTheme="minorHAnsi" w:cstheme="minorHAnsi"/>
                <w:bCs/>
                <w:sz w:val="22"/>
                <w:szCs w:val="22"/>
              </w:rPr>
              <w:t>Ecological</w:t>
            </w:r>
            <w:proofErr w:type="spellEnd"/>
            <w:r w:rsidRPr="00E01239">
              <w:rPr>
                <w:rFonts w:asciiTheme="minorHAnsi" w:hAnsiTheme="minorHAnsi" w:cstheme="minorHAnsi"/>
                <w:bCs/>
                <w:sz w:val="22"/>
                <w:szCs w:val="22"/>
              </w:rPr>
              <w:t xml:space="preserve"> Monitoring Centre</w:t>
            </w:r>
            <w:r w:rsidR="00F14693" w:rsidRPr="00E01239">
              <w:rPr>
                <w:rFonts w:asciiTheme="minorHAnsi" w:hAnsiTheme="minorHAnsi" w:cstheme="minorHAnsi"/>
                <w:bCs/>
                <w:sz w:val="22"/>
                <w:szCs w:val="22"/>
              </w:rPr>
              <w:t xml:space="preserve"> (CSE)</w:t>
            </w:r>
          </w:p>
        </w:tc>
        <w:tc>
          <w:tcPr>
            <w:tcW w:w="3786" w:type="pct"/>
            <w:shd w:val="clear" w:color="auto" w:fill="auto"/>
            <w:vAlign w:val="center"/>
          </w:tcPr>
          <w:p w14:paraId="00D3F124"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Identification of areas of high ecological value in the RFSP-SN intervention area</w:t>
            </w:r>
          </w:p>
          <w:p w14:paraId="5DD6A3FB"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 xml:space="preserve">Support in the preparation of land use plans </w:t>
            </w:r>
          </w:p>
          <w:p w14:paraId="4CD18E30" w14:textId="77777777" w:rsidR="00493CE2" w:rsidRPr="00E01239" w:rsidRDefault="00493CE2" w:rsidP="00027669">
            <w:pPr>
              <w:numPr>
                <w:ilvl w:val="0"/>
                <w:numId w:val="156"/>
              </w:numPr>
              <w:ind w:left="324" w:hanging="283"/>
              <w:jc w:val="both"/>
              <w:rPr>
                <w:rFonts w:asciiTheme="minorHAnsi" w:hAnsiTheme="minorHAnsi" w:cstheme="minorHAnsi"/>
                <w:sz w:val="21"/>
                <w:szCs w:val="21"/>
                <w:lang w:val="en-US"/>
              </w:rPr>
            </w:pPr>
            <w:r w:rsidRPr="00E01239">
              <w:rPr>
                <w:rFonts w:asciiTheme="minorHAnsi" w:hAnsiTheme="minorHAnsi" w:cstheme="minorHAnsi"/>
                <w:sz w:val="21"/>
                <w:szCs w:val="21"/>
                <w:lang w:val="en-US"/>
              </w:rPr>
              <w:t>Strengthening the bush</w:t>
            </w:r>
            <w:r w:rsidR="00587677" w:rsidRPr="00E01239">
              <w:rPr>
                <w:rFonts w:asciiTheme="minorHAnsi" w:hAnsiTheme="minorHAnsi" w:cstheme="minorHAnsi"/>
                <w:sz w:val="21"/>
                <w:szCs w:val="21"/>
                <w:lang w:val="en-US"/>
              </w:rPr>
              <w:t xml:space="preserve"> </w:t>
            </w:r>
            <w:r w:rsidRPr="00E01239">
              <w:rPr>
                <w:rFonts w:asciiTheme="minorHAnsi" w:hAnsiTheme="minorHAnsi" w:cstheme="minorHAnsi"/>
                <w:sz w:val="21"/>
                <w:szCs w:val="21"/>
                <w:lang w:val="en-US"/>
              </w:rPr>
              <w:t>fire plan</w:t>
            </w:r>
          </w:p>
          <w:p w14:paraId="389F4870" w14:textId="77777777" w:rsidR="007D5EE4" w:rsidRPr="00E01239" w:rsidRDefault="007D5EE4" w:rsidP="007D5EE4">
            <w:pPr>
              <w:numPr>
                <w:ilvl w:val="0"/>
                <w:numId w:val="156"/>
              </w:numPr>
              <w:ind w:left="324" w:hanging="283"/>
              <w:jc w:val="both"/>
              <w:rPr>
                <w:rFonts w:asciiTheme="minorHAnsi" w:hAnsiTheme="minorHAnsi" w:cstheme="minorHAnsi"/>
                <w:sz w:val="21"/>
                <w:szCs w:val="21"/>
                <w:lang w:val="en-US"/>
              </w:rPr>
            </w:pPr>
            <w:r w:rsidRPr="00E01239">
              <w:rPr>
                <w:rFonts w:asciiTheme="minorHAnsi" w:hAnsiTheme="minorHAnsi" w:cstheme="minorHAnsi"/>
                <w:sz w:val="21"/>
                <w:szCs w:val="21"/>
                <w:lang w:val="en-US"/>
              </w:rPr>
              <w:t>Monitoring and evaluation of pastoral resources (pasture, water, etc.)</w:t>
            </w:r>
          </w:p>
          <w:p w14:paraId="51AAB7A5" w14:textId="77777777" w:rsidR="007D5EE4" w:rsidRPr="00E01239" w:rsidRDefault="007D5EE4" w:rsidP="007D5EE4">
            <w:pPr>
              <w:numPr>
                <w:ilvl w:val="0"/>
                <w:numId w:val="156"/>
              </w:numPr>
              <w:ind w:left="324" w:hanging="283"/>
              <w:jc w:val="both"/>
              <w:rPr>
                <w:rFonts w:asciiTheme="minorHAnsi" w:hAnsiTheme="minorHAnsi" w:cstheme="minorHAnsi"/>
                <w:sz w:val="21"/>
                <w:szCs w:val="21"/>
                <w:lang w:val="en-US"/>
              </w:rPr>
            </w:pPr>
            <w:r w:rsidRPr="00E01239">
              <w:rPr>
                <w:rFonts w:asciiTheme="minorHAnsi" w:hAnsiTheme="minorHAnsi" w:cstheme="minorHAnsi"/>
                <w:sz w:val="21"/>
                <w:szCs w:val="21"/>
                <w:lang w:val="en-US"/>
              </w:rPr>
              <w:t>Mapping of resources and infrastructures...</w:t>
            </w:r>
          </w:p>
          <w:p w14:paraId="0E5DACFA" w14:textId="1D540F4F" w:rsidR="007D5EE4" w:rsidRPr="00E01239" w:rsidRDefault="1E321025" w:rsidP="007D5EE4">
            <w:pPr>
              <w:numPr>
                <w:ilvl w:val="0"/>
                <w:numId w:val="156"/>
              </w:numPr>
              <w:ind w:left="324" w:hanging="283"/>
              <w:jc w:val="both"/>
              <w:rPr>
                <w:rFonts w:asciiTheme="minorHAnsi" w:hAnsiTheme="minorHAnsi" w:cstheme="minorHAnsi"/>
                <w:sz w:val="21"/>
                <w:szCs w:val="21"/>
                <w:lang w:val="en-US"/>
              </w:rPr>
            </w:pPr>
            <w:r w:rsidRPr="00E01239">
              <w:rPr>
                <w:rFonts w:asciiTheme="minorHAnsi" w:hAnsiTheme="minorHAnsi" w:cstheme="minorBidi"/>
                <w:sz w:val="21"/>
                <w:szCs w:val="21"/>
                <w:lang w:val="en-US"/>
              </w:rPr>
              <w:t>Support for initiatives to combat climate change...</w:t>
            </w:r>
          </w:p>
        </w:tc>
      </w:tr>
      <w:tr w:rsidR="00493CE2" w:rsidRPr="00B84AC2" w14:paraId="5DE1907A" w14:textId="77777777" w:rsidTr="7CB1727A">
        <w:trPr>
          <w:trHeight w:val="824"/>
          <w:jc w:val="center"/>
        </w:trPr>
        <w:tc>
          <w:tcPr>
            <w:tcW w:w="1214" w:type="pct"/>
            <w:shd w:val="clear" w:color="auto" w:fill="auto"/>
            <w:vAlign w:val="center"/>
          </w:tcPr>
          <w:p w14:paraId="35349F54" w14:textId="18E0FC63" w:rsidR="00493CE2" w:rsidRPr="00E01239" w:rsidRDefault="00F14693" w:rsidP="00F43E8A">
            <w:pPr>
              <w:rPr>
                <w:rFonts w:asciiTheme="minorHAnsi" w:hAnsiTheme="minorHAnsi" w:cstheme="minorHAnsi"/>
                <w:bCs/>
                <w:sz w:val="22"/>
                <w:szCs w:val="22"/>
                <w:lang w:val="en-GB"/>
              </w:rPr>
            </w:pPr>
            <w:r w:rsidRPr="00E01239">
              <w:rPr>
                <w:rFonts w:asciiTheme="minorHAnsi" w:hAnsiTheme="minorHAnsi" w:cstheme="minorHAnsi"/>
                <w:bCs/>
                <w:sz w:val="22"/>
                <w:szCs w:val="22"/>
                <w:lang w:val="en-GB"/>
              </w:rPr>
              <w:t>National Company for the Development and Exploitation of Land in the Senegal River Delta (</w:t>
            </w:r>
            <w:r w:rsidR="00493CE2" w:rsidRPr="00E01239">
              <w:rPr>
                <w:rFonts w:asciiTheme="minorHAnsi" w:hAnsiTheme="minorHAnsi" w:cstheme="minorHAnsi"/>
                <w:bCs/>
                <w:sz w:val="22"/>
                <w:szCs w:val="22"/>
                <w:lang w:val="en-GB"/>
              </w:rPr>
              <w:t>SAED</w:t>
            </w:r>
            <w:r w:rsidRPr="00E01239">
              <w:rPr>
                <w:rFonts w:asciiTheme="minorHAnsi" w:hAnsiTheme="minorHAnsi" w:cstheme="minorHAnsi"/>
                <w:bCs/>
                <w:sz w:val="22"/>
                <w:szCs w:val="22"/>
                <w:lang w:val="en-GB"/>
              </w:rPr>
              <w:t>)</w:t>
            </w:r>
          </w:p>
        </w:tc>
        <w:tc>
          <w:tcPr>
            <w:tcW w:w="3786" w:type="pct"/>
            <w:shd w:val="clear" w:color="auto" w:fill="auto"/>
            <w:vAlign w:val="center"/>
          </w:tcPr>
          <w:p w14:paraId="3ED13827"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Capitalization of SAED's recent experiences in the implementation of hydro-agricultural development projects</w:t>
            </w:r>
          </w:p>
          <w:p w14:paraId="7B63F373"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Support for the determination of irrigation techniques based on photovoltaic technology</w:t>
            </w:r>
          </w:p>
          <w:p w14:paraId="447F8753"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Support for the identification of alternative drainage water management solutions</w:t>
            </w:r>
          </w:p>
          <w:p w14:paraId="6B77616D" w14:textId="0EDE603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Support for the identification of organizational plans to strengthen producers on good practices in the management of chemical fertilizers, pesticides</w:t>
            </w:r>
            <w:r w:rsidR="7BB29AFD" w:rsidRPr="00E01239">
              <w:rPr>
                <w:rFonts w:asciiTheme="minorHAnsi" w:hAnsiTheme="minorHAnsi" w:cstheme="minorBidi"/>
                <w:sz w:val="21"/>
                <w:szCs w:val="21"/>
                <w:lang w:val="en-GB"/>
              </w:rPr>
              <w:t>,</w:t>
            </w:r>
            <w:r w:rsidRPr="00E01239">
              <w:rPr>
                <w:rFonts w:asciiTheme="minorHAnsi" w:hAnsiTheme="minorHAnsi" w:cstheme="minorBidi"/>
                <w:sz w:val="21"/>
                <w:szCs w:val="21"/>
                <w:lang w:val="en-GB"/>
              </w:rPr>
              <w:t xml:space="preserve"> and other hazardous materials</w:t>
            </w:r>
          </w:p>
        </w:tc>
      </w:tr>
      <w:tr w:rsidR="00493CE2" w:rsidRPr="00B84AC2" w14:paraId="1AFE8B52" w14:textId="77777777" w:rsidTr="7CB1727A">
        <w:trPr>
          <w:trHeight w:val="697"/>
          <w:jc w:val="center"/>
        </w:trPr>
        <w:tc>
          <w:tcPr>
            <w:tcW w:w="1214" w:type="pct"/>
            <w:shd w:val="clear" w:color="auto" w:fill="auto"/>
            <w:vAlign w:val="center"/>
          </w:tcPr>
          <w:p w14:paraId="31707828" w14:textId="77777777" w:rsidR="00493CE2" w:rsidRPr="00E01239" w:rsidRDefault="00493CE2" w:rsidP="00F43E8A">
            <w:pPr>
              <w:rPr>
                <w:rFonts w:asciiTheme="minorHAnsi" w:hAnsiTheme="minorHAnsi" w:cstheme="minorHAnsi"/>
                <w:bCs/>
                <w:sz w:val="22"/>
                <w:szCs w:val="22"/>
              </w:rPr>
            </w:pPr>
            <w:proofErr w:type="spellStart"/>
            <w:r w:rsidRPr="00E01239">
              <w:rPr>
                <w:rFonts w:asciiTheme="minorHAnsi" w:hAnsiTheme="minorHAnsi" w:cstheme="minorHAnsi"/>
                <w:bCs/>
                <w:sz w:val="22"/>
                <w:szCs w:val="22"/>
              </w:rPr>
              <w:lastRenderedPageBreak/>
              <w:t>Contracting</w:t>
            </w:r>
            <w:proofErr w:type="spellEnd"/>
            <w:r w:rsidRPr="00E01239">
              <w:rPr>
                <w:rFonts w:asciiTheme="minorHAnsi" w:hAnsiTheme="minorHAnsi" w:cstheme="minorHAnsi"/>
                <w:bCs/>
                <w:sz w:val="22"/>
                <w:szCs w:val="22"/>
              </w:rPr>
              <w:t xml:space="preserve"> </w:t>
            </w:r>
            <w:proofErr w:type="spellStart"/>
            <w:r w:rsidRPr="00E01239">
              <w:rPr>
                <w:rFonts w:asciiTheme="minorHAnsi" w:hAnsiTheme="minorHAnsi" w:cstheme="minorHAnsi"/>
                <w:bCs/>
                <w:sz w:val="22"/>
                <w:szCs w:val="22"/>
              </w:rPr>
              <w:t>companies</w:t>
            </w:r>
            <w:proofErr w:type="spellEnd"/>
          </w:p>
        </w:tc>
        <w:tc>
          <w:tcPr>
            <w:tcW w:w="3786" w:type="pct"/>
            <w:shd w:val="clear" w:color="auto" w:fill="auto"/>
            <w:vAlign w:val="center"/>
          </w:tcPr>
          <w:p w14:paraId="42BE5638"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Prepare and implement their own ESGP-Site plans, including the Health and Safety plan. To this end, companies must have a team composed of a Health and Safety specialist and an Environmentalist.</w:t>
            </w:r>
          </w:p>
        </w:tc>
      </w:tr>
      <w:tr w:rsidR="00493CE2" w:rsidRPr="00B84AC2" w14:paraId="4E588AC1" w14:textId="77777777" w:rsidTr="7CB1727A">
        <w:trPr>
          <w:trHeight w:val="539"/>
          <w:jc w:val="center"/>
        </w:trPr>
        <w:tc>
          <w:tcPr>
            <w:tcW w:w="1214" w:type="pct"/>
            <w:shd w:val="clear" w:color="auto" w:fill="auto"/>
            <w:vAlign w:val="center"/>
          </w:tcPr>
          <w:p w14:paraId="32338EA0" w14:textId="77777777" w:rsidR="00493CE2" w:rsidRPr="00E01239" w:rsidRDefault="00493CE2" w:rsidP="00F43E8A">
            <w:pPr>
              <w:rPr>
                <w:rFonts w:asciiTheme="minorHAnsi" w:hAnsiTheme="minorHAnsi" w:cstheme="minorHAnsi"/>
                <w:bCs/>
                <w:sz w:val="22"/>
                <w:szCs w:val="22"/>
                <w:lang w:val="en-GB"/>
              </w:rPr>
            </w:pPr>
            <w:r w:rsidRPr="00E01239">
              <w:rPr>
                <w:rFonts w:asciiTheme="minorHAnsi" w:hAnsiTheme="minorHAnsi" w:cstheme="minorHAnsi"/>
                <w:sz w:val="22"/>
                <w:szCs w:val="22"/>
                <w:lang w:val="en-GB"/>
              </w:rPr>
              <w:t xml:space="preserve">Consultants (individual consultant or design and control offices) </w:t>
            </w:r>
          </w:p>
        </w:tc>
        <w:tc>
          <w:tcPr>
            <w:tcW w:w="3786" w:type="pct"/>
            <w:shd w:val="clear" w:color="auto" w:fill="auto"/>
            <w:vAlign w:val="center"/>
          </w:tcPr>
          <w:p w14:paraId="7EF34EB0" w14:textId="2A40E591"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Ensure the control of the effectiveness and efficiency of the execution of environmental and social measures</w:t>
            </w:r>
          </w:p>
          <w:p w14:paraId="571EA97A" w14:textId="77777777" w:rsidR="00493CE2" w:rsidRPr="00E01239" w:rsidRDefault="62F6D573" w:rsidP="00027669">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Ensure the follow-up of the implementation of the ESMP-Construction site, by having in their team a supervisor specialized in Health-Safety-Environment.</w:t>
            </w:r>
          </w:p>
        </w:tc>
      </w:tr>
      <w:tr w:rsidR="00493CE2" w:rsidRPr="00B84AC2" w14:paraId="7899F121" w14:textId="77777777" w:rsidTr="7CB1727A">
        <w:trPr>
          <w:trHeight w:val="707"/>
          <w:jc w:val="center"/>
        </w:trPr>
        <w:tc>
          <w:tcPr>
            <w:tcW w:w="1214" w:type="pct"/>
            <w:shd w:val="clear" w:color="auto" w:fill="auto"/>
            <w:vAlign w:val="center"/>
          </w:tcPr>
          <w:p w14:paraId="35CFFB5C" w14:textId="04F37166" w:rsidR="00493CE2" w:rsidRPr="00E01239" w:rsidRDefault="00461421" w:rsidP="00F14693">
            <w:pPr>
              <w:rPr>
                <w:rFonts w:asciiTheme="minorHAnsi" w:hAnsiTheme="minorHAnsi" w:cstheme="minorHAnsi"/>
                <w:bCs/>
                <w:sz w:val="22"/>
                <w:szCs w:val="22"/>
              </w:rPr>
            </w:pPr>
            <w:r w:rsidRPr="00E01239">
              <w:rPr>
                <w:rFonts w:asciiTheme="minorHAnsi" w:hAnsiTheme="minorHAnsi" w:cstheme="minorHAnsi"/>
                <w:sz w:val="22"/>
                <w:szCs w:val="22"/>
              </w:rPr>
              <w:t xml:space="preserve">Non </w:t>
            </w:r>
            <w:proofErr w:type="spellStart"/>
            <w:r w:rsidRPr="00E01239">
              <w:rPr>
                <w:rFonts w:asciiTheme="minorHAnsi" w:hAnsiTheme="minorHAnsi" w:cstheme="minorHAnsi"/>
                <w:sz w:val="22"/>
                <w:szCs w:val="22"/>
              </w:rPr>
              <w:t>Governmental</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Organization</w:t>
            </w:r>
            <w:proofErr w:type="spellEnd"/>
            <w:r w:rsidRPr="00E01239">
              <w:rPr>
                <w:rFonts w:asciiTheme="minorHAnsi" w:hAnsiTheme="minorHAnsi" w:cstheme="minorHAnsi"/>
                <w:sz w:val="22"/>
                <w:szCs w:val="22"/>
              </w:rPr>
              <w:t xml:space="preserve"> (NGO)</w:t>
            </w:r>
            <w:r w:rsidR="00493CE2" w:rsidRPr="00E01239">
              <w:rPr>
                <w:rFonts w:asciiTheme="minorHAnsi" w:hAnsiTheme="minorHAnsi" w:cstheme="minorHAnsi"/>
                <w:sz w:val="22"/>
                <w:szCs w:val="22"/>
              </w:rPr>
              <w:t xml:space="preserve"> et </w:t>
            </w:r>
            <w:proofErr w:type="spellStart"/>
            <w:r w:rsidR="00F14693" w:rsidRPr="00E01239">
              <w:rPr>
                <w:rFonts w:asciiTheme="minorHAnsi" w:hAnsiTheme="minorHAnsi" w:cstheme="minorHAnsi"/>
                <w:sz w:val="22"/>
                <w:szCs w:val="22"/>
              </w:rPr>
              <w:t>grass-roots</w:t>
            </w:r>
            <w:proofErr w:type="spellEnd"/>
            <w:r w:rsidR="00F14693" w:rsidRPr="00E01239">
              <w:rPr>
                <w:rFonts w:asciiTheme="minorHAnsi" w:hAnsiTheme="minorHAnsi" w:cstheme="minorHAnsi"/>
                <w:sz w:val="22"/>
                <w:szCs w:val="22"/>
              </w:rPr>
              <w:t xml:space="preserve"> </w:t>
            </w:r>
            <w:proofErr w:type="spellStart"/>
            <w:r w:rsidR="00F14693" w:rsidRPr="00E01239">
              <w:rPr>
                <w:rFonts w:asciiTheme="minorHAnsi" w:hAnsiTheme="minorHAnsi" w:cstheme="minorHAnsi"/>
                <w:sz w:val="22"/>
                <w:szCs w:val="22"/>
              </w:rPr>
              <w:t>community</w:t>
            </w:r>
            <w:proofErr w:type="spellEnd"/>
            <w:r w:rsidR="00F14693" w:rsidRPr="00E01239">
              <w:rPr>
                <w:rFonts w:asciiTheme="minorHAnsi" w:hAnsiTheme="minorHAnsi" w:cstheme="minorHAnsi"/>
                <w:sz w:val="22"/>
                <w:szCs w:val="22"/>
              </w:rPr>
              <w:t xml:space="preserve"> organisations (</w:t>
            </w:r>
            <w:r w:rsidR="00493CE2" w:rsidRPr="00E01239">
              <w:rPr>
                <w:rFonts w:asciiTheme="minorHAnsi" w:hAnsiTheme="minorHAnsi" w:cstheme="minorHAnsi"/>
                <w:sz w:val="22"/>
                <w:szCs w:val="22"/>
              </w:rPr>
              <w:t>OCB</w:t>
            </w:r>
            <w:r w:rsidR="00F14693" w:rsidRPr="00E01239">
              <w:rPr>
                <w:rFonts w:asciiTheme="minorHAnsi" w:hAnsiTheme="minorHAnsi" w:cstheme="minorHAnsi"/>
                <w:sz w:val="22"/>
                <w:szCs w:val="22"/>
              </w:rPr>
              <w:t>)</w:t>
            </w:r>
            <w:r w:rsidR="00493CE2" w:rsidRPr="00E01239">
              <w:rPr>
                <w:rFonts w:asciiTheme="minorHAnsi" w:hAnsiTheme="minorHAnsi" w:cstheme="minorHAnsi"/>
                <w:sz w:val="22"/>
                <w:szCs w:val="22"/>
              </w:rPr>
              <w:t xml:space="preserve">, </w:t>
            </w:r>
            <w:proofErr w:type="spellStart"/>
            <w:r w:rsidR="00F14693" w:rsidRPr="00E01239">
              <w:rPr>
                <w:rFonts w:asciiTheme="minorHAnsi" w:hAnsiTheme="minorHAnsi" w:cstheme="minorHAnsi"/>
                <w:sz w:val="22"/>
                <w:szCs w:val="22"/>
              </w:rPr>
              <w:t>communities</w:t>
            </w:r>
            <w:proofErr w:type="spellEnd"/>
          </w:p>
        </w:tc>
        <w:tc>
          <w:tcPr>
            <w:tcW w:w="3786" w:type="pct"/>
            <w:shd w:val="clear" w:color="auto" w:fill="auto"/>
            <w:vAlign w:val="center"/>
          </w:tcPr>
          <w:p w14:paraId="06EACBD2" w14:textId="2B084D73" w:rsidR="00493CE2" w:rsidRPr="00E01239" w:rsidRDefault="62F6D573" w:rsidP="00F14693">
            <w:pPr>
              <w:numPr>
                <w:ilvl w:val="0"/>
                <w:numId w:val="156"/>
              </w:numPr>
              <w:ind w:left="324" w:hanging="283"/>
              <w:jc w:val="both"/>
              <w:rPr>
                <w:rFonts w:asciiTheme="minorHAnsi" w:hAnsiTheme="minorHAnsi" w:cstheme="minorHAnsi"/>
                <w:sz w:val="21"/>
                <w:szCs w:val="21"/>
                <w:lang w:val="en-GB"/>
              </w:rPr>
            </w:pPr>
            <w:r w:rsidRPr="00E01239">
              <w:rPr>
                <w:rFonts w:asciiTheme="minorHAnsi" w:hAnsiTheme="minorHAnsi" w:cstheme="minorBidi"/>
                <w:sz w:val="21"/>
                <w:szCs w:val="21"/>
                <w:lang w:val="en-GB"/>
              </w:rPr>
              <w:t xml:space="preserve">Participate in the close monitoring of the implementation of the recommendations of the ESMP and the </w:t>
            </w:r>
            <w:r w:rsidR="725D7FF7" w:rsidRPr="00E01239">
              <w:rPr>
                <w:rFonts w:asciiTheme="minorHAnsi" w:hAnsiTheme="minorHAnsi" w:cstheme="minorBidi"/>
                <w:sz w:val="21"/>
                <w:szCs w:val="21"/>
                <w:lang w:val="en-GB"/>
              </w:rPr>
              <w:t>SEP</w:t>
            </w:r>
            <w:r w:rsidRPr="00E01239">
              <w:rPr>
                <w:rFonts w:asciiTheme="minorHAnsi" w:hAnsiTheme="minorHAnsi" w:cstheme="minorBidi"/>
                <w:sz w:val="21"/>
                <w:szCs w:val="21"/>
                <w:lang w:val="en-GB"/>
              </w:rPr>
              <w:t>, especially in informing and raising awareness among the population.</w:t>
            </w:r>
          </w:p>
        </w:tc>
      </w:tr>
    </w:tbl>
    <w:p w14:paraId="44C487E2" w14:textId="77777777" w:rsidR="00493CE2" w:rsidRPr="00E01239" w:rsidRDefault="00493CE2" w:rsidP="00493CE2">
      <w:pPr>
        <w:spacing w:before="120" w:line="360" w:lineRule="exact"/>
        <w:jc w:val="both"/>
        <w:rPr>
          <w:rFonts w:asciiTheme="minorHAnsi" w:hAnsiTheme="minorHAnsi" w:cstheme="minorHAnsi"/>
          <w:b/>
          <w:color w:val="5B9BD5"/>
          <w:sz w:val="22"/>
          <w:szCs w:val="22"/>
          <w:lang w:val="en-GB"/>
        </w:rPr>
      </w:pPr>
    </w:p>
    <w:p w14:paraId="429DBD8C" w14:textId="0A52155F" w:rsidR="00493CE2" w:rsidRPr="00E01239" w:rsidRDefault="51C41E2D" w:rsidP="7CB1727A">
      <w:pPr>
        <w:numPr>
          <w:ilvl w:val="0"/>
          <w:numId w:val="188"/>
        </w:numPr>
        <w:spacing w:before="120" w:line="360" w:lineRule="exact"/>
        <w:jc w:val="both"/>
        <w:rPr>
          <w:rFonts w:asciiTheme="minorHAnsi" w:hAnsiTheme="minorHAnsi" w:cstheme="minorBidi"/>
          <w:b/>
          <w:bCs/>
          <w:color w:val="5B9BD5"/>
          <w:sz w:val="22"/>
          <w:szCs w:val="22"/>
        </w:rPr>
      </w:pPr>
      <w:r w:rsidRPr="00E01239">
        <w:rPr>
          <w:rFonts w:asciiTheme="minorHAnsi" w:hAnsiTheme="minorHAnsi" w:cstheme="minorBidi"/>
          <w:b/>
          <w:bCs/>
          <w:color w:val="5B9BD5" w:themeColor="accent1"/>
          <w:sz w:val="22"/>
          <w:szCs w:val="22"/>
        </w:rPr>
        <w:t xml:space="preserve">ESMF </w:t>
      </w:r>
      <w:r w:rsidR="62F6D573" w:rsidRPr="00E01239">
        <w:rPr>
          <w:rFonts w:asciiTheme="minorHAnsi" w:hAnsiTheme="minorHAnsi" w:cstheme="minorBidi"/>
          <w:b/>
          <w:bCs/>
          <w:color w:val="5B9BD5" w:themeColor="accent1"/>
          <w:sz w:val="22"/>
          <w:szCs w:val="22"/>
        </w:rPr>
        <w:t>BUDGET</w:t>
      </w:r>
    </w:p>
    <w:p w14:paraId="387D7289" w14:textId="77777777" w:rsidR="00493CE2" w:rsidRPr="00E01239" w:rsidRDefault="00493CE2" w:rsidP="00047AA4">
      <w:pPr>
        <w:suppressAutoHyphens/>
        <w:autoSpaceDN w:val="0"/>
        <w:spacing w:before="120" w:line="360" w:lineRule="exact"/>
        <w:jc w:val="both"/>
        <w:textAlignment w:val="baseline"/>
        <w:rPr>
          <w:rFonts w:asciiTheme="minorHAnsi" w:hAnsiTheme="minorHAnsi" w:cstheme="minorHAnsi"/>
          <w:sz w:val="22"/>
          <w:szCs w:val="22"/>
          <w:lang w:val="en-GB"/>
        </w:rPr>
      </w:pPr>
      <w:r w:rsidRPr="00E01239">
        <w:rPr>
          <w:rFonts w:asciiTheme="minorHAnsi" w:hAnsiTheme="minorHAnsi" w:cstheme="minorHAnsi"/>
          <w:sz w:val="22"/>
          <w:szCs w:val="22"/>
          <w:lang w:val="en-GB"/>
        </w:rPr>
        <w:t xml:space="preserve">The budget for the implementation of the Environmental and Social Management Framework is </w:t>
      </w:r>
      <w:r w:rsidRPr="00E01239">
        <w:rPr>
          <w:rFonts w:asciiTheme="minorHAnsi" w:hAnsiTheme="minorHAnsi" w:cstheme="minorHAnsi"/>
          <w:b/>
          <w:bCs/>
          <w:sz w:val="22"/>
          <w:szCs w:val="22"/>
          <w:lang w:val="en-GB"/>
        </w:rPr>
        <w:t>estimated at 396,500,000 CFA francs or about 662,760.53 dollars</w:t>
      </w:r>
      <w:r w:rsidRPr="00E01239">
        <w:rPr>
          <w:rFonts w:asciiTheme="minorHAnsi" w:hAnsiTheme="minorHAnsi" w:cstheme="minorHAnsi"/>
          <w:sz w:val="22"/>
          <w:szCs w:val="22"/>
          <w:lang w:val="en-GB"/>
        </w:rPr>
        <w:t>.</w:t>
      </w:r>
    </w:p>
    <w:p w14:paraId="3F9FC0F8" w14:textId="77777777" w:rsidR="00493CE2" w:rsidRPr="00E01239" w:rsidRDefault="00493CE2" w:rsidP="00493CE2">
      <w:pPr>
        <w:rPr>
          <w:rFonts w:asciiTheme="minorHAnsi" w:hAnsiTheme="minorHAnsi" w:cstheme="minorHAnsi"/>
          <w:lang w:val="en-GB"/>
        </w:rPr>
      </w:pPr>
    </w:p>
    <w:p w14:paraId="525E9E14" w14:textId="77777777" w:rsidR="00213F67" w:rsidRPr="00E01239" w:rsidRDefault="00213F67" w:rsidP="00047AA4">
      <w:pPr>
        <w:suppressAutoHyphens/>
        <w:autoSpaceDN w:val="0"/>
        <w:spacing w:before="120" w:line="360" w:lineRule="exact"/>
        <w:jc w:val="both"/>
        <w:textAlignment w:val="baseline"/>
        <w:rPr>
          <w:rFonts w:asciiTheme="minorHAnsi" w:hAnsiTheme="minorHAnsi" w:cstheme="minorHAnsi"/>
          <w:b/>
          <w:bCs/>
          <w:color w:val="000000"/>
          <w:sz w:val="22"/>
          <w:szCs w:val="22"/>
          <w:lang w:val="en-GB"/>
        </w:rPr>
      </w:pPr>
    </w:p>
    <w:p w14:paraId="12E34FAB" w14:textId="77777777" w:rsidR="00213F67" w:rsidRPr="00E01239" w:rsidRDefault="00213F67" w:rsidP="00213F67">
      <w:pPr>
        <w:spacing w:before="120" w:line="320" w:lineRule="exact"/>
        <w:rPr>
          <w:rFonts w:asciiTheme="minorHAnsi" w:hAnsiTheme="minorHAnsi" w:cstheme="minorHAnsi"/>
          <w:b/>
          <w:bCs/>
          <w:color w:val="000000"/>
          <w:sz w:val="22"/>
          <w:szCs w:val="22"/>
          <w:lang w:val="en-GB"/>
        </w:rPr>
      </w:pPr>
    </w:p>
    <w:p w14:paraId="357403E6" w14:textId="77777777" w:rsidR="00213F67" w:rsidRPr="00E01239" w:rsidRDefault="00213F67" w:rsidP="00213F67">
      <w:pPr>
        <w:suppressAutoHyphens/>
        <w:spacing w:before="120" w:line="320" w:lineRule="exact"/>
        <w:jc w:val="both"/>
        <w:textAlignment w:val="baseline"/>
        <w:rPr>
          <w:rFonts w:asciiTheme="minorHAnsi" w:eastAsiaTheme="minorEastAsia" w:hAnsiTheme="minorHAnsi" w:cstheme="minorHAnsi"/>
          <w:sz w:val="22"/>
          <w:szCs w:val="22"/>
          <w:lang w:val="en-GB"/>
        </w:rPr>
      </w:pPr>
    </w:p>
    <w:p w14:paraId="533F27B7" w14:textId="77777777" w:rsidR="00213F67" w:rsidRPr="00E01239" w:rsidRDefault="00213F67" w:rsidP="00F4185A">
      <w:pPr>
        <w:rPr>
          <w:rFonts w:asciiTheme="minorHAnsi" w:hAnsiTheme="minorHAnsi" w:cstheme="minorHAnsi"/>
          <w:sz w:val="22"/>
          <w:szCs w:val="22"/>
          <w:lang w:val="en-GB" w:eastAsia="x-none"/>
        </w:rPr>
        <w:sectPr w:rsidR="00213F67" w:rsidRPr="00E01239" w:rsidSect="0023759F">
          <w:pgSz w:w="11907" w:h="16840" w:code="9"/>
          <w:pgMar w:top="1418" w:right="1418" w:bottom="1418" w:left="1418" w:header="720" w:footer="720" w:gutter="0"/>
          <w:pgNumType w:fmt="lowerLetter" w:start="1"/>
          <w:cols w:space="60"/>
          <w:noEndnote/>
        </w:sectPr>
      </w:pPr>
    </w:p>
    <w:p w14:paraId="0279B87D" w14:textId="77777777" w:rsidR="00D80D45" w:rsidRPr="00E01239" w:rsidRDefault="00E07823" w:rsidP="00B97F82">
      <w:pPr>
        <w:pStyle w:val="Titre1"/>
        <w:keepNext w:val="0"/>
        <w:keepLines w:val="0"/>
        <w:numPr>
          <w:ilvl w:val="0"/>
          <w:numId w:val="1"/>
        </w:numPr>
        <w:pBdr>
          <w:top w:val="single" w:sz="12" w:space="1" w:color="auto"/>
          <w:bottom w:val="single" w:sz="12" w:space="1" w:color="auto"/>
        </w:pBdr>
        <w:shd w:val="clear" w:color="auto" w:fill="000000" w:themeFill="text1"/>
        <w:tabs>
          <w:tab w:val="left" w:pos="284"/>
        </w:tabs>
        <w:spacing w:before="0"/>
        <w:ind w:left="-1418" w:right="-1418" w:firstLine="1418"/>
        <w:rPr>
          <w:rFonts w:asciiTheme="minorHAnsi" w:hAnsiTheme="minorHAnsi" w:cstheme="minorHAnsi"/>
          <w:bCs w:val="0"/>
          <w:color w:val="auto"/>
          <w:lang w:eastAsia="x-none"/>
        </w:rPr>
      </w:pPr>
      <w:bookmarkStart w:id="37" w:name="_Toc26504932"/>
      <w:bookmarkStart w:id="38" w:name="_Toc70002890"/>
      <w:bookmarkStart w:id="39" w:name="_Toc130714055"/>
      <w:bookmarkStart w:id="40" w:name="_Toc142377667"/>
      <w:bookmarkStart w:id="41" w:name="_Toc144654051"/>
      <w:bookmarkEnd w:id="29"/>
      <w:bookmarkEnd w:id="30"/>
      <w:r w:rsidRPr="00E01239">
        <w:rPr>
          <w:rFonts w:asciiTheme="minorHAnsi" w:hAnsiTheme="minorHAnsi" w:cstheme="minorHAnsi"/>
          <w:bCs w:val="0"/>
          <w:color w:val="auto"/>
          <w:lang w:eastAsia="x-none"/>
        </w:rPr>
        <w:lastRenderedPageBreak/>
        <w:t>CON</w:t>
      </w:r>
      <w:r w:rsidR="007E5627" w:rsidRPr="00E01239">
        <w:rPr>
          <w:rFonts w:asciiTheme="minorHAnsi" w:hAnsiTheme="minorHAnsi" w:cstheme="minorHAnsi"/>
          <w:bCs w:val="0"/>
          <w:color w:val="auto"/>
          <w:lang w:eastAsia="x-none"/>
        </w:rPr>
        <w:t>TEXTE GENERAL</w:t>
      </w:r>
      <w:bookmarkEnd w:id="37"/>
      <w:bookmarkEnd w:id="38"/>
      <w:bookmarkEnd w:id="39"/>
      <w:bookmarkEnd w:id="40"/>
      <w:bookmarkEnd w:id="41"/>
    </w:p>
    <w:p w14:paraId="12A749A9" w14:textId="77777777" w:rsidR="00367E53" w:rsidRPr="00E01239" w:rsidRDefault="00367E53" w:rsidP="00D80D45">
      <w:pPr>
        <w:rPr>
          <w:rFonts w:asciiTheme="minorHAnsi" w:hAnsiTheme="minorHAnsi" w:cstheme="minorHAnsi"/>
          <w:sz w:val="22"/>
          <w:szCs w:val="22"/>
        </w:rPr>
      </w:pPr>
    </w:p>
    <w:p w14:paraId="36C19F5B" w14:textId="77777777" w:rsidR="00D80D45" w:rsidRPr="00E01239" w:rsidRDefault="00DC7127" w:rsidP="005664B7">
      <w:pPr>
        <w:pStyle w:val="Titre2"/>
        <w:ind w:hanging="502"/>
        <w:rPr>
          <w:rFonts w:asciiTheme="minorHAnsi" w:hAnsiTheme="minorHAnsi" w:cstheme="minorHAnsi"/>
          <w:color w:val="auto"/>
        </w:rPr>
      </w:pPr>
      <w:bookmarkStart w:id="42" w:name="_Toc26504933"/>
      <w:bookmarkStart w:id="43" w:name="_Toc70002891"/>
      <w:bookmarkStart w:id="44" w:name="_Toc130714056"/>
      <w:bookmarkStart w:id="45" w:name="_Toc142377668"/>
      <w:bookmarkStart w:id="46" w:name="_Toc144654052"/>
      <w:r w:rsidRPr="00E01239">
        <w:rPr>
          <w:rFonts w:asciiTheme="minorHAnsi" w:hAnsiTheme="minorHAnsi" w:cstheme="minorHAnsi"/>
          <w:color w:val="auto"/>
        </w:rPr>
        <w:t>CONTEXTE</w:t>
      </w:r>
      <w:bookmarkEnd w:id="42"/>
      <w:r w:rsidR="00B15F2A" w:rsidRPr="00E01239">
        <w:rPr>
          <w:rFonts w:asciiTheme="minorHAnsi" w:hAnsiTheme="minorHAnsi" w:cstheme="minorHAnsi"/>
          <w:color w:val="auto"/>
        </w:rPr>
        <w:t xml:space="preserve"> DU PROJET</w:t>
      </w:r>
      <w:bookmarkEnd w:id="43"/>
      <w:bookmarkEnd w:id="44"/>
      <w:bookmarkEnd w:id="45"/>
      <w:bookmarkEnd w:id="46"/>
    </w:p>
    <w:p w14:paraId="26BEE91F" w14:textId="77777777" w:rsidR="00135AB8" w:rsidRPr="00E01239" w:rsidRDefault="00135AB8" w:rsidP="00263B8A">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Le Programme de résilience du système alimentaire en Afrique de l’Ouest (FSRP) - première phase qui a enrôlé le Burkina Faso, le Mali, le Niger et le Togo en plus des trois organisations régionales suivantes : CEDEAO, CORAF et CILSS, vise à accroître la préparation à l’insécurité alimentaire et à améliorer la résilience des systèmes alimentaires en Afrique de l’Ouest.</w:t>
      </w:r>
    </w:p>
    <w:p w14:paraId="05020FE0" w14:textId="77777777" w:rsidR="00135AB8" w:rsidRPr="00E01239" w:rsidRDefault="00135AB8" w:rsidP="00263B8A">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Afin d’augmenter structurellement la préparation à l’insécurité alimentaire et d’améliorer la résilience du système alimentaire en Afrique de l’Ouest, le FSRP-1 se concentre sur trois leviers essentiels du système alimentaire, à savoir :</w:t>
      </w:r>
    </w:p>
    <w:p w14:paraId="3B27AE09" w14:textId="77777777" w:rsidR="00135AB8" w:rsidRPr="00E01239" w:rsidRDefault="00135AB8" w:rsidP="00027669">
      <w:pPr>
        <w:pStyle w:val="Paragraphedeliste"/>
        <w:numPr>
          <w:ilvl w:val="2"/>
          <w:numId w:val="107"/>
        </w:numPr>
        <w:tabs>
          <w:tab w:val="left" w:pos="709"/>
        </w:tabs>
        <w:spacing w:before="120" w:line="280" w:lineRule="exact"/>
        <w:ind w:left="709"/>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services de conseil numérique pour la prévention et la gestion des crises agricoles et alimentaires ;</w:t>
      </w:r>
    </w:p>
    <w:p w14:paraId="7C4C68CE" w14:textId="77777777" w:rsidR="00135AB8" w:rsidRPr="00E01239" w:rsidRDefault="00135AB8" w:rsidP="00027669">
      <w:pPr>
        <w:pStyle w:val="Paragraphedeliste"/>
        <w:numPr>
          <w:ilvl w:val="2"/>
          <w:numId w:val="107"/>
        </w:numPr>
        <w:spacing w:before="120" w:line="280" w:lineRule="exact"/>
        <w:ind w:left="709"/>
        <w:contextualSpacing w:val="0"/>
        <w:jc w:val="both"/>
        <w:rPr>
          <w:rFonts w:asciiTheme="minorHAnsi" w:hAnsiTheme="minorHAnsi" w:cstheme="minorHAnsi"/>
          <w:sz w:val="22"/>
          <w:szCs w:val="22"/>
        </w:rPr>
      </w:pPr>
      <w:r w:rsidRPr="00E01239">
        <w:rPr>
          <w:rFonts w:asciiTheme="minorHAnsi" w:hAnsiTheme="minorHAnsi" w:cstheme="minorHAnsi"/>
          <w:sz w:val="22"/>
          <w:szCs w:val="22"/>
        </w:rPr>
        <w:t>La durabilité et la capacité d’adaptation de la base productive du système alimentaire ; et</w:t>
      </w:r>
    </w:p>
    <w:p w14:paraId="1A5DA95D" w14:textId="77777777" w:rsidR="00135AB8" w:rsidRPr="00E01239" w:rsidRDefault="00135AB8" w:rsidP="00027669">
      <w:pPr>
        <w:pStyle w:val="Paragraphedeliste"/>
        <w:numPr>
          <w:ilvl w:val="2"/>
          <w:numId w:val="107"/>
        </w:numPr>
        <w:spacing w:before="120" w:line="280" w:lineRule="exact"/>
        <w:ind w:left="709"/>
        <w:contextualSpacing w:val="0"/>
        <w:jc w:val="both"/>
        <w:rPr>
          <w:rFonts w:asciiTheme="minorHAnsi" w:hAnsiTheme="minorHAnsi" w:cstheme="minorHAnsi"/>
          <w:sz w:val="22"/>
          <w:szCs w:val="22"/>
        </w:rPr>
      </w:pPr>
      <w:r w:rsidRPr="00E01239">
        <w:rPr>
          <w:rFonts w:asciiTheme="minorHAnsi" w:hAnsiTheme="minorHAnsi" w:cstheme="minorHAnsi"/>
          <w:sz w:val="22"/>
          <w:szCs w:val="22"/>
        </w:rPr>
        <w:t>L’intégration des marchés alimentaires régionaux et commerce.</w:t>
      </w:r>
    </w:p>
    <w:p w14:paraId="16371873" w14:textId="77777777" w:rsidR="00135AB8" w:rsidRPr="00E01239" w:rsidRDefault="00135AB8" w:rsidP="00263B8A">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 xml:space="preserve">La deuxième phase a enrôlé le Ghana, la Sierra Leone et le Tchad. </w:t>
      </w:r>
    </w:p>
    <w:p w14:paraId="5AB1A813" w14:textId="6655EF32" w:rsidR="00135AB8" w:rsidRPr="00E01239" w:rsidRDefault="00135AB8" w:rsidP="00263B8A">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 xml:space="preserve">Une troisième phase est en cours de discussion avec d’autres pays pour, </w:t>
      </w:r>
      <w:r w:rsidR="00042565" w:rsidRPr="00E01239">
        <w:rPr>
          <w:rFonts w:asciiTheme="minorHAnsi" w:hAnsiTheme="minorHAnsi" w:cstheme="minorHAnsi"/>
          <w:sz w:val="22"/>
          <w:szCs w:val="22"/>
        </w:rPr>
        <w:t>finalement</w:t>
      </w:r>
      <w:r w:rsidRPr="00E01239">
        <w:rPr>
          <w:rFonts w:asciiTheme="minorHAnsi" w:hAnsiTheme="minorHAnsi" w:cstheme="minorHAnsi"/>
          <w:sz w:val="22"/>
          <w:szCs w:val="22"/>
        </w:rPr>
        <w:t>, atteindre une couverture régionale complète.</w:t>
      </w:r>
    </w:p>
    <w:p w14:paraId="6C89D8DC" w14:textId="0B3AE715" w:rsidR="00135AB8" w:rsidRPr="00E01239" w:rsidRDefault="00135AB8" w:rsidP="00263B8A">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 xml:space="preserve">En se prononçant en septembre 2022 sur la gestion des chocs alimentaires en Afrique de l’Ouest, la Banque mondiale a constaté qu’au cours des trois dernières années, une convergence sans précédent de plusieurs chocs, notamment la pandémie mondiale </w:t>
      </w:r>
      <w:r w:rsidR="005E2F49">
        <w:rPr>
          <w:rFonts w:asciiTheme="minorHAnsi" w:hAnsiTheme="minorHAnsi" w:cstheme="minorHAnsi"/>
          <w:sz w:val="22"/>
          <w:szCs w:val="22"/>
        </w:rPr>
        <w:t xml:space="preserve">de </w:t>
      </w:r>
      <w:r w:rsidR="002119C1">
        <w:rPr>
          <w:rFonts w:asciiTheme="minorHAnsi" w:hAnsiTheme="minorHAnsi" w:cstheme="minorHAnsi"/>
          <w:sz w:val="22"/>
          <w:szCs w:val="22"/>
        </w:rPr>
        <w:t xml:space="preserve">la </w:t>
      </w:r>
      <w:r w:rsidRPr="00E01239">
        <w:rPr>
          <w:rFonts w:asciiTheme="minorHAnsi" w:hAnsiTheme="minorHAnsi" w:cstheme="minorHAnsi"/>
          <w:sz w:val="22"/>
          <w:szCs w:val="22"/>
        </w:rPr>
        <w:t>COVID 19, la guerre en Ukraine, et la baisse des productions liée au climat, a mis sous pression le système alimentaire ouest-africain, déjà vulnérable. Ces chocs sévères sont venus se greffer à des défis chroniques comme l'instabilité, une faible productivité et un accès limité aux technologies. Leur impact combiné a fait exploser le nombre de personnes en situation d'insécurité alimentaire en Afrique de l'Ouest. Avec plus de 30 millions d'habitants souffrant d'insécurité alimentaire sévère, la région traverse actuellement la pire crise alimentaire enregistrée depuis plus de dix ans.</w:t>
      </w:r>
    </w:p>
    <w:p w14:paraId="7F5168B4" w14:textId="0838AF4B" w:rsidR="00135AB8" w:rsidRPr="00E01239" w:rsidRDefault="00135AB8" w:rsidP="00263B8A">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C’est dans ce contexte que le Gouvernement de la République du Sénégal a sollicité l’appui de la Banque mondiale pour rejoindre le FSRP qui couvre déjà 7 pays</w:t>
      </w:r>
      <w:r w:rsidRPr="00E01239">
        <w:rPr>
          <w:rFonts w:asciiTheme="minorHAnsi" w:hAnsiTheme="minorHAnsi" w:cstheme="minorHAnsi"/>
          <w:sz w:val="22"/>
          <w:szCs w:val="22"/>
          <w:vertAlign w:val="superscript"/>
        </w:rPr>
        <w:footnoteReference w:id="2"/>
      </w:r>
      <w:r w:rsidRPr="00E01239">
        <w:rPr>
          <w:rFonts w:asciiTheme="minorHAnsi" w:hAnsiTheme="minorHAnsi" w:cstheme="minorHAnsi"/>
          <w:sz w:val="22"/>
          <w:szCs w:val="22"/>
        </w:rPr>
        <w:t xml:space="preserve"> et trois organisations régionales (CEDEAO, CORAF et CILSS) aux fins de bénéficier du programme de résilience du système alimentaire en Afrique de l’Ouest (FSRP) Phase 3. La préparation de ce projet pour le Sénégal devrait aboutir à une approbation par le Conseil d’Administration de la BM au plus tard fin septembre 2023 pour une durée de 5 ans et pour un financement d’environ 300 millions de dollars US dont 100 millions US$ sur l’enveloppe nationale IDA et 200 millions US$ sur l’enveloppe régionale IDA.</w:t>
      </w:r>
    </w:p>
    <w:p w14:paraId="01A9781D" w14:textId="793C5CA7" w:rsidR="00B94469" w:rsidRPr="00E01239" w:rsidRDefault="00B94469" w:rsidP="00263B8A">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Le présent document</w:t>
      </w:r>
      <w:r w:rsidR="009F08DA" w:rsidRPr="00E01239">
        <w:rPr>
          <w:rFonts w:asciiTheme="minorHAnsi" w:hAnsiTheme="minorHAnsi" w:cstheme="minorHAnsi"/>
          <w:sz w:val="22"/>
          <w:szCs w:val="22"/>
        </w:rPr>
        <w:t xml:space="preserve"> portant « Cadre de Gestion Environnementale et Sociale »</w:t>
      </w:r>
      <w:r w:rsidRPr="00E01239">
        <w:rPr>
          <w:rFonts w:asciiTheme="minorHAnsi" w:hAnsiTheme="minorHAnsi" w:cstheme="minorHAnsi"/>
          <w:sz w:val="22"/>
          <w:szCs w:val="22"/>
        </w:rPr>
        <w:t xml:space="preserve"> est réalisé dans le cadre </w:t>
      </w:r>
      <w:r w:rsidR="009F08DA" w:rsidRPr="00E01239">
        <w:rPr>
          <w:rFonts w:asciiTheme="minorHAnsi" w:hAnsiTheme="minorHAnsi" w:cstheme="minorHAnsi"/>
          <w:sz w:val="22"/>
          <w:szCs w:val="22"/>
        </w:rPr>
        <w:t>de la procédure de mise en conformité du FSRP - Phase 3 Sénégal aux normes environnementales et sociales de la Banque mondiale d’une part, et à la réglementation sénégalaise en matière de gestion environnementale et sociale</w:t>
      </w:r>
      <w:r w:rsidR="00C54A88">
        <w:rPr>
          <w:rFonts w:asciiTheme="minorHAnsi" w:hAnsiTheme="minorHAnsi" w:cstheme="minorHAnsi"/>
          <w:sz w:val="22"/>
          <w:szCs w:val="22"/>
        </w:rPr>
        <w:t xml:space="preserve"> d</w:t>
      </w:r>
      <w:r w:rsidR="008C7563">
        <w:rPr>
          <w:rFonts w:asciiTheme="minorHAnsi" w:hAnsiTheme="minorHAnsi" w:cstheme="minorHAnsi"/>
          <w:sz w:val="22"/>
          <w:szCs w:val="22"/>
        </w:rPr>
        <w:t>’autre part.</w:t>
      </w:r>
    </w:p>
    <w:p w14:paraId="02F7BE3A" w14:textId="77777777" w:rsidR="0080252A" w:rsidRPr="00E01239" w:rsidRDefault="0080252A" w:rsidP="001D049F">
      <w:pPr>
        <w:jc w:val="both"/>
        <w:rPr>
          <w:rFonts w:asciiTheme="minorHAnsi" w:hAnsiTheme="minorHAnsi" w:cstheme="minorHAnsi"/>
          <w:sz w:val="22"/>
          <w:szCs w:val="22"/>
        </w:rPr>
      </w:pPr>
    </w:p>
    <w:p w14:paraId="62E56808" w14:textId="77777777" w:rsidR="00D80D45" w:rsidRPr="00E01239" w:rsidRDefault="00E6225E" w:rsidP="00E6225E">
      <w:pPr>
        <w:pStyle w:val="Titre2"/>
        <w:ind w:left="567" w:hanging="567"/>
        <w:rPr>
          <w:rFonts w:asciiTheme="minorHAnsi" w:hAnsiTheme="minorHAnsi" w:cstheme="minorHAnsi"/>
          <w:color w:val="auto"/>
        </w:rPr>
      </w:pPr>
      <w:bookmarkStart w:id="47" w:name="_Toc26504934"/>
      <w:bookmarkStart w:id="48" w:name="_Toc70002892"/>
      <w:bookmarkStart w:id="49" w:name="_Toc130714057"/>
      <w:bookmarkStart w:id="50" w:name="_Toc142377669"/>
      <w:bookmarkStart w:id="51" w:name="_Toc144654053"/>
      <w:r w:rsidRPr="00E01239">
        <w:rPr>
          <w:rFonts w:asciiTheme="minorHAnsi" w:hAnsiTheme="minorHAnsi" w:cstheme="minorHAnsi"/>
          <w:color w:val="auto"/>
        </w:rPr>
        <w:t>OBJECTIF</w:t>
      </w:r>
      <w:r w:rsidR="009A4E20" w:rsidRPr="00E01239">
        <w:rPr>
          <w:rFonts w:asciiTheme="minorHAnsi" w:hAnsiTheme="minorHAnsi" w:cstheme="minorHAnsi"/>
          <w:color w:val="auto"/>
        </w:rPr>
        <w:t>S</w:t>
      </w:r>
      <w:r w:rsidRPr="00E01239">
        <w:rPr>
          <w:rFonts w:asciiTheme="minorHAnsi" w:hAnsiTheme="minorHAnsi" w:cstheme="minorHAnsi"/>
          <w:color w:val="auto"/>
        </w:rPr>
        <w:t xml:space="preserve"> DU CADRE DE GESTION ENVIRONNEMENTALE ET SOCIALE</w:t>
      </w:r>
      <w:bookmarkEnd w:id="47"/>
      <w:bookmarkEnd w:id="48"/>
      <w:bookmarkEnd w:id="49"/>
      <w:bookmarkEnd w:id="50"/>
      <w:bookmarkEnd w:id="51"/>
    </w:p>
    <w:p w14:paraId="15D4EF7F" w14:textId="2384BB43" w:rsidR="00067D3A" w:rsidRPr="00E01239" w:rsidRDefault="00C37FBD" w:rsidP="00202CE9">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 xml:space="preserve">Le présent Cadre de gestion environnementale et sociale (CGES) </w:t>
      </w:r>
      <w:r w:rsidR="00067D3A" w:rsidRPr="00E01239">
        <w:rPr>
          <w:rFonts w:asciiTheme="minorHAnsi" w:hAnsiTheme="minorHAnsi" w:cstheme="minorHAnsi"/>
          <w:sz w:val="22"/>
          <w:szCs w:val="22"/>
        </w:rPr>
        <w:t xml:space="preserve">est préparé </w:t>
      </w:r>
      <w:r w:rsidR="00C93A5E" w:rsidRPr="00E01239">
        <w:rPr>
          <w:rFonts w:asciiTheme="minorHAnsi" w:hAnsiTheme="minorHAnsi" w:cstheme="minorHAnsi"/>
          <w:sz w:val="22"/>
          <w:szCs w:val="22"/>
        </w:rPr>
        <w:t xml:space="preserve">en tenant compte </w:t>
      </w:r>
      <w:r w:rsidR="00067D3A" w:rsidRPr="00E01239">
        <w:rPr>
          <w:rFonts w:asciiTheme="minorHAnsi" w:hAnsiTheme="minorHAnsi" w:cstheme="minorHAnsi"/>
          <w:sz w:val="22"/>
          <w:szCs w:val="22"/>
        </w:rPr>
        <w:t xml:space="preserve">d’une part, </w:t>
      </w:r>
      <w:r w:rsidR="00C93A5E" w:rsidRPr="00E01239">
        <w:rPr>
          <w:rFonts w:asciiTheme="minorHAnsi" w:hAnsiTheme="minorHAnsi" w:cstheme="minorHAnsi"/>
          <w:sz w:val="22"/>
          <w:szCs w:val="22"/>
        </w:rPr>
        <w:t xml:space="preserve">de </w:t>
      </w:r>
      <w:r w:rsidR="00067D3A" w:rsidRPr="00E01239">
        <w:rPr>
          <w:rFonts w:asciiTheme="minorHAnsi" w:hAnsiTheme="minorHAnsi" w:cstheme="minorHAnsi"/>
          <w:sz w:val="22"/>
          <w:szCs w:val="22"/>
        </w:rPr>
        <w:t xml:space="preserve">la réglementation nationale en matière de gestion environnementale et sociale, et d’autre part </w:t>
      </w:r>
      <w:r w:rsidR="0010277C">
        <w:rPr>
          <w:rFonts w:asciiTheme="minorHAnsi" w:hAnsiTheme="minorHAnsi" w:cstheme="minorHAnsi"/>
          <w:sz w:val="22"/>
          <w:szCs w:val="22"/>
        </w:rPr>
        <w:t>des</w:t>
      </w:r>
      <w:r w:rsidR="0010277C" w:rsidRPr="00E01239">
        <w:rPr>
          <w:rFonts w:asciiTheme="minorHAnsi" w:hAnsiTheme="minorHAnsi" w:cstheme="minorHAnsi"/>
          <w:sz w:val="22"/>
          <w:szCs w:val="22"/>
        </w:rPr>
        <w:t xml:space="preserve"> </w:t>
      </w:r>
      <w:r w:rsidR="00067D3A" w:rsidRPr="00E01239">
        <w:rPr>
          <w:rFonts w:asciiTheme="minorHAnsi" w:hAnsiTheme="minorHAnsi" w:cstheme="minorHAnsi"/>
          <w:sz w:val="22"/>
          <w:szCs w:val="22"/>
        </w:rPr>
        <w:t xml:space="preserve">exigences contenues dans la norme environnementale et sociale (NES) n°1 (Évaluation et gestion des risques et effets environnementaux et sociaux) du Cadre environnemental et social (CES) de la </w:t>
      </w:r>
      <w:r w:rsidR="00067D3A" w:rsidRPr="00E01239">
        <w:rPr>
          <w:rFonts w:asciiTheme="minorHAnsi" w:hAnsiTheme="minorHAnsi" w:cstheme="minorHAnsi"/>
          <w:sz w:val="22"/>
          <w:szCs w:val="22"/>
        </w:rPr>
        <w:lastRenderedPageBreak/>
        <w:t xml:space="preserve">Banque mondiale tout en tenant compte des dispositions spécifiques contenues dans la Note d’Orientation (NO) de la NES n°1 sur l’évaluation et gestion des risques et effets environnementaux et sociaux. Il respecte les dispositions prévues par la réglementation </w:t>
      </w:r>
      <w:r w:rsidR="009F08DA" w:rsidRPr="00E01239">
        <w:rPr>
          <w:rFonts w:asciiTheme="minorHAnsi" w:hAnsiTheme="minorHAnsi" w:cstheme="minorHAnsi"/>
          <w:sz w:val="22"/>
          <w:szCs w:val="22"/>
        </w:rPr>
        <w:t xml:space="preserve">sénégalaise </w:t>
      </w:r>
      <w:r w:rsidR="00067D3A" w:rsidRPr="00E01239">
        <w:rPr>
          <w:rFonts w:asciiTheme="minorHAnsi" w:hAnsiTheme="minorHAnsi" w:cstheme="minorHAnsi"/>
          <w:sz w:val="22"/>
          <w:szCs w:val="22"/>
        </w:rPr>
        <w:t xml:space="preserve">en matière de gestion environnementale et sociale d’autre part. </w:t>
      </w:r>
    </w:p>
    <w:p w14:paraId="24F4A6E4" w14:textId="0E439D51" w:rsidR="00C64489" w:rsidRPr="00E01239" w:rsidRDefault="00C64489" w:rsidP="00202CE9">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 xml:space="preserve">Le Projet est classé à risque environnemental et social substantiel. A ce titre, les normes environnementales et sociales de la Banque mondiale </w:t>
      </w:r>
      <w:r w:rsidR="00FB4BA3" w:rsidRPr="00E01239">
        <w:rPr>
          <w:rFonts w:asciiTheme="minorHAnsi" w:hAnsiTheme="minorHAnsi" w:cstheme="minorHAnsi"/>
          <w:sz w:val="22"/>
          <w:szCs w:val="22"/>
        </w:rPr>
        <w:t>pertinentes</w:t>
      </w:r>
      <w:r w:rsidRPr="00E01239">
        <w:rPr>
          <w:rFonts w:asciiTheme="minorHAnsi" w:hAnsiTheme="minorHAnsi" w:cstheme="minorHAnsi"/>
          <w:sz w:val="22"/>
          <w:szCs w:val="22"/>
        </w:rPr>
        <w:t xml:space="preserve"> </w:t>
      </w:r>
      <w:r w:rsidR="00FB4BA3" w:rsidRPr="00E01239">
        <w:rPr>
          <w:rFonts w:asciiTheme="minorHAnsi" w:hAnsiTheme="minorHAnsi" w:cstheme="minorHAnsi"/>
          <w:sz w:val="22"/>
          <w:szCs w:val="22"/>
        </w:rPr>
        <w:t>pour le</w:t>
      </w:r>
      <w:r w:rsidRPr="00E01239">
        <w:rPr>
          <w:rFonts w:asciiTheme="minorHAnsi" w:hAnsiTheme="minorHAnsi" w:cstheme="minorHAnsi"/>
          <w:sz w:val="22"/>
          <w:szCs w:val="22"/>
        </w:rPr>
        <w:t xml:space="preserve"> projet sont principalement :</w:t>
      </w:r>
    </w:p>
    <w:p w14:paraId="58B344CE" w14:textId="03482A72" w:rsidR="00C64489" w:rsidRPr="00E01239" w:rsidRDefault="00C64489" w:rsidP="00263B8A">
      <w:pPr>
        <w:numPr>
          <w:ilvl w:val="0"/>
          <w:numId w:val="101"/>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NES n°1</w:t>
      </w:r>
      <w:r w:rsidR="00664CC6" w:rsidRPr="00E01239">
        <w:rPr>
          <w:rFonts w:asciiTheme="minorHAnsi" w:hAnsiTheme="minorHAnsi" w:cstheme="minorHAnsi"/>
          <w:sz w:val="22"/>
          <w:szCs w:val="22"/>
        </w:rPr>
        <w:t>,</w:t>
      </w:r>
      <w:r w:rsidRPr="00E01239">
        <w:rPr>
          <w:rFonts w:asciiTheme="minorHAnsi" w:hAnsiTheme="minorHAnsi" w:cstheme="minorHAnsi"/>
          <w:sz w:val="22"/>
          <w:szCs w:val="22"/>
        </w:rPr>
        <w:t xml:space="preserve"> relative à l’évaluation</w:t>
      </w:r>
      <w:r w:rsidR="009964CA" w:rsidRPr="00E01239">
        <w:rPr>
          <w:rFonts w:asciiTheme="minorHAnsi" w:hAnsiTheme="minorHAnsi" w:cstheme="minorHAnsi"/>
          <w:sz w:val="22"/>
          <w:szCs w:val="22"/>
        </w:rPr>
        <w:t xml:space="preserve"> et la gestion des risques et effets environnementaux et sociaux,</w:t>
      </w:r>
    </w:p>
    <w:p w14:paraId="706373B7" w14:textId="6EE738EF" w:rsidR="009964CA" w:rsidRPr="00E01239" w:rsidRDefault="009964CA" w:rsidP="00263B8A">
      <w:pPr>
        <w:numPr>
          <w:ilvl w:val="0"/>
          <w:numId w:val="101"/>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NES n°2</w:t>
      </w:r>
      <w:r w:rsidR="00664CC6" w:rsidRPr="00E01239">
        <w:rPr>
          <w:rFonts w:asciiTheme="minorHAnsi" w:hAnsiTheme="minorHAnsi" w:cstheme="minorHAnsi"/>
          <w:sz w:val="22"/>
          <w:szCs w:val="22"/>
        </w:rPr>
        <w:t>,</w:t>
      </w:r>
      <w:r w:rsidRPr="00E01239">
        <w:rPr>
          <w:rFonts w:asciiTheme="minorHAnsi" w:hAnsiTheme="minorHAnsi" w:cstheme="minorHAnsi"/>
          <w:sz w:val="22"/>
          <w:szCs w:val="22"/>
        </w:rPr>
        <w:t xml:space="preserve"> relative à </w:t>
      </w:r>
      <w:r w:rsidRPr="00E01239">
        <w:rPr>
          <w:rFonts w:asciiTheme="minorHAnsi" w:hAnsiTheme="minorHAnsi" w:cstheme="minorHAnsi"/>
          <w:bCs/>
          <w:sz w:val="22"/>
          <w:szCs w:val="22"/>
        </w:rPr>
        <w:t>l’emploi et aux conditions de travail,</w:t>
      </w:r>
    </w:p>
    <w:p w14:paraId="325B2E5D" w14:textId="3EB6ACD0" w:rsidR="009964CA" w:rsidRPr="00E01239" w:rsidRDefault="009964CA" w:rsidP="00263B8A">
      <w:pPr>
        <w:numPr>
          <w:ilvl w:val="0"/>
          <w:numId w:val="101"/>
        </w:numPr>
        <w:spacing w:before="120" w:line="280" w:lineRule="exact"/>
        <w:jc w:val="both"/>
        <w:rPr>
          <w:rFonts w:asciiTheme="minorHAnsi" w:hAnsiTheme="minorHAnsi" w:cstheme="minorHAnsi"/>
          <w:sz w:val="22"/>
          <w:szCs w:val="22"/>
        </w:rPr>
      </w:pPr>
      <w:r w:rsidRPr="00E01239">
        <w:rPr>
          <w:rFonts w:asciiTheme="minorHAnsi" w:hAnsiTheme="minorHAnsi" w:cstheme="minorHAnsi"/>
          <w:bCs/>
          <w:sz w:val="22"/>
          <w:szCs w:val="22"/>
        </w:rPr>
        <w:t>La NES n°3</w:t>
      </w:r>
      <w:r w:rsidR="00664CC6" w:rsidRPr="00E01239">
        <w:rPr>
          <w:rFonts w:asciiTheme="minorHAnsi" w:hAnsiTheme="minorHAnsi" w:cstheme="minorHAnsi"/>
          <w:bCs/>
          <w:sz w:val="22"/>
          <w:szCs w:val="22"/>
        </w:rPr>
        <w:t>,</w:t>
      </w:r>
      <w:r w:rsidRPr="00E01239">
        <w:rPr>
          <w:rFonts w:asciiTheme="minorHAnsi" w:hAnsiTheme="minorHAnsi" w:cstheme="minorHAnsi"/>
          <w:bCs/>
          <w:sz w:val="22"/>
          <w:szCs w:val="22"/>
        </w:rPr>
        <w:t xml:space="preserve"> relative à l’utilisation rationnelle des ressources et prévention et la gestion de la pollution,</w:t>
      </w:r>
    </w:p>
    <w:p w14:paraId="6F0E7B6D" w14:textId="617347DB" w:rsidR="009964CA" w:rsidRPr="00E01239" w:rsidRDefault="009964CA" w:rsidP="00263B8A">
      <w:pPr>
        <w:numPr>
          <w:ilvl w:val="0"/>
          <w:numId w:val="101"/>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NES n°4</w:t>
      </w:r>
      <w:r w:rsidR="00664CC6" w:rsidRPr="00E01239">
        <w:rPr>
          <w:rFonts w:asciiTheme="minorHAnsi" w:hAnsiTheme="minorHAnsi" w:cstheme="minorHAnsi"/>
          <w:sz w:val="22"/>
          <w:szCs w:val="22"/>
        </w:rPr>
        <w:t>,</w:t>
      </w:r>
      <w:r w:rsidRPr="00E01239">
        <w:rPr>
          <w:rFonts w:asciiTheme="minorHAnsi" w:hAnsiTheme="minorHAnsi" w:cstheme="minorHAnsi"/>
          <w:sz w:val="22"/>
          <w:szCs w:val="22"/>
        </w:rPr>
        <w:t xml:space="preserve"> relative à la santé et sécurité des populations,</w:t>
      </w:r>
    </w:p>
    <w:p w14:paraId="19A1F60B" w14:textId="3F9CD1BF" w:rsidR="009964CA" w:rsidRPr="00E01239" w:rsidRDefault="009964CA" w:rsidP="00263B8A">
      <w:pPr>
        <w:numPr>
          <w:ilvl w:val="0"/>
          <w:numId w:val="101"/>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NES n°5</w:t>
      </w:r>
      <w:r w:rsidR="00664CC6" w:rsidRPr="00E01239">
        <w:rPr>
          <w:rFonts w:asciiTheme="minorHAnsi" w:hAnsiTheme="minorHAnsi" w:cstheme="minorHAnsi"/>
          <w:sz w:val="22"/>
          <w:szCs w:val="22"/>
        </w:rPr>
        <w:t>,</w:t>
      </w:r>
      <w:r w:rsidRPr="00E01239">
        <w:rPr>
          <w:rFonts w:asciiTheme="minorHAnsi" w:hAnsiTheme="minorHAnsi" w:cstheme="minorHAnsi"/>
          <w:sz w:val="22"/>
          <w:szCs w:val="22"/>
        </w:rPr>
        <w:t xml:space="preserve"> relative à l’a</w:t>
      </w:r>
      <w:r w:rsidRPr="00E01239">
        <w:rPr>
          <w:rFonts w:asciiTheme="minorHAnsi" w:hAnsiTheme="minorHAnsi" w:cstheme="minorHAnsi"/>
          <w:bCs/>
          <w:sz w:val="22"/>
          <w:szCs w:val="22"/>
        </w:rPr>
        <w:t>cquisition des terres, restrictions à l'utilisation des terres et réinstallation involontaire,</w:t>
      </w:r>
    </w:p>
    <w:p w14:paraId="7568B7C5" w14:textId="7586CE48" w:rsidR="009964CA" w:rsidRPr="00E01239" w:rsidRDefault="009964CA" w:rsidP="00263B8A">
      <w:pPr>
        <w:numPr>
          <w:ilvl w:val="0"/>
          <w:numId w:val="101"/>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NES n°6</w:t>
      </w:r>
      <w:r w:rsidR="00664CC6" w:rsidRPr="00E01239">
        <w:rPr>
          <w:rFonts w:asciiTheme="minorHAnsi" w:hAnsiTheme="minorHAnsi" w:cstheme="minorHAnsi"/>
          <w:sz w:val="22"/>
          <w:szCs w:val="22"/>
        </w:rPr>
        <w:t>,</w:t>
      </w:r>
      <w:r w:rsidRPr="00E01239">
        <w:rPr>
          <w:rFonts w:asciiTheme="minorHAnsi" w:hAnsiTheme="minorHAnsi" w:cstheme="minorHAnsi"/>
          <w:sz w:val="22"/>
          <w:szCs w:val="22"/>
        </w:rPr>
        <w:t xml:space="preserve"> relative à la </w:t>
      </w:r>
      <w:r w:rsidRPr="00E01239">
        <w:rPr>
          <w:rFonts w:asciiTheme="minorHAnsi" w:hAnsiTheme="minorHAnsi" w:cstheme="minorHAnsi"/>
          <w:bCs/>
          <w:sz w:val="22"/>
          <w:szCs w:val="22"/>
        </w:rPr>
        <w:t>préservation de la biodiversité et gestion durable des ressources naturelles biologiques,</w:t>
      </w:r>
    </w:p>
    <w:p w14:paraId="4D5EEE1C" w14:textId="2D9574BB" w:rsidR="009964CA" w:rsidRPr="00E01239" w:rsidRDefault="009964CA" w:rsidP="00263B8A">
      <w:pPr>
        <w:numPr>
          <w:ilvl w:val="0"/>
          <w:numId w:val="101"/>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NES n° 8</w:t>
      </w:r>
      <w:r w:rsidR="00664CC6" w:rsidRPr="00E01239">
        <w:rPr>
          <w:rFonts w:asciiTheme="minorHAnsi" w:hAnsiTheme="minorHAnsi" w:cstheme="minorHAnsi"/>
          <w:sz w:val="22"/>
          <w:szCs w:val="22"/>
        </w:rPr>
        <w:t>,</w:t>
      </w:r>
      <w:r w:rsidRPr="00E01239">
        <w:rPr>
          <w:rFonts w:asciiTheme="minorHAnsi" w:hAnsiTheme="minorHAnsi" w:cstheme="minorHAnsi"/>
          <w:sz w:val="22"/>
          <w:szCs w:val="22"/>
        </w:rPr>
        <w:t xml:space="preserve"> relative au patrimoine culturel,</w:t>
      </w:r>
    </w:p>
    <w:p w14:paraId="4DE19797" w14:textId="0E4256F4" w:rsidR="009964CA" w:rsidRPr="00E01239" w:rsidRDefault="009964CA" w:rsidP="00263B8A">
      <w:pPr>
        <w:numPr>
          <w:ilvl w:val="0"/>
          <w:numId w:val="101"/>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NES n°10</w:t>
      </w:r>
      <w:r w:rsidR="00664CC6" w:rsidRPr="00E01239">
        <w:rPr>
          <w:rFonts w:asciiTheme="minorHAnsi" w:hAnsiTheme="minorHAnsi" w:cstheme="minorHAnsi"/>
          <w:sz w:val="22"/>
          <w:szCs w:val="22"/>
        </w:rPr>
        <w:t>,</w:t>
      </w:r>
      <w:r w:rsidRPr="00E01239">
        <w:rPr>
          <w:rFonts w:asciiTheme="minorHAnsi" w:hAnsiTheme="minorHAnsi" w:cstheme="minorHAnsi"/>
          <w:sz w:val="22"/>
          <w:szCs w:val="22"/>
        </w:rPr>
        <w:t xml:space="preserve"> relative à la mobilisation des parties prenantes et information</w:t>
      </w:r>
      <w:r w:rsidR="00FB4BA3" w:rsidRPr="00E01239">
        <w:rPr>
          <w:rFonts w:asciiTheme="minorHAnsi" w:hAnsiTheme="minorHAnsi" w:cstheme="minorHAnsi"/>
          <w:sz w:val="22"/>
          <w:szCs w:val="22"/>
        </w:rPr>
        <w:t>.</w:t>
      </w:r>
    </w:p>
    <w:p w14:paraId="62815984" w14:textId="3E9DDDCF" w:rsidR="00C37FBD" w:rsidRPr="00E01239" w:rsidRDefault="009964CA" w:rsidP="00202CE9">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 xml:space="preserve">Le présent CGES </w:t>
      </w:r>
      <w:r w:rsidR="00C37FBD" w:rsidRPr="00E01239">
        <w:rPr>
          <w:rFonts w:asciiTheme="minorHAnsi" w:hAnsiTheme="minorHAnsi" w:cstheme="minorHAnsi"/>
          <w:sz w:val="22"/>
          <w:szCs w:val="22"/>
        </w:rPr>
        <w:t xml:space="preserve">examine les risques et effets environnementaux et sociaux </w:t>
      </w:r>
      <w:r w:rsidR="00061F2F" w:rsidRPr="00E01239">
        <w:rPr>
          <w:rFonts w:asciiTheme="minorHAnsi" w:hAnsiTheme="minorHAnsi" w:cstheme="minorHAnsi"/>
          <w:sz w:val="22"/>
          <w:szCs w:val="22"/>
        </w:rPr>
        <w:t>des activités du</w:t>
      </w:r>
      <w:r w:rsidR="00C37FBD" w:rsidRPr="00E01239">
        <w:rPr>
          <w:rFonts w:asciiTheme="minorHAnsi" w:hAnsiTheme="minorHAnsi" w:cstheme="minorHAnsi"/>
          <w:sz w:val="22"/>
          <w:szCs w:val="22"/>
        </w:rPr>
        <w:t xml:space="preserve"> </w:t>
      </w:r>
      <w:r w:rsidR="002D32A1" w:rsidRPr="00E01239">
        <w:rPr>
          <w:rFonts w:asciiTheme="minorHAnsi" w:hAnsiTheme="minorHAnsi" w:cstheme="minorHAnsi"/>
          <w:color w:val="000000" w:themeColor="text1"/>
          <w:sz w:val="22"/>
          <w:szCs w:val="22"/>
        </w:rPr>
        <w:t>FSRP-SN</w:t>
      </w:r>
      <w:r w:rsidR="00C37FBD" w:rsidRPr="00E01239">
        <w:rPr>
          <w:rFonts w:asciiTheme="minorHAnsi" w:hAnsiTheme="minorHAnsi" w:cstheme="minorHAnsi"/>
          <w:sz w:val="22"/>
          <w:szCs w:val="22"/>
        </w:rPr>
        <w:t xml:space="preserve">. Il définit les principes, les règles, les directives et les procédures permettant d’évaluer les risques et effets environnementaux et sociaux. </w:t>
      </w:r>
    </w:p>
    <w:p w14:paraId="1753F8BE" w14:textId="77777777" w:rsidR="00C37FBD" w:rsidRPr="00E01239" w:rsidRDefault="00C37FBD" w:rsidP="00202CE9">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Par conséquent, le CGES contient :</w:t>
      </w:r>
    </w:p>
    <w:p w14:paraId="0B7A580F" w14:textId="36ABA4F6" w:rsidR="009964CA" w:rsidRPr="00E01239" w:rsidRDefault="001A3266" w:rsidP="00263B8A">
      <w:pPr>
        <w:numPr>
          <w:ilvl w:val="0"/>
          <w:numId w:val="22"/>
        </w:numPr>
        <w:shd w:val="clear" w:color="auto" w:fill="FFFFFF"/>
        <w:spacing w:before="120" w:line="280" w:lineRule="exact"/>
        <w:ind w:left="714" w:right="11" w:hanging="357"/>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w:t>
      </w:r>
      <w:r w:rsidR="009964CA" w:rsidRPr="00E01239">
        <w:rPr>
          <w:rFonts w:asciiTheme="minorHAnsi" w:hAnsiTheme="minorHAnsi" w:cstheme="minorHAnsi"/>
          <w:spacing w:val="1"/>
          <w:sz w:val="22"/>
          <w:szCs w:val="22"/>
        </w:rPr>
        <w:t xml:space="preserve"> processus de sélection environnementale et sociale</w:t>
      </w:r>
      <w:r w:rsidR="009964CA" w:rsidRPr="00E01239">
        <w:rPr>
          <w:rFonts w:asciiTheme="minorHAnsi" w:eastAsia="Calibri" w:hAnsiTheme="minorHAnsi" w:cstheme="minorHAnsi"/>
          <w:sz w:val="22"/>
          <w:szCs w:val="22"/>
        </w:rPr>
        <w:t xml:space="preserve"> devant permettre l’identification des impacts environnementaux et sociaux potentiels pouvant découler des activités du projet et la mise en œuvre et le suivi des mesures </w:t>
      </w:r>
      <w:r w:rsidR="009964CA" w:rsidRPr="00E01239">
        <w:rPr>
          <w:rFonts w:asciiTheme="minorHAnsi" w:hAnsiTheme="minorHAnsi" w:cstheme="minorHAnsi"/>
          <w:spacing w:val="1"/>
          <w:sz w:val="22"/>
          <w:szCs w:val="22"/>
        </w:rPr>
        <w:t>d’évitement</w:t>
      </w:r>
      <w:r w:rsidR="009964CA" w:rsidRPr="00E01239">
        <w:rPr>
          <w:rFonts w:asciiTheme="minorHAnsi" w:eastAsia="Calibri" w:hAnsiTheme="minorHAnsi" w:cstheme="minorHAnsi"/>
          <w:sz w:val="22"/>
          <w:szCs w:val="22"/>
        </w:rPr>
        <w:t xml:space="preserve"> et d’atténuation proposées</w:t>
      </w:r>
      <w:r w:rsidR="002D32A1" w:rsidRPr="00E01239">
        <w:rPr>
          <w:rFonts w:asciiTheme="minorHAnsi" w:eastAsia="Calibri" w:hAnsiTheme="minorHAnsi" w:cstheme="minorHAnsi"/>
          <w:sz w:val="22"/>
          <w:szCs w:val="22"/>
        </w:rPr>
        <w:t xml:space="preserve"> selon le principe de la hiérarchie d’atténuation</w:t>
      </w:r>
      <w:r w:rsidR="009964CA" w:rsidRPr="00E01239">
        <w:rPr>
          <w:rFonts w:asciiTheme="minorHAnsi" w:hAnsiTheme="minorHAnsi" w:cstheme="minorHAnsi"/>
          <w:spacing w:val="1"/>
          <w:sz w:val="22"/>
          <w:szCs w:val="22"/>
        </w:rPr>
        <w:t xml:space="preserve"> </w:t>
      </w:r>
    </w:p>
    <w:p w14:paraId="6F90F26A" w14:textId="5D8AC8E8" w:rsidR="009964CA" w:rsidRPr="00E01239" w:rsidRDefault="001A3266" w:rsidP="00263B8A">
      <w:pPr>
        <w:numPr>
          <w:ilvl w:val="0"/>
          <w:numId w:val="22"/>
        </w:numPr>
        <w:shd w:val="clear" w:color="auto" w:fill="FFFFFF"/>
        <w:spacing w:before="120" w:line="280" w:lineRule="exact"/>
        <w:ind w:left="714" w:right="11" w:hanging="357"/>
        <w:jc w:val="both"/>
        <w:rPr>
          <w:rFonts w:asciiTheme="minorHAnsi" w:hAnsiTheme="minorHAnsi" w:cstheme="minorHAnsi"/>
          <w:spacing w:val="-1"/>
          <w:sz w:val="22"/>
          <w:szCs w:val="22"/>
        </w:rPr>
      </w:pPr>
      <w:r w:rsidRPr="00E01239">
        <w:rPr>
          <w:rFonts w:asciiTheme="minorHAnsi" w:hAnsiTheme="minorHAnsi" w:cstheme="minorHAnsi"/>
          <w:noProof/>
          <w:sz w:val="22"/>
          <w:szCs w:val="22"/>
        </w:rPr>
        <w:t>L</w:t>
      </w:r>
      <w:r w:rsidR="009964CA" w:rsidRPr="00E01239">
        <w:rPr>
          <w:rFonts w:asciiTheme="minorHAnsi" w:hAnsiTheme="minorHAnsi" w:cstheme="minorHAnsi"/>
          <w:noProof/>
          <w:sz w:val="22"/>
          <w:szCs w:val="22"/>
        </w:rPr>
        <w:t xml:space="preserve">a procédure d’engagement des parties prenantes incluant la </w:t>
      </w:r>
      <w:r w:rsidR="009964CA" w:rsidRPr="00E01239">
        <w:rPr>
          <w:rFonts w:asciiTheme="minorHAnsi" w:hAnsiTheme="minorHAnsi" w:cstheme="minorHAnsi"/>
          <w:spacing w:val="-1"/>
          <w:sz w:val="22"/>
          <w:szCs w:val="22"/>
        </w:rPr>
        <w:t>consultation et l’’information des parties prenantes </w:t>
      </w:r>
    </w:p>
    <w:p w14:paraId="231FCA4B" w14:textId="3E4BBFD7" w:rsidR="00940CAF" w:rsidRPr="00E01239" w:rsidRDefault="001A3266" w:rsidP="00263B8A">
      <w:pPr>
        <w:numPr>
          <w:ilvl w:val="0"/>
          <w:numId w:val="22"/>
        </w:numPr>
        <w:shd w:val="clear" w:color="auto" w:fill="FFFFFF"/>
        <w:spacing w:before="120" w:line="280" w:lineRule="exact"/>
        <w:ind w:left="714" w:right="11" w:hanging="357"/>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Les</w:t>
      </w:r>
      <w:r w:rsidR="00940CAF" w:rsidRPr="00E01239">
        <w:rPr>
          <w:rFonts w:asciiTheme="minorHAnsi" w:hAnsiTheme="minorHAnsi" w:cstheme="minorHAnsi"/>
          <w:spacing w:val="-1"/>
          <w:sz w:val="22"/>
          <w:szCs w:val="22"/>
        </w:rPr>
        <w:t xml:space="preserve"> mesures de gestion environnementale et sociale des impacts et risques génériques </w:t>
      </w:r>
      <w:r w:rsidR="009F08DA" w:rsidRPr="00E01239">
        <w:rPr>
          <w:rFonts w:asciiTheme="minorHAnsi" w:hAnsiTheme="minorHAnsi" w:cstheme="minorHAnsi"/>
          <w:spacing w:val="-1"/>
          <w:sz w:val="22"/>
          <w:szCs w:val="22"/>
        </w:rPr>
        <w:t xml:space="preserve">identifiées suivant le principe de la </w:t>
      </w:r>
      <w:r w:rsidRPr="00E01239">
        <w:rPr>
          <w:rFonts w:asciiTheme="minorHAnsi" w:hAnsiTheme="minorHAnsi" w:cstheme="minorHAnsi"/>
          <w:spacing w:val="-1"/>
          <w:sz w:val="22"/>
          <w:szCs w:val="22"/>
        </w:rPr>
        <w:t>hiérarchie</w:t>
      </w:r>
      <w:r w:rsidR="009F08DA" w:rsidRPr="00E01239">
        <w:rPr>
          <w:rFonts w:asciiTheme="minorHAnsi" w:hAnsiTheme="minorHAnsi" w:cstheme="minorHAnsi"/>
          <w:spacing w:val="-1"/>
          <w:sz w:val="22"/>
          <w:szCs w:val="22"/>
        </w:rPr>
        <w:t xml:space="preserve"> d’atténuation et comportant des mesures d’évitement, de mitigation, d’atténuation et/ou de compensation</w:t>
      </w:r>
    </w:p>
    <w:p w14:paraId="53C50D1D" w14:textId="2061E815" w:rsidR="00940CAF" w:rsidRPr="00E01239" w:rsidRDefault="001A3266" w:rsidP="00263B8A">
      <w:pPr>
        <w:numPr>
          <w:ilvl w:val="0"/>
          <w:numId w:val="22"/>
        </w:numPr>
        <w:shd w:val="clear" w:color="auto" w:fill="FFFFFF"/>
        <w:spacing w:before="120" w:line="280" w:lineRule="exact"/>
        <w:ind w:left="714" w:right="11" w:hanging="357"/>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w:t>
      </w:r>
      <w:r w:rsidR="00940CAF" w:rsidRPr="00E01239">
        <w:rPr>
          <w:rFonts w:asciiTheme="minorHAnsi" w:hAnsiTheme="minorHAnsi" w:cstheme="minorHAnsi"/>
          <w:spacing w:val="-1"/>
          <w:sz w:val="22"/>
          <w:szCs w:val="22"/>
        </w:rPr>
        <w:t xml:space="preserve"> mécanisme de suivi et de surveillance environnementale des impacts et risques E&amp;S induits par les activités du </w:t>
      </w:r>
      <w:r w:rsidR="002D32A1" w:rsidRPr="00E01239">
        <w:rPr>
          <w:rFonts w:asciiTheme="minorHAnsi" w:hAnsiTheme="minorHAnsi" w:cstheme="minorHAnsi"/>
          <w:color w:val="000000" w:themeColor="text1"/>
          <w:sz w:val="22"/>
          <w:szCs w:val="22"/>
        </w:rPr>
        <w:t>FSRP-SN</w:t>
      </w:r>
    </w:p>
    <w:p w14:paraId="0222F1AC" w14:textId="1AE74FAD" w:rsidR="00940CAF" w:rsidRPr="00E01239" w:rsidRDefault="001A3266" w:rsidP="00263B8A">
      <w:pPr>
        <w:numPr>
          <w:ilvl w:val="0"/>
          <w:numId w:val="22"/>
        </w:numPr>
        <w:shd w:val="clear" w:color="auto" w:fill="FFFFFF"/>
        <w:spacing w:before="120" w:line="280" w:lineRule="exact"/>
        <w:ind w:left="714" w:right="11" w:hanging="357"/>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Les</w:t>
      </w:r>
      <w:r w:rsidR="00940CAF" w:rsidRPr="00E01239">
        <w:rPr>
          <w:rFonts w:asciiTheme="minorHAnsi" w:hAnsiTheme="minorHAnsi" w:cstheme="minorHAnsi"/>
          <w:spacing w:val="-1"/>
          <w:sz w:val="22"/>
          <w:szCs w:val="22"/>
        </w:rPr>
        <w:t xml:space="preserve"> arrangements institutionnels assortis d’une évaluation des capacités des entités impliquées dans la gestion E&amp;S du </w:t>
      </w:r>
      <w:r w:rsidR="009F08DA" w:rsidRPr="00E01239">
        <w:rPr>
          <w:rFonts w:asciiTheme="minorHAnsi" w:hAnsiTheme="minorHAnsi" w:cstheme="minorHAnsi"/>
          <w:spacing w:val="-1"/>
          <w:sz w:val="22"/>
          <w:szCs w:val="22"/>
        </w:rPr>
        <w:t>FSRP</w:t>
      </w:r>
      <w:r w:rsidR="002D32A1" w:rsidRPr="00E01239">
        <w:rPr>
          <w:rFonts w:asciiTheme="minorHAnsi" w:hAnsiTheme="minorHAnsi" w:cstheme="minorHAnsi"/>
          <w:spacing w:val="-1"/>
          <w:sz w:val="22"/>
          <w:szCs w:val="22"/>
        </w:rPr>
        <w:t>-SN</w:t>
      </w:r>
      <w:r w:rsidR="00940CAF" w:rsidRPr="00E01239">
        <w:rPr>
          <w:rFonts w:asciiTheme="minorHAnsi" w:hAnsiTheme="minorHAnsi" w:cstheme="minorHAnsi"/>
          <w:spacing w:val="-1"/>
          <w:sz w:val="22"/>
          <w:szCs w:val="22"/>
        </w:rPr>
        <w:t xml:space="preserve"> et d’un plan de renforcement des capacités</w:t>
      </w:r>
    </w:p>
    <w:p w14:paraId="26B0CAD7" w14:textId="0C4CAC3F" w:rsidR="009964CA" w:rsidRPr="00E01239" w:rsidRDefault="001A3266" w:rsidP="00263B8A">
      <w:pPr>
        <w:numPr>
          <w:ilvl w:val="0"/>
          <w:numId w:val="22"/>
        </w:numPr>
        <w:shd w:val="clear" w:color="auto" w:fill="FFFFFF"/>
        <w:spacing w:before="120" w:line="280" w:lineRule="exact"/>
        <w:ind w:left="714" w:right="19" w:hanging="357"/>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w:t>
      </w:r>
      <w:r w:rsidR="009964CA" w:rsidRPr="00E01239">
        <w:rPr>
          <w:rFonts w:asciiTheme="minorHAnsi" w:hAnsiTheme="minorHAnsi" w:cstheme="minorHAnsi"/>
          <w:spacing w:val="-1"/>
          <w:sz w:val="22"/>
          <w:szCs w:val="22"/>
        </w:rPr>
        <w:t xml:space="preserve"> procédure de prise en charge des violences basées sur le genre (VBG), d’exploitation et d’abus sexuels (EAS) et du harcèlement sexuel (HS) </w:t>
      </w:r>
    </w:p>
    <w:p w14:paraId="6762572C" w14:textId="7B0B7611" w:rsidR="009964CA" w:rsidRPr="00E01239" w:rsidRDefault="001A3266" w:rsidP="00263B8A">
      <w:pPr>
        <w:numPr>
          <w:ilvl w:val="0"/>
          <w:numId w:val="22"/>
        </w:numPr>
        <w:shd w:val="clear" w:color="auto" w:fill="FFFFFF"/>
        <w:spacing w:before="120" w:line="280" w:lineRule="exact"/>
        <w:ind w:left="714" w:right="19" w:hanging="357"/>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w:t>
      </w:r>
      <w:r w:rsidR="009964CA" w:rsidRPr="00E01239">
        <w:rPr>
          <w:rFonts w:asciiTheme="minorHAnsi" w:hAnsiTheme="minorHAnsi" w:cstheme="minorHAnsi"/>
          <w:spacing w:val="-1"/>
          <w:sz w:val="22"/>
          <w:szCs w:val="22"/>
        </w:rPr>
        <w:t xml:space="preserve"> mécanisme de gestion des plaintes (MGP)</w:t>
      </w:r>
      <w:r w:rsidR="00DF7E41">
        <w:rPr>
          <w:rFonts w:asciiTheme="minorHAnsi" w:hAnsiTheme="minorHAnsi" w:cstheme="minorHAnsi"/>
          <w:spacing w:val="-1"/>
          <w:sz w:val="22"/>
          <w:szCs w:val="22"/>
        </w:rPr>
        <w:t xml:space="preserve">, </w:t>
      </w:r>
      <w:r w:rsidR="009F08DA" w:rsidRPr="00E01239">
        <w:rPr>
          <w:rFonts w:asciiTheme="minorHAnsi" w:hAnsiTheme="minorHAnsi" w:cstheme="minorHAnsi"/>
          <w:spacing w:val="-1"/>
          <w:sz w:val="22"/>
          <w:szCs w:val="22"/>
        </w:rPr>
        <w:t>et</w:t>
      </w:r>
    </w:p>
    <w:p w14:paraId="7EB0653F" w14:textId="0240A716" w:rsidR="009F08DA" w:rsidRPr="00E01239" w:rsidRDefault="001A3266" w:rsidP="00263B8A">
      <w:pPr>
        <w:numPr>
          <w:ilvl w:val="0"/>
          <w:numId w:val="22"/>
        </w:numPr>
        <w:shd w:val="clear" w:color="auto" w:fill="FFFFFF"/>
        <w:spacing w:before="120" w:line="280" w:lineRule="exact"/>
        <w:ind w:left="714" w:right="19" w:hanging="357"/>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w:t>
      </w:r>
      <w:r w:rsidR="009F08DA" w:rsidRPr="00E01239">
        <w:rPr>
          <w:rFonts w:asciiTheme="minorHAnsi" w:hAnsiTheme="minorHAnsi" w:cstheme="minorHAnsi"/>
          <w:spacing w:val="-1"/>
          <w:sz w:val="22"/>
          <w:szCs w:val="22"/>
        </w:rPr>
        <w:t xml:space="preserve"> budget de mise en œuvre du CGES.</w:t>
      </w:r>
    </w:p>
    <w:p w14:paraId="42B70E3F" w14:textId="4B264284" w:rsidR="003A6B81" w:rsidRPr="00E01239" w:rsidRDefault="00C37FBD" w:rsidP="00202CE9">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 xml:space="preserve">Outre </w:t>
      </w:r>
      <w:r w:rsidR="004A50C6" w:rsidRPr="00E01239">
        <w:rPr>
          <w:rFonts w:asciiTheme="minorHAnsi" w:hAnsiTheme="minorHAnsi" w:cstheme="minorHAnsi"/>
          <w:sz w:val="22"/>
          <w:szCs w:val="22"/>
        </w:rPr>
        <w:t>le CGES</w:t>
      </w:r>
      <w:r w:rsidRPr="00E01239">
        <w:rPr>
          <w:rFonts w:asciiTheme="minorHAnsi" w:hAnsiTheme="minorHAnsi" w:cstheme="minorHAnsi"/>
          <w:sz w:val="22"/>
          <w:szCs w:val="22"/>
        </w:rPr>
        <w:t xml:space="preserve">, </w:t>
      </w:r>
      <w:r w:rsidR="004A50C6" w:rsidRPr="00E01239">
        <w:rPr>
          <w:rFonts w:asciiTheme="minorHAnsi" w:hAnsiTheme="minorHAnsi" w:cstheme="minorHAnsi"/>
          <w:sz w:val="22"/>
          <w:szCs w:val="22"/>
        </w:rPr>
        <w:t>d’autres instruments environnementaux et sociaux requis en vertu du CES de la Banque mondiale</w:t>
      </w:r>
      <w:r w:rsidRPr="00E01239">
        <w:rPr>
          <w:rFonts w:asciiTheme="minorHAnsi" w:hAnsiTheme="minorHAnsi" w:cstheme="minorHAnsi"/>
          <w:sz w:val="22"/>
          <w:szCs w:val="22"/>
        </w:rPr>
        <w:t xml:space="preserve"> ont été préparés dans le cadre du </w:t>
      </w:r>
      <w:r w:rsidR="009F08DA" w:rsidRPr="00E01239">
        <w:rPr>
          <w:rFonts w:asciiTheme="minorHAnsi" w:hAnsiTheme="minorHAnsi" w:cstheme="minorHAnsi"/>
          <w:sz w:val="22"/>
          <w:szCs w:val="22"/>
        </w:rPr>
        <w:t>FSRP</w:t>
      </w:r>
      <w:r w:rsidR="002D32A1" w:rsidRPr="00E01239">
        <w:rPr>
          <w:rFonts w:asciiTheme="minorHAnsi" w:hAnsiTheme="minorHAnsi" w:cstheme="minorHAnsi"/>
          <w:sz w:val="22"/>
          <w:szCs w:val="22"/>
        </w:rPr>
        <w:t>-SN</w:t>
      </w:r>
      <w:r w:rsidR="009F08DA" w:rsidRPr="00E01239">
        <w:rPr>
          <w:rFonts w:asciiTheme="minorHAnsi" w:hAnsiTheme="minorHAnsi" w:cstheme="minorHAnsi"/>
          <w:sz w:val="22"/>
          <w:szCs w:val="22"/>
        </w:rPr>
        <w:t xml:space="preserve"> </w:t>
      </w:r>
      <w:r w:rsidR="003A6B81" w:rsidRPr="00E01239">
        <w:rPr>
          <w:rFonts w:asciiTheme="minorHAnsi" w:hAnsiTheme="minorHAnsi" w:cstheme="minorHAnsi"/>
          <w:sz w:val="22"/>
          <w:szCs w:val="22"/>
        </w:rPr>
        <w:t>en volumes séparés</w:t>
      </w:r>
      <w:r w:rsidR="00E02D8B" w:rsidRPr="00E01239">
        <w:rPr>
          <w:rFonts w:asciiTheme="minorHAnsi" w:hAnsiTheme="minorHAnsi" w:cstheme="minorHAnsi"/>
          <w:sz w:val="22"/>
          <w:szCs w:val="22"/>
        </w:rPr>
        <w:t>,</w:t>
      </w:r>
      <w:r w:rsidR="004A50C6" w:rsidRPr="00E01239">
        <w:rPr>
          <w:rFonts w:asciiTheme="minorHAnsi" w:hAnsiTheme="minorHAnsi" w:cstheme="minorHAnsi"/>
          <w:sz w:val="22"/>
          <w:szCs w:val="22"/>
        </w:rPr>
        <w:t xml:space="preserve"> à savoir</w:t>
      </w:r>
      <w:r w:rsidR="003A6B81" w:rsidRPr="00E01239">
        <w:rPr>
          <w:rFonts w:asciiTheme="minorHAnsi" w:hAnsiTheme="minorHAnsi" w:cstheme="minorHAnsi"/>
          <w:sz w:val="22"/>
          <w:szCs w:val="22"/>
        </w:rPr>
        <w:t xml:space="preserve"> : </w:t>
      </w:r>
    </w:p>
    <w:p w14:paraId="03AA69DF" w14:textId="6985E760" w:rsidR="003A6B81" w:rsidRPr="00E01239" w:rsidRDefault="00EB09F6" w:rsidP="00263B8A">
      <w:pPr>
        <w:pStyle w:val="Paragraphedeliste"/>
        <w:numPr>
          <w:ilvl w:val="0"/>
          <w:numId w:val="25"/>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lastRenderedPageBreak/>
        <w:t>Les</w:t>
      </w:r>
      <w:r w:rsidR="002D32A1" w:rsidRPr="00E01239">
        <w:rPr>
          <w:rFonts w:asciiTheme="minorHAnsi" w:hAnsiTheme="minorHAnsi" w:cstheme="minorHAnsi"/>
          <w:sz w:val="22"/>
          <w:szCs w:val="22"/>
        </w:rPr>
        <w:t xml:space="preserve"> procédures de</w:t>
      </w:r>
      <w:r w:rsidR="003A6B81" w:rsidRPr="00E01239">
        <w:rPr>
          <w:rFonts w:asciiTheme="minorHAnsi" w:hAnsiTheme="minorHAnsi" w:cstheme="minorHAnsi"/>
          <w:sz w:val="22"/>
          <w:szCs w:val="22"/>
        </w:rPr>
        <w:t xml:space="preserve"> gestion de la main d’œuvre (PGMO),</w:t>
      </w:r>
    </w:p>
    <w:p w14:paraId="3BAC4177" w14:textId="510A4F6A" w:rsidR="003A6B81" w:rsidRPr="00E01239" w:rsidRDefault="00EB09F6" w:rsidP="00263B8A">
      <w:pPr>
        <w:pStyle w:val="Paragraphedeliste"/>
        <w:numPr>
          <w:ilvl w:val="0"/>
          <w:numId w:val="25"/>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Le</w:t>
      </w:r>
      <w:r w:rsidR="002D32A1" w:rsidRPr="00E01239">
        <w:rPr>
          <w:rFonts w:asciiTheme="minorHAnsi" w:hAnsiTheme="minorHAnsi" w:cstheme="minorHAnsi"/>
          <w:sz w:val="22"/>
          <w:szCs w:val="22"/>
        </w:rPr>
        <w:t xml:space="preserve"> </w:t>
      </w:r>
      <w:r w:rsidR="003A6B81" w:rsidRPr="00E01239">
        <w:rPr>
          <w:rFonts w:asciiTheme="minorHAnsi" w:hAnsiTheme="minorHAnsi" w:cstheme="minorHAnsi"/>
          <w:sz w:val="22"/>
          <w:szCs w:val="22"/>
        </w:rPr>
        <w:t>Plan de mobilisation des parties prenantes (PMPP) incluant un mécanisme de gestion des plaintes</w:t>
      </w:r>
      <w:r w:rsidR="001562F2" w:rsidRPr="00E01239">
        <w:rPr>
          <w:rFonts w:asciiTheme="minorHAnsi" w:hAnsiTheme="minorHAnsi" w:cstheme="minorHAnsi"/>
          <w:sz w:val="22"/>
          <w:szCs w:val="22"/>
        </w:rPr>
        <w:t xml:space="preserve"> (MGP)</w:t>
      </w:r>
      <w:r w:rsidR="003A6B81" w:rsidRPr="00E01239">
        <w:rPr>
          <w:rFonts w:asciiTheme="minorHAnsi" w:hAnsiTheme="minorHAnsi" w:cstheme="minorHAnsi"/>
          <w:sz w:val="22"/>
          <w:szCs w:val="22"/>
        </w:rPr>
        <w:t>,</w:t>
      </w:r>
    </w:p>
    <w:p w14:paraId="5A584793" w14:textId="1395889A" w:rsidR="003A6B81" w:rsidRPr="00E01239" w:rsidRDefault="00EB09F6" w:rsidP="00263B8A">
      <w:pPr>
        <w:pStyle w:val="Paragraphedeliste"/>
        <w:numPr>
          <w:ilvl w:val="0"/>
          <w:numId w:val="25"/>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Le</w:t>
      </w:r>
      <w:r w:rsidR="002D32A1" w:rsidRPr="00E01239">
        <w:rPr>
          <w:rFonts w:asciiTheme="minorHAnsi" w:hAnsiTheme="minorHAnsi" w:cstheme="minorHAnsi"/>
          <w:sz w:val="22"/>
          <w:szCs w:val="22"/>
        </w:rPr>
        <w:t xml:space="preserve"> </w:t>
      </w:r>
      <w:r w:rsidR="003A6B81" w:rsidRPr="00E01239">
        <w:rPr>
          <w:rFonts w:asciiTheme="minorHAnsi" w:hAnsiTheme="minorHAnsi" w:cstheme="minorHAnsi"/>
          <w:sz w:val="22"/>
          <w:szCs w:val="22"/>
        </w:rPr>
        <w:t>cadre de politique de réinstallation (CPR)</w:t>
      </w:r>
      <w:r w:rsidR="009F08DA" w:rsidRPr="00E01239">
        <w:rPr>
          <w:rFonts w:asciiTheme="minorHAnsi" w:hAnsiTheme="minorHAnsi" w:cstheme="minorHAnsi"/>
          <w:sz w:val="22"/>
          <w:szCs w:val="22"/>
        </w:rPr>
        <w:t>,</w:t>
      </w:r>
    </w:p>
    <w:p w14:paraId="59BF4141" w14:textId="6AA62F6B" w:rsidR="009F08DA" w:rsidRPr="00E01239" w:rsidRDefault="00EB09F6" w:rsidP="00263B8A">
      <w:pPr>
        <w:pStyle w:val="Paragraphedeliste"/>
        <w:numPr>
          <w:ilvl w:val="0"/>
          <w:numId w:val="25"/>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Le</w:t>
      </w:r>
      <w:r w:rsidR="002D32A1" w:rsidRPr="00E01239">
        <w:rPr>
          <w:rFonts w:asciiTheme="minorHAnsi" w:hAnsiTheme="minorHAnsi" w:cstheme="minorHAnsi"/>
          <w:sz w:val="22"/>
          <w:szCs w:val="22"/>
        </w:rPr>
        <w:t xml:space="preserve"> </w:t>
      </w:r>
      <w:r w:rsidR="009F08DA" w:rsidRPr="00E01239">
        <w:rPr>
          <w:rFonts w:asciiTheme="minorHAnsi" w:hAnsiTheme="minorHAnsi" w:cstheme="minorHAnsi"/>
          <w:sz w:val="22"/>
          <w:szCs w:val="22"/>
        </w:rPr>
        <w:t>plan de gestion des pestes et pesticides, et</w:t>
      </w:r>
    </w:p>
    <w:p w14:paraId="07BEA7F9" w14:textId="047613E9" w:rsidR="00C40BCF" w:rsidRPr="00E01239" w:rsidRDefault="00EB09F6" w:rsidP="00263B8A">
      <w:pPr>
        <w:pStyle w:val="Paragraphedeliste"/>
        <w:numPr>
          <w:ilvl w:val="0"/>
          <w:numId w:val="25"/>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Le</w:t>
      </w:r>
      <w:r w:rsidR="002D32A1" w:rsidRPr="00E01239">
        <w:rPr>
          <w:rFonts w:asciiTheme="minorHAnsi" w:hAnsiTheme="minorHAnsi" w:cstheme="minorHAnsi"/>
          <w:sz w:val="22"/>
          <w:szCs w:val="22"/>
        </w:rPr>
        <w:t xml:space="preserve"> </w:t>
      </w:r>
      <w:r w:rsidR="00E02D8B" w:rsidRPr="00E01239">
        <w:rPr>
          <w:rFonts w:asciiTheme="minorHAnsi" w:hAnsiTheme="minorHAnsi" w:cstheme="minorHAnsi"/>
          <w:sz w:val="22"/>
          <w:szCs w:val="22"/>
        </w:rPr>
        <w:t xml:space="preserve">plan </w:t>
      </w:r>
      <w:bookmarkStart w:id="52" w:name="_Hlk67223229"/>
      <w:r w:rsidR="00E02D8B" w:rsidRPr="00E01239">
        <w:rPr>
          <w:rFonts w:asciiTheme="minorHAnsi" w:hAnsiTheme="minorHAnsi" w:cstheme="minorHAnsi"/>
          <w:sz w:val="22"/>
          <w:szCs w:val="22"/>
        </w:rPr>
        <w:t>d’atténuation et réponses aux risques de</w:t>
      </w:r>
      <w:r w:rsidR="000F3FAE" w:rsidRPr="00E01239">
        <w:rPr>
          <w:rFonts w:asciiTheme="minorHAnsi" w:hAnsiTheme="minorHAnsi" w:cstheme="minorHAnsi"/>
          <w:sz w:val="22"/>
          <w:szCs w:val="22"/>
        </w:rPr>
        <w:t xml:space="preserve"> </w:t>
      </w:r>
      <w:r w:rsidR="00E02D8B" w:rsidRPr="00E01239">
        <w:rPr>
          <w:rFonts w:asciiTheme="minorHAnsi" w:hAnsiTheme="minorHAnsi" w:cstheme="minorHAnsi"/>
          <w:sz w:val="22"/>
          <w:szCs w:val="22"/>
        </w:rPr>
        <w:t>EAS/HS</w:t>
      </w:r>
      <w:bookmarkEnd w:id="52"/>
      <w:r w:rsidR="0061519C" w:rsidRPr="00E01239">
        <w:rPr>
          <w:rFonts w:asciiTheme="minorHAnsi" w:hAnsiTheme="minorHAnsi" w:cstheme="minorHAnsi"/>
          <w:sz w:val="22"/>
          <w:szCs w:val="22"/>
        </w:rPr>
        <w:t>.</w:t>
      </w:r>
      <w:r w:rsidR="00E02D8B" w:rsidRPr="00E01239">
        <w:rPr>
          <w:rFonts w:asciiTheme="minorHAnsi" w:hAnsiTheme="minorHAnsi" w:cstheme="minorHAnsi"/>
          <w:sz w:val="22"/>
          <w:szCs w:val="22"/>
        </w:rPr>
        <w:t xml:space="preserve"> </w:t>
      </w:r>
    </w:p>
    <w:p w14:paraId="383EBF91" w14:textId="667C88B5" w:rsidR="00C40BCF" w:rsidRPr="00E01239" w:rsidRDefault="00C40BCF" w:rsidP="00202CE9">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 xml:space="preserve">Ces différents documents ont pour principal objectif de fournir un plan d’action global opérationnel pour la gestion des questions spécifiques d’ordre environnemental, social, hygiène, santé et sécurité (EHSS) associées </w:t>
      </w:r>
      <w:r w:rsidR="002A1ABD" w:rsidRPr="00E01239">
        <w:rPr>
          <w:rFonts w:asciiTheme="minorHAnsi" w:hAnsiTheme="minorHAnsi" w:cstheme="minorHAnsi"/>
          <w:sz w:val="22"/>
          <w:szCs w:val="22"/>
        </w:rPr>
        <w:t xml:space="preserve">aux </w:t>
      </w:r>
      <w:r w:rsidRPr="00E01239">
        <w:rPr>
          <w:rFonts w:asciiTheme="minorHAnsi" w:hAnsiTheme="minorHAnsi" w:cstheme="minorHAnsi"/>
          <w:sz w:val="22"/>
          <w:szCs w:val="22"/>
        </w:rPr>
        <w:t>interventions prévues dans le cadre du</w:t>
      </w:r>
      <w:r w:rsidR="00EB09F6" w:rsidRPr="00E01239">
        <w:rPr>
          <w:rFonts w:asciiTheme="minorHAnsi" w:hAnsiTheme="minorHAnsi" w:cstheme="minorHAnsi"/>
          <w:sz w:val="22"/>
          <w:szCs w:val="22"/>
        </w:rPr>
        <w:t xml:space="preserve"> </w:t>
      </w:r>
      <w:r w:rsidR="002D32A1" w:rsidRPr="00E01239">
        <w:rPr>
          <w:rFonts w:asciiTheme="minorHAnsi" w:hAnsiTheme="minorHAnsi" w:cstheme="minorHAnsi"/>
          <w:color w:val="000000" w:themeColor="text1"/>
          <w:sz w:val="22"/>
          <w:szCs w:val="22"/>
        </w:rPr>
        <w:t>FSRP-SN</w:t>
      </w:r>
      <w:r w:rsidRPr="00E01239">
        <w:rPr>
          <w:rFonts w:asciiTheme="minorHAnsi" w:hAnsiTheme="minorHAnsi" w:cstheme="minorHAnsi"/>
          <w:sz w:val="22"/>
          <w:szCs w:val="22"/>
        </w:rPr>
        <w:t>.</w:t>
      </w:r>
    </w:p>
    <w:p w14:paraId="5A47FBC9" w14:textId="77777777" w:rsidR="0029539B" w:rsidRPr="00E01239" w:rsidRDefault="0029539B" w:rsidP="00181E15">
      <w:pPr>
        <w:spacing w:before="120" w:line="360" w:lineRule="exact"/>
        <w:jc w:val="both"/>
        <w:rPr>
          <w:rFonts w:asciiTheme="minorHAnsi" w:hAnsiTheme="minorHAnsi" w:cstheme="minorHAnsi"/>
          <w:sz w:val="22"/>
          <w:szCs w:val="22"/>
        </w:rPr>
      </w:pPr>
    </w:p>
    <w:p w14:paraId="16932D42" w14:textId="77777777" w:rsidR="00D80D45" w:rsidRPr="00E01239" w:rsidRDefault="00E6225E" w:rsidP="00505EBD">
      <w:pPr>
        <w:pStyle w:val="Titre2"/>
        <w:ind w:left="567" w:hanging="567"/>
        <w:rPr>
          <w:rFonts w:asciiTheme="minorHAnsi" w:hAnsiTheme="minorHAnsi" w:cstheme="minorHAnsi"/>
          <w:color w:val="auto"/>
        </w:rPr>
      </w:pPr>
      <w:bookmarkStart w:id="53" w:name="_Toc26504935"/>
      <w:bookmarkStart w:id="54" w:name="_Toc70002893"/>
      <w:bookmarkStart w:id="55" w:name="_Toc130714058"/>
      <w:bookmarkStart w:id="56" w:name="_Toc142377670"/>
      <w:bookmarkStart w:id="57" w:name="_Toc144654054"/>
      <w:r w:rsidRPr="00E01239">
        <w:rPr>
          <w:rFonts w:asciiTheme="minorHAnsi" w:hAnsiTheme="minorHAnsi" w:cstheme="minorHAnsi"/>
          <w:color w:val="auto"/>
        </w:rPr>
        <w:t>DEMARCHE METHODOLOGIQUE</w:t>
      </w:r>
      <w:bookmarkEnd w:id="53"/>
      <w:r w:rsidRPr="00E01239">
        <w:rPr>
          <w:rFonts w:asciiTheme="minorHAnsi" w:hAnsiTheme="minorHAnsi" w:cstheme="minorHAnsi"/>
          <w:color w:val="auto"/>
        </w:rPr>
        <w:t xml:space="preserve"> ADOPTEE</w:t>
      </w:r>
      <w:bookmarkEnd w:id="54"/>
      <w:bookmarkEnd w:id="55"/>
      <w:bookmarkEnd w:id="56"/>
      <w:bookmarkEnd w:id="57"/>
    </w:p>
    <w:p w14:paraId="273BEB49" w14:textId="77777777" w:rsidR="007D56B0" w:rsidRPr="00E01239" w:rsidRDefault="007D56B0" w:rsidP="00202CE9">
      <w:pPr>
        <w:spacing w:before="120" w:line="280" w:lineRule="exact"/>
        <w:ind w:left="-142"/>
        <w:jc w:val="both"/>
        <w:rPr>
          <w:rFonts w:asciiTheme="minorHAnsi" w:hAnsiTheme="minorHAnsi" w:cstheme="minorHAnsi"/>
          <w:sz w:val="22"/>
          <w:szCs w:val="22"/>
        </w:rPr>
      </w:pPr>
      <w:r w:rsidRPr="00E01239">
        <w:rPr>
          <w:rFonts w:asciiTheme="minorHAnsi" w:hAnsiTheme="minorHAnsi" w:cstheme="minorHAnsi"/>
          <w:sz w:val="22"/>
          <w:szCs w:val="22"/>
        </w:rPr>
        <w:t>La démarche méthodologique adoptée dans le cadre de l'élaboration du présent CGES comprend cinq (5) principales étapes :</w:t>
      </w:r>
    </w:p>
    <w:p w14:paraId="40BE0CBC" w14:textId="529579DE" w:rsidR="007D56B0" w:rsidRPr="00E01239" w:rsidRDefault="007D56B0" w:rsidP="00027669">
      <w:pPr>
        <w:pStyle w:val="Paragraphedeliste"/>
        <w:numPr>
          <w:ilvl w:val="0"/>
          <w:numId w:val="10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u w:val="single"/>
        </w:rPr>
        <w:t>Cadrage de la mission</w:t>
      </w:r>
      <w:r w:rsidRPr="00E01239">
        <w:rPr>
          <w:rFonts w:asciiTheme="minorHAnsi" w:hAnsiTheme="minorHAnsi" w:cstheme="minorHAnsi"/>
          <w:sz w:val="22"/>
          <w:szCs w:val="22"/>
        </w:rPr>
        <w:t xml:space="preserve"> :  une réunion a eu lieu avec l’équipe en charge de la préparation du Projet. Cette rencontre a permis de s’accorder sur les objectifs de la mission, de s’entendre sur les principaux enjeux liés à la préparation du présent document, mais aussi sur certains points spécifiques de l’étude, notamment (i) l’identification des parties prenantes à consulter, et (ii) l’établissement d’un échantillon représentatif de zones à visiter dans les régions d’intervention du </w:t>
      </w:r>
      <w:r w:rsidR="0005542D" w:rsidRPr="00E01239">
        <w:rPr>
          <w:rFonts w:asciiTheme="minorHAnsi" w:hAnsiTheme="minorHAnsi" w:cstheme="minorHAnsi"/>
          <w:sz w:val="22"/>
          <w:szCs w:val="22"/>
        </w:rPr>
        <w:t>FSRP</w:t>
      </w:r>
      <w:r w:rsidR="002D32A1" w:rsidRPr="00E01239">
        <w:rPr>
          <w:rFonts w:asciiTheme="minorHAnsi" w:hAnsiTheme="minorHAnsi" w:cstheme="minorHAnsi"/>
          <w:color w:val="000000" w:themeColor="text1"/>
          <w:sz w:val="22"/>
          <w:szCs w:val="22"/>
        </w:rPr>
        <w:t>-SN</w:t>
      </w:r>
      <w:r w:rsidR="0005542D" w:rsidRPr="00E01239">
        <w:rPr>
          <w:rFonts w:asciiTheme="minorHAnsi" w:hAnsiTheme="minorHAnsi" w:cstheme="minorHAnsi"/>
          <w:sz w:val="22"/>
          <w:szCs w:val="22"/>
        </w:rPr>
        <w:t xml:space="preserve"> </w:t>
      </w:r>
      <w:r w:rsidRPr="00E01239">
        <w:rPr>
          <w:rFonts w:asciiTheme="minorHAnsi" w:hAnsiTheme="minorHAnsi" w:cstheme="minorHAnsi"/>
          <w:sz w:val="22"/>
          <w:szCs w:val="22"/>
        </w:rPr>
        <w:t xml:space="preserve">aux fins d’y mener les consultations. L’échantillon final retenu a pris en compte les spécificités des zones agroécologiques couvertes par le Projet. </w:t>
      </w:r>
      <w:r w:rsidR="0005542D" w:rsidRPr="00E01239">
        <w:rPr>
          <w:rFonts w:asciiTheme="minorHAnsi" w:hAnsiTheme="minorHAnsi" w:cstheme="minorHAnsi"/>
          <w:sz w:val="22"/>
          <w:szCs w:val="22"/>
        </w:rPr>
        <w:t xml:space="preserve"> Ces différents points ont été renseignés dans le rapport d’orientation méthodologique soumis par le Consultant</w:t>
      </w:r>
    </w:p>
    <w:p w14:paraId="55FB717F" w14:textId="4B712BFD" w:rsidR="007D56B0" w:rsidRPr="00E01239" w:rsidRDefault="007D56B0" w:rsidP="00027669">
      <w:pPr>
        <w:pStyle w:val="Paragraphedeliste"/>
        <w:numPr>
          <w:ilvl w:val="0"/>
          <w:numId w:val="10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u w:val="single"/>
        </w:rPr>
        <w:t>Recherche et analyse documentaire</w:t>
      </w:r>
      <w:r w:rsidRPr="00E01239">
        <w:rPr>
          <w:rFonts w:asciiTheme="minorHAnsi" w:hAnsiTheme="minorHAnsi" w:cstheme="minorHAnsi"/>
          <w:sz w:val="22"/>
          <w:szCs w:val="22"/>
        </w:rPr>
        <w:t xml:space="preserve"> : elle a permis de collecter les informations disponibles à l’état actuel de préparation du </w:t>
      </w:r>
      <w:r w:rsidR="0005542D" w:rsidRPr="00E01239">
        <w:rPr>
          <w:rFonts w:asciiTheme="minorHAnsi" w:hAnsiTheme="minorHAnsi" w:cstheme="minorHAnsi"/>
          <w:sz w:val="22"/>
          <w:szCs w:val="22"/>
        </w:rPr>
        <w:t>FSRP</w:t>
      </w:r>
      <w:r w:rsidR="002D32A1" w:rsidRPr="00E01239">
        <w:rPr>
          <w:rFonts w:asciiTheme="minorHAnsi" w:hAnsiTheme="minorHAnsi" w:cstheme="minorHAnsi"/>
          <w:color w:val="000000" w:themeColor="text1"/>
          <w:sz w:val="22"/>
          <w:szCs w:val="22"/>
        </w:rPr>
        <w:t>-SN</w:t>
      </w:r>
      <w:r w:rsidR="0005542D" w:rsidRPr="00E01239">
        <w:rPr>
          <w:rFonts w:asciiTheme="minorHAnsi" w:hAnsiTheme="minorHAnsi" w:cstheme="minorHAnsi"/>
          <w:sz w:val="22"/>
          <w:szCs w:val="22"/>
        </w:rPr>
        <w:t xml:space="preserve"> </w:t>
      </w:r>
      <w:r w:rsidRPr="00E01239">
        <w:rPr>
          <w:rFonts w:asciiTheme="minorHAnsi" w:hAnsiTheme="minorHAnsi" w:cstheme="minorHAnsi"/>
          <w:sz w:val="22"/>
          <w:szCs w:val="22"/>
        </w:rPr>
        <w:t xml:space="preserve">et de faire la revue des données de base sur les composantes biophysique et socio-économique de la zone d’intervention du Projet, le cadre politique, juridique et institutionnel relatif à l'évaluation environnementale et sociale au Sénégal, ainsi que la consultation d’autres documents utiles tels que les normes de la Banque mondiale et les bonnes pratiques en matière de gestion environnementale et sociale de projets similaires au </w:t>
      </w:r>
      <w:r w:rsidR="0005542D" w:rsidRPr="00E01239">
        <w:rPr>
          <w:rFonts w:asciiTheme="minorHAnsi" w:hAnsiTheme="minorHAnsi" w:cstheme="minorHAnsi"/>
          <w:sz w:val="22"/>
          <w:szCs w:val="22"/>
        </w:rPr>
        <w:t>FSRP </w:t>
      </w:r>
    </w:p>
    <w:p w14:paraId="43F064A8" w14:textId="64346543" w:rsidR="002D32A1" w:rsidRPr="00E01239" w:rsidRDefault="007D56B0" w:rsidP="00027669">
      <w:pPr>
        <w:pStyle w:val="Paragraphedeliste"/>
        <w:numPr>
          <w:ilvl w:val="0"/>
          <w:numId w:val="106"/>
        </w:numPr>
        <w:spacing w:before="120" w:line="280" w:lineRule="exact"/>
        <w:contextualSpacing w:val="0"/>
        <w:jc w:val="both"/>
        <w:rPr>
          <w:rFonts w:asciiTheme="minorHAnsi" w:hAnsiTheme="minorHAnsi" w:cstheme="minorHAnsi"/>
          <w:bCs/>
          <w:sz w:val="22"/>
          <w:szCs w:val="22"/>
        </w:rPr>
      </w:pPr>
      <w:r w:rsidRPr="00E01239">
        <w:rPr>
          <w:rFonts w:asciiTheme="minorHAnsi" w:hAnsiTheme="minorHAnsi" w:cstheme="minorHAnsi"/>
          <w:sz w:val="22"/>
          <w:szCs w:val="22"/>
          <w:u w:val="single"/>
        </w:rPr>
        <w:t>Consultation des parties prenantes</w:t>
      </w:r>
      <w:r w:rsidRPr="00E01239">
        <w:rPr>
          <w:rFonts w:asciiTheme="minorHAnsi" w:hAnsiTheme="minorHAnsi" w:cstheme="minorHAnsi"/>
          <w:sz w:val="22"/>
          <w:szCs w:val="22"/>
        </w:rPr>
        <w:t xml:space="preserve"> : un échantillon représentatif </w:t>
      </w:r>
      <w:r w:rsidR="000C38B8" w:rsidRPr="00E01239">
        <w:rPr>
          <w:rFonts w:asciiTheme="minorHAnsi" w:hAnsiTheme="minorHAnsi" w:cstheme="minorHAnsi"/>
          <w:sz w:val="22"/>
          <w:szCs w:val="22"/>
        </w:rPr>
        <w:t>de Huit régions (8) régions cibles (Tambacounda, Kaffrine, Thiès, Diourbel, Ziguinchor, Kaolack, Louga et Dakar)</w:t>
      </w:r>
      <w:r w:rsidR="000C38B8" w:rsidRPr="00E01239" w:rsidDel="000C38B8">
        <w:rPr>
          <w:rFonts w:asciiTheme="minorHAnsi" w:hAnsiTheme="minorHAnsi" w:cstheme="minorHAnsi"/>
          <w:sz w:val="22"/>
          <w:szCs w:val="22"/>
        </w:rPr>
        <w:t xml:space="preserve"> </w:t>
      </w:r>
      <w:r w:rsidRPr="00E01239">
        <w:rPr>
          <w:rFonts w:asciiTheme="minorHAnsi" w:hAnsiTheme="minorHAnsi" w:cstheme="minorHAnsi"/>
          <w:sz w:val="22"/>
          <w:szCs w:val="22"/>
        </w:rPr>
        <w:t>a été retenu lors des consultations</w:t>
      </w:r>
      <w:r w:rsidR="002D32A1" w:rsidRPr="00E01239">
        <w:rPr>
          <w:rFonts w:asciiTheme="minorHAnsi" w:hAnsiTheme="minorHAnsi" w:cstheme="minorHAnsi"/>
          <w:sz w:val="22"/>
          <w:szCs w:val="22"/>
        </w:rPr>
        <w:t xml:space="preserve"> </w:t>
      </w:r>
      <w:r w:rsidR="002D32A1" w:rsidRPr="00E01239">
        <w:rPr>
          <w:rFonts w:asciiTheme="minorHAnsi" w:eastAsia="Calibri" w:hAnsiTheme="minorHAnsi" w:cstheme="minorHAnsi"/>
          <w:sz w:val="22"/>
          <w:szCs w:val="22"/>
          <w:lang w:eastAsia="en-US"/>
        </w:rPr>
        <w:t>parmi les treize (13) régions</w:t>
      </w:r>
      <w:r w:rsidR="002D32A1" w:rsidRPr="00E01239">
        <w:rPr>
          <w:rFonts w:asciiTheme="minorHAnsi" w:eastAsia="Calibri" w:hAnsiTheme="minorHAnsi" w:cstheme="minorHAnsi"/>
          <w:sz w:val="22"/>
          <w:szCs w:val="22"/>
          <w:vertAlign w:val="superscript"/>
          <w:lang w:eastAsia="en-US"/>
        </w:rPr>
        <w:footnoteReference w:id="3"/>
      </w:r>
      <w:r w:rsidR="002D32A1" w:rsidRPr="00E01239">
        <w:rPr>
          <w:rFonts w:asciiTheme="minorHAnsi" w:eastAsia="Calibri" w:hAnsiTheme="minorHAnsi" w:cstheme="minorHAnsi"/>
          <w:sz w:val="22"/>
          <w:szCs w:val="22"/>
          <w:vertAlign w:val="superscript"/>
          <w:lang w:eastAsia="en-US"/>
        </w:rPr>
        <w:t xml:space="preserve"> </w:t>
      </w:r>
      <w:r w:rsidR="002D32A1" w:rsidRPr="00E01239">
        <w:rPr>
          <w:rFonts w:asciiTheme="minorHAnsi" w:hAnsiTheme="minorHAnsi" w:cstheme="minorHAnsi"/>
          <w:sz w:val="22"/>
          <w:szCs w:val="22"/>
        </w:rPr>
        <w:t xml:space="preserve">administratives </w:t>
      </w:r>
      <w:r w:rsidR="002D32A1" w:rsidRPr="00E01239">
        <w:rPr>
          <w:rFonts w:asciiTheme="minorHAnsi" w:eastAsia="Calibri" w:hAnsiTheme="minorHAnsi" w:cstheme="minorHAnsi"/>
          <w:sz w:val="22"/>
          <w:szCs w:val="22"/>
          <w:lang w:eastAsia="en-US"/>
        </w:rPr>
        <w:t>d’intervention du projet</w:t>
      </w:r>
      <w:r w:rsidRPr="00E01239">
        <w:rPr>
          <w:rFonts w:asciiTheme="minorHAnsi" w:hAnsiTheme="minorHAnsi" w:cstheme="minorHAnsi"/>
          <w:sz w:val="22"/>
          <w:szCs w:val="22"/>
        </w:rPr>
        <w:t>.</w:t>
      </w:r>
    </w:p>
    <w:p w14:paraId="7B130177" w14:textId="0D22842F" w:rsidR="00CC55B8" w:rsidRPr="00E01239" w:rsidRDefault="00CC55B8" w:rsidP="00027669">
      <w:pPr>
        <w:pStyle w:val="Paragraphedeliste"/>
        <w:numPr>
          <w:ilvl w:val="0"/>
          <w:numId w:val="106"/>
        </w:numPr>
        <w:spacing w:before="120" w:line="280" w:lineRule="exact"/>
        <w:contextualSpacing w:val="0"/>
        <w:jc w:val="both"/>
        <w:rPr>
          <w:rFonts w:asciiTheme="minorHAnsi" w:hAnsiTheme="minorHAnsi" w:cstheme="minorHAnsi"/>
          <w:bCs/>
          <w:sz w:val="22"/>
          <w:szCs w:val="22"/>
        </w:rPr>
      </w:pPr>
      <w:r w:rsidRPr="00E01239">
        <w:rPr>
          <w:rFonts w:asciiTheme="minorHAnsi" w:hAnsiTheme="minorHAnsi" w:cstheme="minorHAnsi"/>
          <w:sz w:val="22"/>
          <w:szCs w:val="22"/>
        </w:rPr>
        <w:t xml:space="preserve">Spécifiquement, </w:t>
      </w:r>
      <w:r w:rsidRPr="00E01239">
        <w:rPr>
          <w:rFonts w:asciiTheme="minorHAnsi" w:hAnsiTheme="minorHAnsi" w:cstheme="minorHAnsi"/>
          <w:b/>
          <w:sz w:val="22"/>
          <w:szCs w:val="22"/>
        </w:rPr>
        <w:t>onze (11) départements</w:t>
      </w:r>
      <w:r w:rsidRPr="00E01239">
        <w:rPr>
          <w:rFonts w:asciiTheme="minorHAnsi" w:hAnsiTheme="minorHAnsi" w:cstheme="minorHAnsi"/>
          <w:sz w:val="22"/>
          <w:szCs w:val="22"/>
        </w:rPr>
        <w:t xml:space="preserve"> au sein de ces huit (08) régions ont </w:t>
      </w:r>
      <w:r w:rsidR="008E4D64" w:rsidRPr="00E01239">
        <w:rPr>
          <w:rFonts w:asciiTheme="minorHAnsi" w:hAnsiTheme="minorHAnsi" w:cstheme="minorHAnsi"/>
          <w:sz w:val="22"/>
          <w:szCs w:val="22"/>
        </w:rPr>
        <w:t>été touchés par</w:t>
      </w:r>
      <w:r w:rsidRPr="00E01239">
        <w:rPr>
          <w:rFonts w:asciiTheme="minorHAnsi" w:hAnsiTheme="minorHAnsi" w:cstheme="minorHAnsi"/>
          <w:sz w:val="22"/>
          <w:szCs w:val="22"/>
        </w:rPr>
        <w:t xml:space="preserve"> les consultations, à savoir, les départements de Koumpentoum (Région de Tambacounda), de </w:t>
      </w:r>
      <w:proofErr w:type="spellStart"/>
      <w:r w:rsidRPr="00E01239">
        <w:rPr>
          <w:rFonts w:asciiTheme="minorHAnsi" w:hAnsiTheme="minorHAnsi" w:cstheme="minorHAnsi"/>
          <w:sz w:val="22"/>
          <w:szCs w:val="22"/>
        </w:rPr>
        <w:t>Koungheul</w:t>
      </w:r>
      <w:proofErr w:type="spellEnd"/>
      <w:r w:rsidRPr="00E01239">
        <w:rPr>
          <w:rFonts w:asciiTheme="minorHAnsi" w:hAnsiTheme="minorHAnsi" w:cstheme="minorHAnsi"/>
          <w:sz w:val="22"/>
          <w:szCs w:val="22"/>
        </w:rPr>
        <w:t xml:space="preserve"> (Région de Kaffrine), de Thiès (Région de Thiès), de Diourbel (Région de Diourbel), de Bignona (Région de Ziguinchor), de Nioro (Région de Kaolack), de Linguère (Région de Louga) et les départements de Dakar, Pikine, Rufisque et Guédiawaye (Région de Dakar). </w:t>
      </w:r>
    </w:p>
    <w:p w14:paraId="2F0A716D" w14:textId="0035A55E" w:rsidR="0005542D" w:rsidRPr="00E01239" w:rsidRDefault="002D32A1" w:rsidP="00202CE9">
      <w:pPr>
        <w:spacing w:before="120" w:line="280" w:lineRule="exact"/>
        <w:ind w:left="708"/>
        <w:jc w:val="both"/>
        <w:rPr>
          <w:rFonts w:asciiTheme="minorHAnsi" w:hAnsiTheme="minorHAnsi" w:cstheme="minorHAnsi"/>
          <w:bCs/>
          <w:sz w:val="22"/>
          <w:szCs w:val="22"/>
        </w:rPr>
      </w:pPr>
      <w:r w:rsidRPr="00E01239">
        <w:rPr>
          <w:rFonts w:asciiTheme="minorHAnsi" w:hAnsiTheme="minorHAnsi" w:cstheme="minorHAnsi"/>
          <w:sz w:val="22"/>
          <w:szCs w:val="22"/>
          <w:u w:val="single"/>
        </w:rPr>
        <w:t>Pour rappel, l</w:t>
      </w:r>
      <w:r w:rsidR="0005542D" w:rsidRPr="00E01239">
        <w:rPr>
          <w:rFonts w:asciiTheme="minorHAnsi" w:hAnsiTheme="minorHAnsi" w:cstheme="minorHAnsi"/>
          <w:sz w:val="22"/>
          <w:szCs w:val="22"/>
        </w:rPr>
        <w:t>e processus de sélection de ces zones d’intervention a r</w:t>
      </w:r>
      <w:r w:rsidR="0005542D" w:rsidRPr="00E01239">
        <w:rPr>
          <w:rFonts w:asciiTheme="minorHAnsi" w:hAnsiTheme="minorHAnsi" w:cstheme="minorHAnsi"/>
          <w:bCs/>
          <w:sz w:val="22"/>
          <w:szCs w:val="22"/>
        </w:rPr>
        <w:t xml:space="preserve">eposé sur </w:t>
      </w:r>
      <w:r w:rsidR="000C38B8" w:rsidRPr="00E01239">
        <w:rPr>
          <w:rFonts w:asciiTheme="minorHAnsi" w:hAnsiTheme="minorHAnsi" w:cstheme="minorHAnsi"/>
          <w:bCs/>
          <w:sz w:val="22"/>
          <w:szCs w:val="22"/>
        </w:rPr>
        <w:t xml:space="preserve">deux principaux </w:t>
      </w:r>
      <w:r w:rsidR="0005542D" w:rsidRPr="00E01239">
        <w:rPr>
          <w:rFonts w:asciiTheme="minorHAnsi" w:hAnsiTheme="minorHAnsi" w:cstheme="minorHAnsi"/>
          <w:bCs/>
          <w:sz w:val="22"/>
          <w:szCs w:val="22"/>
        </w:rPr>
        <w:t xml:space="preserve">critères : </w:t>
      </w:r>
    </w:p>
    <w:p w14:paraId="5BAFADF1" w14:textId="77777777" w:rsidR="000C38B8" w:rsidRPr="00E01239" w:rsidRDefault="000C38B8" w:rsidP="00027669">
      <w:pPr>
        <w:pStyle w:val="Paragraphedeliste"/>
        <w:numPr>
          <w:ilvl w:val="0"/>
          <w:numId w:val="117"/>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Les zones à forte pression sur les ressources naturelles (eau, sol notamment) ; </w:t>
      </w:r>
    </w:p>
    <w:p w14:paraId="7DB0CD50" w14:textId="77777777" w:rsidR="000C38B8" w:rsidRPr="00E01239" w:rsidRDefault="000C38B8" w:rsidP="00027669">
      <w:pPr>
        <w:pStyle w:val="Paragraphedeliste"/>
        <w:numPr>
          <w:ilvl w:val="0"/>
          <w:numId w:val="117"/>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Les zones à fort enjeu agricole et pastoral. </w:t>
      </w:r>
    </w:p>
    <w:p w14:paraId="02C1834E" w14:textId="77777777" w:rsidR="000C38B8" w:rsidRPr="00E01239" w:rsidRDefault="000C38B8" w:rsidP="00263B8A">
      <w:pPr>
        <w:spacing w:before="120" w:line="280" w:lineRule="exact"/>
        <w:ind w:left="708"/>
        <w:jc w:val="both"/>
        <w:rPr>
          <w:rFonts w:asciiTheme="minorHAnsi" w:hAnsiTheme="minorHAnsi" w:cstheme="minorHAnsi"/>
          <w:sz w:val="22"/>
          <w:szCs w:val="22"/>
        </w:rPr>
      </w:pPr>
      <w:r w:rsidRPr="00E01239">
        <w:rPr>
          <w:rFonts w:asciiTheme="minorHAnsi" w:hAnsiTheme="minorHAnsi" w:cstheme="minorHAnsi"/>
          <w:sz w:val="22"/>
          <w:szCs w:val="22"/>
        </w:rPr>
        <w:lastRenderedPageBreak/>
        <w:t>Ces différents domaines éco géographiques ont été divisés en six zones que sont :</w:t>
      </w:r>
    </w:p>
    <w:p w14:paraId="54D709F2" w14:textId="491DB759" w:rsidR="000C38B8" w:rsidRPr="00E01239" w:rsidRDefault="00001E19" w:rsidP="00027669">
      <w:pPr>
        <w:pStyle w:val="Paragraphedeliste"/>
        <w:numPr>
          <w:ilvl w:val="1"/>
          <w:numId w:val="10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La</w:t>
      </w:r>
      <w:r w:rsidR="000C38B8" w:rsidRPr="00E01239">
        <w:rPr>
          <w:rFonts w:asciiTheme="minorHAnsi" w:hAnsiTheme="minorHAnsi" w:cstheme="minorHAnsi"/>
          <w:sz w:val="22"/>
          <w:szCs w:val="22"/>
        </w:rPr>
        <w:t xml:space="preserve"> Vallée du fleuve Sénégal : elle correspond pour l'essentiel aux zones riveraines du fleuve où s'exerce une agriculture irriguée toute l'année suite notamment à la construction des barrages de </w:t>
      </w:r>
      <w:proofErr w:type="spellStart"/>
      <w:r w:rsidR="000C38B8" w:rsidRPr="00E01239">
        <w:rPr>
          <w:rFonts w:asciiTheme="minorHAnsi" w:hAnsiTheme="minorHAnsi" w:cstheme="minorHAnsi"/>
          <w:sz w:val="22"/>
          <w:szCs w:val="22"/>
        </w:rPr>
        <w:t>Diama</w:t>
      </w:r>
      <w:proofErr w:type="spellEnd"/>
      <w:r w:rsidR="000C38B8" w:rsidRPr="00E01239">
        <w:rPr>
          <w:rFonts w:asciiTheme="minorHAnsi" w:hAnsiTheme="minorHAnsi" w:cstheme="minorHAnsi"/>
          <w:sz w:val="22"/>
          <w:szCs w:val="22"/>
        </w:rPr>
        <w:t xml:space="preserve"> et de Manantali ;</w:t>
      </w:r>
    </w:p>
    <w:p w14:paraId="58A5751D" w14:textId="140F9C6A" w:rsidR="000C38B8" w:rsidRPr="00E01239" w:rsidRDefault="00001E19" w:rsidP="00027669">
      <w:pPr>
        <w:pStyle w:val="Paragraphedeliste"/>
        <w:numPr>
          <w:ilvl w:val="1"/>
          <w:numId w:val="10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La</w:t>
      </w:r>
      <w:r w:rsidR="000C38B8" w:rsidRPr="00E01239">
        <w:rPr>
          <w:rFonts w:asciiTheme="minorHAnsi" w:hAnsiTheme="minorHAnsi" w:cstheme="minorHAnsi"/>
          <w:sz w:val="22"/>
          <w:szCs w:val="22"/>
        </w:rPr>
        <w:t xml:space="preserve"> Grande Côte ou les Niayes : Située le long du littoral nord, c’est une zone où se pratiquent d'intenses cultures maraîchères ;</w:t>
      </w:r>
    </w:p>
    <w:p w14:paraId="5E8AAF1A" w14:textId="35F04222" w:rsidR="000C38B8" w:rsidRPr="00E01239" w:rsidRDefault="00001E19" w:rsidP="00027669">
      <w:pPr>
        <w:pStyle w:val="Paragraphedeliste"/>
        <w:numPr>
          <w:ilvl w:val="1"/>
          <w:numId w:val="10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Le</w:t>
      </w:r>
      <w:r w:rsidR="000C38B8" w:rsidRPr="00E01239">
        <w:rPr>
          <w:rFonts w:asciiTheme="minorHAnsi" w:hAnsiTheme="minorHAnsi" w:cstheme="minorHAnsi"/>
          <w:sz w:val="22"/>
          <w:szCs w:val="22"/>
        </w:rPr>
        <w:t xml:space="preserve"> centre Ouest ou Bassin arachidier, elle correspond à l'ancienne région du Sine Saloum (Fatick et Kaolack) avec des extensions dans les régions de Thiès et de Diourbel ; </w:t>
      </w:r>
    </w:p>
    <w:p w14:paraId="096C62EC" w14:textId="5D25F1F5" w:rsidR="000C38B8" w:rsidRPr="00E01239" w:rsidRDefault="00001E19" w:rsidP="00027669">
      <w:pPr>
        <w:pStyle w:val="Paragraphedeliste"/>
        <w:numPr>
          <w:ilvl w:val="1"/>
          <w:numId w:val="10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La</w:t>
      </w:r>
      <w:r w:rsidR="000C38B8" w:rsidRPr="00E01239">
        <w:rPr>
          <w:rFonts w:asciiTheme="minorHAnsi" w:hAnsiTheme="minorHAnsi" w:cstheme="minorHAnsi"/>
          <w:sz w:val="22"/>
          <w:szCs w:val="22"/>
        </w:rPr>
        <w:t xml:space="preserve"> zone forestière du Sud ou région naturelle de la Casamance, avec une forte pluviométrie, les ressources forestières y sont quantitativement et qualitativement les plus riches et constituent les réserves les plus importantes du pays (1 400 000 ha) ;</w:t>
      </w:r>
    </w:p>
    <w:p w14:paraId="1E1BAF7C" w14:textId="13C03B84" w:rsidR="000C38B8" w:rsidRPr="00E01239" w:rsidRDefault="00001E19" w:rsidP="00027669">
      <w:pPr>
        <w:pStyle w:val="Paragraphedeliste"/>
        <w:numPr>
          <w:ilvl w:val="1"/>
          <w:numId w:val="10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La</w:t>
      </w:r>
      <w:r w:rsidR="000C38B8" w:rsidRPr="00E01239">
        <w:rPr>
          <w:rFonts w:asciiTheme="minorHAnsi" w:hAnsiTheme="minorHAnsi" w:cstheme="minorHAnsi"/>
          <w:sz w:val="22"/>
          <w:szCs w:val="22"/>
        </w:rPr>
        <w:t xml:space="preserve"> zone sylvopastorale, communément appelée Ferlo est l'entité éco géographique la plus vaste du Sénégal (29% du territoire National). Avec des températures qui dépassent parfois les 45°C. Il existe dans la zone de vastes réserves sylvopastorales et fauniques ;</w:t>
      </w:r>
    </w:p>
    <w:p w14:paraId="2727E0EB" w14:textId="50B805ED" w:rsidR="000C38B8" w:rsidRPr="00E01239" w:rsidRDefault="00001E19" w:rsidP="00027669">
      <w:pPr>
        <w:pStyle w:val="Paragraphedeliste"/>
        <w:numPr>
          <w:ilvl w:val="1"/>
          <w:numId w:val="106"/>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La</w:t>
      </w:r>
      <w:r w:rsidR="000C38B8" w:rsidRPr="00E01239">
        <w:rPr>
          <w:rFonts w:asciiTheme="minorHAnsi" w:hAnsiTheme="minorHAnsi" w:cstheme="minorHAnsi"/>
          <w:sz w:val="22"/>
          <w:szCs w:val="22"/>
        </w:rPr>
        <w:t xml:space="preserve"> zone du Centre-Est et du Sud-Est, qui correspond à l'ancienne région du Sénégal Oriental et présente une alternance de cuirasses, sols caillouteux et des lithosols, avec des aptitudes agricoles médiocres liées au relief accidenté.</w:t>
      </w:r>
    </w:p>
    <w:p w14:paraId="25283CF1" w14:textId="77777777" w:rsidR="007D56B0" w:rsidRPr="00E01239" w:rsidRDefault="007D56B0" w:rsidP="00027669">
      <w:pPr>
        <w:pStyle w:val="Paragraphedeliste"/>
        <w:numPr>
          <w:ilvl w:val="0"/>
          <w:numId w:val="106"/>
        </w:numPr>
        <w:spacing w:before="120" w:line="280" w:lineRule="exact"/>
        <w:contextualSpacing w:val="0"/>
        <w:jc w:val="both"/>
        <w:rPr>
          <w:rFonts w:asciiTheme="minorHAnsi" w:eastAsia="Calibri" w:hAnsiTheme="minorHAnsi" w:cstheme="minorHAnsi"/>
          <w:sz w:val="22"/>
          <w:szCs w:val="22"/>
        </w:rPr>
      </w:pPr>
      <w:r w:rsidRPr="00E01239">
        <w:rPr>
          <w:rFonts w:asciiTheme="minorHAnsi" w:hAnsiTheme="minorHAnsi" w:cstheme="minorHAnsi"/>
          <w:sz w:val="22"/>
          <w:szCs w:val="22"/>
          <w:u w:val="single"/>
        </w:rPr>
        <w:t xml:space="preserve">Rapportage : </w:t>
      </w:r>
      <w:r w:rsidRPr="00E01239">
        <w:rPr>
          <w:rFonts w:asciiTheme="minorHAnsi" w:eastAsia="Calibri" w:hAnsiTheme="minorHAnsi" w:cstheme="minorHAnsi"/>
          <w:sz w:val="22"/>
          <w:szCs w:val="22"/>
        </w:rPr>
        <w:t>les différentes données collectées ont permis d’élaborer le rapport de CGES ainsi que ses annexes.</w:t>
      </w:r>
    </w:p>
    <w:p w14:paraId="13B6B7DB" w14:textId="77777777" w:rsidR="007D56B0" w:rsidRPr="00E01239" w:rsidRDefault="007D56B0" w:rsidP="00263B8A">
      <w:pPr>
        <w:spacing w:before="120" w:line="280" w:lineRule="exact"/>
        <w:jc w:val="both"/>
        <w:rPr>
          <w:rFonts w:asciiTheme="minorHAnsi" w:eastAsia="Calibri" w:hAnsiTheme="minorHAnsi" w:cstheme="minorHAnsi"/>
          <w:sz w:val="22"/>
          <w:szCs w:val="22"/>
        </w:rPr>
        <w:sectPr w:rsidR="007D56B0" w:rsidRPr="00E01239" w:rsidSect="00202CE9">
          <w:pgSz w:w="11907" w:h="16840" w:code="9"/>
          <w:pgMar w:top="1418" w:right="1418" w:bottom="1418" w:left="1418" w:header="720" w:footer="720" w:gutter="0"/>
          <w:pgNumType w:start="1"/>
          <w:cols w:space="60"/>
          <w:noEndnote/>
        </w:sectPr>
      </w:pPr>
    </w:p>
    <w:p w14:paraId="63B7F8EA" w14:textId="77777777" w:rsidR="00D80D45" w:rsidRPr="00E01239" w:rsidRDefault="00D80D45" w:rsidP="00B97F82">
      <w:pPr>
        <w:pStyle w:val="Titre1"/>
        <w:keepNext w:val="0"/>
        <w:keepLines w:val="0"/>
        <w:numPr>
          <w:ilvl w:val="0"/>
          <w:numId w:val="1"/>
        </w:numPr>
        <w:pBdr>
          <w:top w:val="single" w:sz="12" w:space="1" w:color="auto"/>
          <w:bottom w:val="single" w:sz="12" w:space="1" w:color="auto"/>
        </w:pBdr>
        <w:shd w:val="clear" w:color="auto" w:fill="000000" w:themeFill="text1"/>
        <w:tabs>
          <w:tab w:val="left" w:pos="284"/>
        </w:tabs>
        <w:spacing w:before="0"/>
        <w:ind w:left="-1418" w:right="-1418" w:firstLine="1418"/>
        <w:rPr>
          <w:rFonts w:asciiTheme="minorHAnsi" w:hAnsiTheme="minorHAnsi" w:cstheme="minorHAnsi"/>
          <w:bCs w:val="0"/>
          <w:color w:val="auto"/>
          <w:lang w:eastAsia="x-none"/>
        </w:rPr>
      </w:pPr>
      <w:bookmarkStart w:id="58" w:name="_Toc26504936"/>
      <w:bookmarkStart w:id="59" w:name="_Toc70002894"/>
      <w:bookmarkStart w:id="60" w:name="_Toc130714059"/>
      <w:bookmarkStart w:id="61" w:name="_Toc142377671"/>
      <w:bookmarkStart w:id="62" w:name="_Toc144654055"/>
      <w:r w:rsidRPr="00E01239">
        <w:rPr>
          <w:rFonts w:asciiTheme="minorHAnsi" w:hAnsiTheme="minorHAnsi" w:cstheme="minorHAnsi"/>
          <w:bCs w:val="0"/>
          <w:color w:val="auto"/>
          <w:lang w:eastAsia="x-none"/>
        </w:rPr>
        <w:lastRenderedPageBreak/>
        <w:t xml:space="preserve">DESCRIPTION </w:t>
      </w:r>
      <w:r w:rsidR="006C5B68" w:rsidRPr="00E01239">
        <w:rPr>
          <w:rFonts w:asciiTheme="minorHAnsi" w:hAnsiTheme="minorHAnsi" w:cstheme="minorHAnsi"/>
          <w:bCs w:val="0"/>
          <w:color w:val="auto"/>
          <w:lang w:eastAsia="x-none"/>
        </w:rPr>
        <w:t>ET ETENDUE DU PROJET</w:t>
      </w:r>
      <w:bookmarkEnd w:id="58"/>
      <w:bookmarkEnd w:id="59"/>
      <w:bookmarkEnd w:id="60"/>
      <w:bookmarkEnd w:id="61"/>
      <w:bookmarkEnd w:id="62"/>
    </w:p>
    <w:p w14:paraId="23D5173B" w14:textId="77777777" w:rsidR="005C016B" w:rsidRPr="00E01239" w:rsidRDefault="005C016B" w:rsidP="00FB4BA3">
      <w:pPr>
        <w:pStyle w:val="Lgende"/>
        <w:spacing w:after="120"/>
        <w:rPr>
          <w:rFonts w:asciiTheme="minorHAnsi" w:hAnsiTheme="minorHAnsi" w:cstheme="minorHAnsi"/>
          <w:sz w:val="22"/>
          <w:szCs w:val="22"/>
        </w:rPr>
      </w:pPr>
      <w:bookmarkStart w:id="63" w:name="_Toc57562690"/>
      <w:bookmarkStart w:id="64" w:name="_Toc70003055"/>
    </w:p>
    <w:p w14:paraId="40E8ED54" w14:textId="6737E522" w:rsidR="00FB4BA3" w:rsidRPr="00E01239" w:rsidRDefault="00FB4BA3" w:rsidP="00FB4BA3">
      <w:pPr>
        <w:pStyle w:val="Titre2"/>
        <w:rPr>
          <w:rFonts w:asciiTheme="minorHAnsi" w:hAnsiTheme="minorHAnsi" w:cstheme="minorHAnsi"/>
          <w:color w:val="auto"/>
        </w:rPr>
      </w:pPr>
      <w:bookmarkStart w:id="65" w:name="_Toc129950483"/>
      <w:bookmarkStart w:id="66" w:name="_Toc130714060"/>
      <w:bookmarkStart w:id="67" w:name="_Toc142377672"/>
      <w:bookmarkStart w:id="68" w:name="_Toc144654056"/>
      <w:r w:rsidRPr="00E01239">
        <w:rPr>
          <w:rFonts w:asciiTheme="minorHAnsi" w:hAnsiTheme="minorHAnsi" w:cstheme="minorHAnsi"/>
          <w:color w:val="auto"/>
        </w:rPr>
        <w:t xml:space="preserve">OBJECTIF DE DEVELOPPEMENT DU </w:t>
      </w:r>
      <w:bookmarkEnd w:id="65"/>
      <w:bookmarkEnd w:id="66"/>
      <w:r w:rsidR="0005542D" w:rsidRPr="00E01239">
        <w:rPr>
          <w:rFonts w:asciiTheme="minorHAnsi" w:hAnsiTheme="minorHAnsi" w:cstheme="minorHAnsi"/>
          <w:color w:val="auto"/>
        </w:rPr>
        <w:t>PROGRAMME</w:t>
      </w:r>
      <w:bookmarkEnd w:id="67"/>
      <w:bookmarkEnd w:id="68"/>
      <w:r w:rsidR="0005542D" w:rsidRPr="00E01239">
        <w:rPr>
          <w:rFonts w:asciiTheme="minorHAnsi" w:hAnsiTheme="minorHAnsi" w:cstheme="minorHAnsi"/>
          <w:color w:val="auto"/>
        </w:rPr>
        <w:t xml:space="preserve"> </w:t>
      </w:r>
    </w:p>
    <w:p w14:paraId="1C68384E" w14:textId="2352A11E" w:rsidR="00CE5929" w:rsidRPr="00E01239" w:rsidRDefault="57FD591F" w:rsidP="7CB1727A">
      <w:pPr>
        <w:spacing w:before="120" w:line="280" w:lineRule="exact"/>
        <w:jc w:val="both"/>
        <w:rPr>
          <w:rFonts w:asciiTheme="minorHAnsi" w:hAnsiTheme="minorHAnsi" w:cstheme="minorBidi"/>
          <w:sz w:val="22"/>
          <w:szCs w:val="22"/>
        </w:rPr>
      </w:pPr>
      <w:bookmarkStart w:id="69" w:name="_Hlk130752665"/>
      <w:r w:rsidRPr="00E01239">
        <w:rPr>
          <w:rFonts w:asciiTheme="minorHAnsi" w:hAnsiTheme="minorHAnsi" w:cstheme="minorBidi"/>
          <w:sz w:val="22"/>
          <w:szCs w:val="22"/>
        </w:rPr>
        <w:t xml:space="preserve">L’Objectif de Développement du Programme </w:t>
      </w:r>
      <w:r w:rsidR="07CFFEAA" w:rsidRPr="00E01239">
        <w:rPr>
          <w:rFonts w:asciiTheme="minorHAnsi" w:hAnsiTheme="minorHAnsi" w:cstheme="minorBidi"/>
          <w:sz w:val="22"/>
          <w:szCs w:val="22"/>
        </w:rPr>
        <w:t xml:space="preserve">FSRP (ODP) </w:t>
      </w:r>
      <w:r w:rsidRPr="00E01239">
        <w:rPr>
          <w:rFonts w:asciiTheme="minorHAnsi" w:hAnsiTheme="minorHAnsi" w:cstheme="minorBidi"/>
          <w:sz w:val="22"/>
          <w:szCs w:val="22"/>
        </w:rPr>
        <w:t xml:space="preserve">est </w:t>
      </w:r>
      <w:r w:rsidR="07CFFEAA" w:rsidRPr="00E01239">
        <w:rPr>
          <w:rFonts w:asciiTheme="minorHAnsi" w:hAnsiTheme="minorHAnsi" w:cstheme="minorBidi"/>
          <w:sz w:val="22"/>
          <w:szCs w:val="22"/>
        </w:rPr>
        <w:t xml:space="preserve">d’Accroître la Préparation à l’Insécurité Alimentaire et Améliorer la Résilience des Systèmes Alimentaires dans les Pays Participants. </w:t>
      </w:r>
    </w:p>
    <w:p w14:paraId="5E8785B0" w14:textId="33FBBA2A" w:rsidR="00072495" w:rsidRPr="00E01239" w:rsidRDefault="00CE5929"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Pour le Sénégal, l’Objectif de Développement du Projet FRSP-Sénégal (ODP) est le même et est libellé comme suit : « Accroître la Préparation à l’Insécurité Alimentaire et Améliorer la Résilience des Systèmes Alimentaires au Sénégal ».</w:t>
      </w:r>
      <w:r w:rsidR="00072495" w:rsidRPr="00E01239">
        <w:rPr>
          <w:rFonts w:asciiTheme="minorHAnsi" w:hAnsiTheme="minorHAnsi" w:cstheme="minorHAnsi"/>
          <w:sz w:val="22"/>
          <w:szCs w:val="22"/>
        </w:rPr>
        <w:t xml:space="preserve"> </w:t>
      </w:r>
    </w:p>
    <w:bookmarkEnd w:id="69"/>
    <w:p w14:paraId="798008FD" w14:textId="77777777" w:rsidR="00FB4BA3" w:rsidRPr="00E01239" w:rsidRDefault="00FB4BA3" w:rsidP="00FB4BA3">
      <w:pPr>
        <w:spacing w:before="120" w:line="360" w:lineRule="exact"/>
        <w:jc w:val="both"/>
        <w:rPr>
          <w:rFonts w:asciiTheme="minorHAnsi" w:hAnsiTheme="minorHAnsi" w:cstheme="minorHAnsi"/>
          <w:sz w:val="22"/>
          <w:szCs w:val="22"/>
        </w:rPr>
      </w:pPr>
    </w:p>
    <w:p w14:paraId="3FE5C53A" w14:textId="467F1DCF" w:rsidR="00FB4BA3" w:rsidRPr="00E01239" w:rsidRDefault="00FB4BA3" w:rsidP="00FB4BA3">
      <w:pPr>
        <w:pStyle w:val="Titre2"/>
        <w:rPr>
          <w:rFonts w:asciiTheme="minorHAnsi" w:hAnsiTheme="minorHAnsi" w:cstheme="minorHAnsi"/>
          <w:color w:val="auto"/>
        </w:rPr>
      </w:pPr>
      <w:bookmarkStart w:id="70" w:name="_Toc129950484"/>
      <w:bookmarkStart w:id="71" w:name="_Toc130714061"/>
      <w:bookmarkStart w:id="72" w:name="_Toc142377673"/>
      <w:bookmarkStart w:id="73" w:name="_Toc144654057"/>
      <w:r w:rsidRPr="00E01239">
        <w:rPr>
          <w:rFonts w:asciiTheme="minorHAnsi" w:hAnsiTheme="minorHAnsi" w:cstheme="minorHAnsi"/>
          <w:color w:val="auto"/>
        </w:rPr>
        <w:t xml:space="preserve">ZONES D’INTERVENTION DU </w:t>
      </w:r>
      <w:r w:rsidR="0005542D" w:rsidRPr="00E01239">
        <w:rPr>
          <w:rFonts w:asciiTheme="minorHAnsi" w:hAnsiTheme="minorHAnsi" w:cstheme="minorHAnsi"/>
          <w:color w:val="auto"/>
        </w:rPr>
        <w:t>FSRP</w:t>
      </w:r>
      <w:bookmarkEnd w:id="70"/>
      <w:bookmarkEnd w:id="71"/>
      <w:bookmarkEnd w:id="72"/>
      <w:bookmarkEnd w:id="73"/>
    </w:p>
    <w:p w14:paraId="518D02A2" w14:textId="235906E0" w:rsidR="000C38B8" w:rsidRPr="00E01239" w:rsidRDefault="000C38B8" w:rsidP="00263B8A">
      <w:pPr>
        <w:spacing w:before="120" w:line="280" w:lineRule="exact"/>
        <w:jc w:val="both"/>
        <w:rPr>
          <w:rFonts w:asciiTheme="minorHAnsi" w:hAnsiTheme="minorHAnsi" w:cstheme="minorHAnsi"/>
          <w:sz w:val="22"/>
          <w:szCs w:val="22"/>
        </w:rPr>
      </w:pPr>
      <w:bookmarkStart w:id="74" w:name="_Hlk130752699"/>
      <w:r w:rsidRPr="00E01239">
        <w:rPr>
          <w:rFonts w:asciiTheme="minorHAnsi" w:hAnsiTheme="minorHAnsi" w:cstheme="minorHAnsi"/>
          <w:sz w:val="22"/>
          <w:szCs w:val="22"/>
        </w:rPr>
        <w:t xml:space="preserve">Le FRSP-SN couvre treize (13) régions du pays sur les quatorze (14) que sont : </w:t>
      </w:r>
      <w:r w:rsidR="00CE5929" w:rsidRPr="00E01239">
        <w:rPr>
          <w:rFonts w:asciiTheme="minorHAnsi" w:hAnsiTheme="minorHAnsi" w:cstheme="minorHAnsi"/>
          <w:sz w:val="22"/>
          <w:szCs w:val="22"/>
        </w:rPr>
        <w:t>Dakar, Thiès, Louga, Saint Louis, Matam, Diourbel, Fatick, Kaolack, Kaffrine, Tambacounda, Ziguinchor, Sédhiou et Kolda</w:t>
      </w:r>
      <w:r w:rsidRPr="00E01239">
        <w:rPr>
          <w:rFonts w:asciiTheme="minorHAnsi" w:hAnsiTheme="minorHAnsi" w:cstheme="minorHAnsi"/>
          <w:sz w:val="22"/>
          <w:szCs w:val="22"/>
        </w:rPr>
        <w:t>.</w:t>
      </w:r>
    </w:p>
    <w:bookmarkEnd w:id="74"/>
    <w:p w14:paraId="62B88554" w14:textId="6F565FCF" w:rsidR="00FB4BA3" w:rsidRPr="00E01239" w:rsidRDefault="00FB4BA3"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figure </w:t>
      </w:r>
      <w:r w:rsidR="000D6259" w:rsidRPr="00E01239">
        <w:rPr>
          <w:rFonts w:asciiTheme="minorHAnsi" w:hAnsiTheme="minorHAnsi" w:cstheme="minorHAnsi"/>
          <w:sz w:val="22"/>
          <w:szCs w:val="22"/>
        </w:rPr>
        <w:t xml:space="preserve">n°1 </w:t>
      </w:r>
      <w:r w:rsidRPr="00E01239">
        <w:rPr>
          <w:rFonts w:asciiTheme="minorHAnsi" w:hAnsiTheme="minorHAnsi" w:cstheme="minorHAnsi"/>
          <w:sz w:val="22"/>
          <w:szCs w:val="22"/>
        </w:rPr>
        <w:t xml:space="preserve">suivante présente </w:t>
      </w:r>
      <w:r w:rsidR="000D6259" w:rsidRPr="00E01239">
        <w:rPr>
          <w:rFonts w:asciiTheme="minorHAnsi" w:hAnsiTheme="minorHAnsi" w:cstheme="minorHAnsi"/>
          <w:sz w:val="22"/>
          <w:szCs w:val="22"/>
        </w:rPr>
        <w:t xml:space="preserve">les </w:t>
      </w:r>
      <w:r w:rsidRPr="00E01239">
        <w:rPr>
          <w:rFonts w:asciiTheme="minorHAnsi" w:hAnsiTheme="minorHAnsi" w:cstheme="minorHAnsi"/>
          <w:sz w:val="22"/>
          <w:szCs w:val="22"/>
        </w:rPr>
        <w:t>régions administratives</w:t>
      </w:r>
      <w:r w:rsidR="000D6259" w:rsidRPr="00E01239">
        <w:rPr>
          <w:rFonts w:asciiTheme="minorHAnsi" w:hAnsiTheme="minorHAnsi" w:cstheme="minorHAnsi"/>
          <w:sz w:val="22"/>
          <w:szCs w:val="22"/>
        </w:rPr>
        <w:t xml:space="preserve"> bénéficiaires du FSRP-SN.</w:t>
      </w:r>
    </w:p>
    <w:p w14:paraId="5BDFDFD9" w14:textId="77777777" w:rsidR="00FB4BA3" w:rsidRPr="00E01239" w:rsidRDefault="00FB4BA3" w:rsidP="00FB4BA3">
      <w:pPr>
        <w:spacing w:before="120" w:line="360" w:lineRule="exact"/>
        <w:jc w:val="both"/>
        <w:rPr>
          <w:rFonts w:asciiTheme="minorHAnsi" w:hAnsiTheme="minorHAnsi" w:cstheme="minorHAnsi"/>
          <w:sz w:val="22"/>
          <w:szCs w:val="22"/>
        </w:rPr>
      </w:pPr>
    </w:p>
    <w:p w14:paraId="369B7D19" w14:textId="77777777" w:rsidR="00FB4BA3" w:rsidRPr="00E01239" w:rsidRDefault="00FB4BA3" w:rsidP="00FB4BA3">
      <w:pPr>
        <w:pStyle w:val="Lgende"/>
        <w:spacing w:after="120"/>
        <w:rPr>
          <w:rFonts w:asciiTheme="minorHAnsi" w:hAnsiTheme="minorHAnsi" w:cstheme="minorHAnsi"/>
          <w:bCs w:val="0"/>
          <w:sz w:val="22"/>
          <w:szCs w:val="22"/>
        </w:rPr>
        <w:sectPr w:rsidR="00FB4BA3" w:rsidRPr="00E01239" w:rsidSect="00C74DE6">
          <w:pgSz w:w="11906" w:h="16838"/>
          <w:pgMar w:top="993" w:right="1274" w:bottom="1417" w:left="1417" w:header="708" w:footer="708" w:gutter="0"/>
          <w:cols w:space="708"/>
          <w:docGrid w:linePitch="360"/>
        </w:sectPr>
      </w:pPr>
    </w:p>
    <w:p w14:paraId="061AE5D4" w14:textId="10D740E3" w:rsidR="00FB4BA3" w:rsidRPr="00E01239" w:rsidRDefault="00FB4BA3" w:rsidP="00072198">
      <w:pPr>
        <w:pStyle w:val="Lgende"/>
        <w:jc w:val="center"/>
        <w:rPr>
          <w:rFonts w:asciiTheme="minorHAnsi" w:hAnsiTheme="minorHAnsi" w:cstheme="minorHAnsi"/>
          <w:b w:val="0"/>
          <w:sz w:val="22"/>
          <w:szCs w:val="22"/>
        </w:rPr>
      </w:pPr>
      <w:bookmarkStart w:id="75" w:name="_Toc129559250"/>
      <w:bookmarkStart w:id="76" w:name="_Toc130714118"/>
      <w:bookmarkStart w:id="77" w:name="_Toc130755335"/>
      <w:bookmarkStart w:id="78" w:name="_Toc142854041"/>
      <w:r w:rsidRPr="00E01239">
        <w:rPr>
          <w:rFonts w:asciiTheme="minorHAnsi" w:hAnsiTheme="minorHAnsi" w:cstheme="minorHAnsi"/>
          <w:sz w:val="22"/>
          <w:szCs w:val="22"/>
        </w:rPr>
        <w:lastRenderedPageBreak/>
        <w:t xml:space="preserve">Figure </w:t>
      </w:r>
      <w:r w:rsidRPr="00E01239">
        <w:rPr>
          <w:rFonts w:asciiTheme="minorHAnsi" w:hAnsiTheme="minorHAnsi" w:cstheme="minorHAnsi"/>
          <w:bCs w:val="0"/>
          <w:sz w:val="22"/>
          <w:szCs w:val="22"/>
        </w:rPr>
        <w:fldChar w:fldCharType="begin"/>
      </w:r>
      <w:r w:rsidRPr="00E01239">
        <w:rPr>
          <w:rFonts w:asciiTheme="minorHAnsi" w:hAnsiTheme="minorHAnsi" w:cstheme="minorHAnsi"/>
          <w:sz w:val="22"/>
          <w:szCs w:val="22"/>
        </w:rPr>
        <w:instrText xml:space="preserve"> SEQ Figure \* ARABIC </w:instrText>
      </w:r>
      <w:r w:rsidRPr="00E01239">
        <w:rPr>
          <w:rFonts w:asciiTheme="minorHAnsi" w:hAnsiTheme="minorHAnsi" w:cstheme="minorHAnsi"/>
          <w:bCs w:val="0"/>
          <w:sz w:val="22"/>
          <w:szCs w:val="22"/>
        </w:rPr>
        <w:fldChar w:fldCharType="separate"/>
      </w:r>
      <w:r w:rsidR="00202CE9" w:rsidRPr="00E01239">
        <w:rPr>
          <w:rFonts w:asciiTheme="minorHAnsi" w:hAnsiTheme="minorHAnsi" w:cstheme="minorHAnsi"/>
          <w:noProof/>
          <w:sz w:val="22"/>
          <w:szCs w:val="22"/>
        </w:rPr>
        <w:t>1</w:t>
      </w:r>
      <w:r w:rsidRPr="00E01239">
        <w:rPr>
          <w:rFonts w:asciiTheme="minorHAnsi" w:hAnsiTheme="minorHAnsi" w:cstheme="minorHAnsi"/>
          <w:bCs w:val="0"/>
          <w:sz w:val="22"/>
          <w:szCs w:val="22"/>
        </w:rPr>
        <w:fldChar w:fldCharType="end"/>
      </w:r>
      <w:r w:rsidRPr="00E01239">
        <w:rPr>
          <w:rFonts w:asciiTheme="minorHAnsi" w:hAnsiTheme="minorHAnsi" w:cstheme="minorHAnsi"/>
          <w:sz w:val="22"/>
          <w:szCs w:val="22"/>
        </w:rPr>
        <w:t xml:space="preserve"> : </w:t>
      </w:r>
      <w:r w:rsidRPr="00E01239">
        <w:rPr>
          <w:rFonts w:asciiTheme="minorHAnsi" w:hAnsiTheme="minorHAnsi" w:cstheme="minorHAnsi"/>
          <w:b w:val="0"/>
          <w:sz w:val="22"/>
          <w:szCs w:val="22"/>
        </w:rPr>
        <w:t xml:space="preserve">Situation des zones d’intervention du </w:t>
      </w:r>
      <w:bookmarkEnd w:id="75"/>
      <w:bookmarkEnd w:id="76"/>
      <w:bookmarkEnd w:id="77"/>
      <w:r w:rsidR="000C38B8" w:rsidRPr="00E01239">
        <w:rPr>
          <w:rFonts w:asciiTheme="minorHAnsi" w:hAnsiTheme="minorHAnsi" w:cstheme="minorHAnsi"/>
          <w:b w:val="0"/>
          <w:sz w:val="22"/>
          <w:szCs w:val="22"/>
        </w:rPr>
        <w:t>FSRP-SN</w:t>
      </w:r>
      <w:bookmarkEnd w:id="78"/>
    </w:p>
    <w:p w14:paraId="05DA3CE8" w14:textId="752D10AA" w:rsidR="00FB4BA3" w:rsidRPr="00E01239" w:rsidRDefault="008E4D64" w:rsidP="00D407E3">
      <w:pPr>
        <w:jc w:val="center"/>
        <w:rPr>
          <w:rFonts w:asciiTheme="minorHAnsi" w:hAnsiTheme="minorHAnsi" w:cstheme="minorHAnsi"/>
          <w:sz w:val="22"/>
          <w:szCs w:val="22"/>
        </w:rPr>
      </w:pPr>
      <w:r w:rsidRPr="00E01239">
        <w:rPr>
          <w:rFonts w:asciiTheme="minorHAnsi" w:hAnsiTheme="minorHAnsi" w:cstheme="minorHAnsi"/>
          <w:noProof/>
        </w:rPr>
        <w:drawing>
          <wp:inline distT="0" distB="0" distL="0" distR="0" wp14:anchorId="5CE54191" wp14:editId="63FD9746">
            <wp:extent cx="7435806" cy="5257800"/>
            <wp:effectExtent l="0" t="0" r="0" b="0"/>
            <wp:docPr id="12042777" name="Picture 12042777"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777" name="Image 2" descr="Une image contenant carte, texte, atlas, diagramm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39507" cy="5260417"/>
                    </a:xfrm>
                    <a:prstGeom prst="rect">
                      <a:avLst/>
                    </a:prstGeom>
                  </pic:spPr>
                </pic:pic>
              </a:graphicData>
            </a:graphic>
          </wp:inline>
        </w:drawing>
      </w:r>
    </w:p>
    <w:p w14:paraId="3F47D9F3" w14:textId="77777777" w:rsidR="008E4D64" w:rsidRPr="00E01239" w:rsidRDefault="008E4D64" w:rsidP="00D407E3">
      <w:pPr>
        <w:jc w:val="center"/>
        <w:rPr>
          <w:rFonts w:asciiTheme="minorHAnsi" w:hAnsiTheme="minorHAnsi" w:cstheme="minorHAnsi"/>
          <w:sz w:val="22"/>
          <w:szCs w:val="22"/>
        </w:rPr>
      </w:pPr>
    </w:p>
    <w:p w14:paraId="50EF9CE7" w14:textId="001EF91F" w:rsidR="008E4D64" w:rsidRPr="00E01239" w:rsidRDefault="008E4D64" w:rsidP="00D407E3">
      <w:pPr>
        <w:jc w:val="center"/>
        <w:rPr>
          <w:rFonts w:asciiTheme="minorHAnsi" w:hAnsiTheme="minorHAnsi" w:cstheme="minorHAnsi"/>
          <w:sz w:val="22"/>
          <w:szCs w:val="22"/>
        </w:rPr>
        <w:sectPr w:rsidR="008E4D64" w:rsidRPr="00E01239" w:rsidSect="00C74DE6">
          <w:pgSz w:w="16838" w:h="11906" w:orient="landscape"/>
          <w:pgMar w:top="1418" w:right="992" w:bottom="1276" w:left="1418" w:header="709" w:footer="709" w:gutter="0"/>
          <w:cols w:space="708"/>
          <w:docGrid w:linePitch="360"/>
        </w:sectPr>
      </w:pPr>
    </w:p>
    <w:p w14:paraId="44261658" w14:textId="74DA9C50" w:rsidR="00FB4BA3" w:rsidRPr="00E01239" w:rsidRDefault="00FB4BA3" w:rsidP="00FB4BA3">
      <w:pPr>
        <w:pStyle w:val="Titre2"/>
        <w:rPr>
          <w:rFonts w:asciiTheme="minorHAnsi" w:hAnsiTheme="minorHAnsi" w:cstheme="minorHAnsi"/>
          <w:color w:val="auto"/>
        </w:rPr>
      </w:pPr>
      <w:bookmarkStart w:id="79" w:name="_Toc142377674"/>
      <w:bookmarkStart w:id="80" w:name="_Toc142377675"/>
      <w:bookmarkStart w:id="81" w:name="_Toc142377676"/>
      <w:bookmarkStart w:id="82" w:name="_Toc129950485"/>
      <w:bookmarkStart w:id="83" w:name="_Toc130714062"/>
      <w:bookmarkStart w:id="84" w:name="_Toc142377744"/>
      <w:bookmarkStart w:id="85" w:name="_Toc144654058"/>
      <w:bookmarkEnd w:id="79"/>
      <w:bookmarkEnd w:id="80"/>
      <w:bookmarkEnd w:id="81"/>
      <w:r w:rsidRPr="00E01239">
        <w:rPr>
          <w:rFonts w:asciiTheme="minorHAnsi" w:hAnsiTheme="minorHAnsi" w:cstheme="minorHAnsi"/>
          <w:color w:val="auto"/>
        </w:rPr>
        <w:lastRenderedPageBreak/>
        <w:t xml:space="preserve">COMPOSANTES ET SOUS COMPOSANTES DU </w:t>
      </w:r>
      <w:bookmarkEnd w:id="82"/>
      <w:bookmarkEnd w:id="83"/>
      <w:bookmarkEnd w:id="84"/>
      <w:r w:rsidR="00C55E60" w:rsidRPr="00E01239">
        <w:rPr>
          <w:rFonts w:asciiTheme="minorHAnsi" w:hAnsiTheme="minorHAnsi" w:cstheme="minorHAnsi"/>
          <w:color w:val="auto"/>
        </w:rPr>
        <w:t>PROGRAMME</w:t>
      </w:r>
      <w:bookmarkEnd w:id="85"/>
    </w:p>
    <w:p w14:paraId="00E116E8" w14:textId="3726AF81" w:rsidR="00072495" w:rsidRPr="00E01239" w:rsidRDefault="00072495" w:rsidP="00263B8A">
      <w:pPr>
        <w:spacing w:before="120" w:line="280" w:lineRule="exact"/>
        <w:jc w:val="both"/>
        <w:rPr>
          <w:rFonts w:asciiTheme="minorHAnsi" w:hAnsiTheme="minorHAnsi" w:cstheme="minorHAnsi"/>
          <w:sz w:val="22"/>
          <w:szCs w:val="22"/>
        </w:rPr>
      </w:pPr>
      <w:bookmarkStart w:id="86" w:name="_Hlk130752711"/>
      <w:r w:rsidRPr="00E01239">
        <w:rPr>
          <w:rFonts w:asciiTheme="minorHAnsi" w:hAnsiTheme="minorHAnsi" w:cstheme="minorHAnsi"/>
          <w:sz w:val="22"/>
          <w:szCs w:val="22"/>
        </w:rPr>
        <w:t>Les activités du FSRP</w:t>
      </w:r>
      <w:r w:rsidR="000C38B8" w:rsidRPr="00E01239">
        <w:rPr>
          <w:rFonts w:asciiTheme="minorHAnsi" w:hAnsiTheme="minorHAnsi" w:cstheme="minorHAnsi"/>
          <w:sz w:val="22"/>
          <w:szCs w:val="22"/>
        </w:rPr>
        <w:t xml:space="preserve">-SN </w:t>
      </w:r>
      <w:r w:rsidRPr="00E01239">
        <w:rPr>
          <w:rFonts w:asciiTheme="minorHAnsi" w:hAnsiTheme="minorHAnsi" w:cstheme="minorHAnsi"/>
          <w:sz w:val="22"/>
          <w:szCs w:val="22"/>
        </w:rPr>
        <w:t xml:space="preserve">sont organisées autour de cinq (05) composantes dont la Composante 4 « Composante de réponse d'urgence contingente (CERC) (0 $US) » pour laquelle aucune activité </w:t>
      </w:r>
      <w:r w:rsidR="00CE5929" w:rsidRPr="00E01239">
        <w:rPr>
          <w:rFonts w:asciiTheme="minorHAnsi" w:hAnsiTheme="minorHAnsi" w:cstheme="minorHAnsi"/>
          <w:sz w:val="22"/>
          <w:szCs w:val="22"/>
        </w:rPr>
        <w:t xml:space="preserve">et aucun budget </w:t>
      </w:r>
      <w:r w:rsidRPr="00E01239">
        <w:rPr>
          <w:rFonts w:asciiTheme="minorHAnsi" w:hAnsiTheme="minorHAnsi" w:cstheme="minorHAnsi"/>
          <w:sz w:val="22"/>
          <w:szCs w:val="22"/>
        </w:rPr>
        <w:t>n</w:t>
      </w:r>
      <w:r w:rsidR="00CE5929" w:rsidRPr="00E01239">
        <w:rPr>
          <w:rFonts w:asciiTheme="minorHAnsi" w:hAnsiTheme="minorHAnsi" w:cstheme="minorHAnsi"/>
          <w:sz w:val="22"/>
          <w:szCs w:val="22"/>
        </w:rPr>
        <w:t>e sont prévus</w:t>
      </w:r>
      <w:r w:rsidRPr="00E01239">
        <w:rPr>
          <w:rFonts w:asciiTheme="minorHAnsi" w:hAnsiTheme="minorHAnsi" w:cstheme="minorHAnsi"/>
          <w:sz w:val="22"/>
          <w:szCs w:val="22"/>
        </w:rPr>
        <w:t xml:space="preserve"> pour le moment.  </w:t>
      </w:r>
    </w:p>
    <w:p w14:paraId="56387502" w14:textId="6AFF9D55" w:rsidR="00072495" w:rsidRPr="00E01239" w:rsidRDefault="00072495"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tableau </w:t>
      </w:r>
      <w:r w:rsidR="00804B61">
        <w:rPr>
          <w:rFonts w:asciiTheme="minorHAnsi" w:hAnsiTheme="minorHAnsi" w:cstheme="minorHAnsi"/>
          <w:sz w:val="22"/>
          <w:szCs w:val="22"/>
        </w:rPr>
        <w:t xml:space="preserve">1 </w:t>
      </w:r>
      <w:r w:rsidRPr="00E01239">
        <w:rPr>
          <w:rFonts w:asciiTheme="minorHAnsi" w:hAnsiTheme="minorHAnsi" w:cstheme="minorHAnsi"/>
          <w:sz w:val="22"/>
          <w:szCs w:val="22"/>
        </w:rPr>
        <w:t xml:space="preserve">ci-dessous présente les composantes, sous composantes et activités potentielles du </w:t>
      </w:r>
      <w:r w:rsidR="000C38B8" w:rsidRPr="00E01239">
        <w:rPr>
          <w:rFonts w:asciiTheme="minorHAnsi" w:hAnsiTheme="minorHAnsi" w:cstheme="minorHAnsi"/>
          <w:sz w:val="22"/>
          <w:szCs w:val="22"/>
        </w:rPr>
        <w:t>programme</w:t>
      </w:r>
      <w:r w:rsidRPr="00E01239">
        <w:rPr>
          <w:rFonts w:asciiTheme="minorHAnsi" w:hAnsiTheme="minorHAnsi" w:cstheme="minorHAnsi"/>
          <w:sz w:val="22"/>
          <w:szCs w:val="22"/>
        </w:rPr>
        <w:t>.</w:t>
      </w:r>
    </w:p>
    <w:p w14:paraId="53BA5179" w14:textId="77777777" w:rsidR="00072495" w:rsidRPr="00E01239" w:rsidRDefault="00072495" w:rsidP="00072495">
      <w:pPr>
        <w:spacing w:before="120" w:line="360" w:lineRule="exact"/>
        <w:rPr>
          <w:rFonts w:asciiTheme="minorHAnsi" w:hAnsiTheme="minorHAnsi" w:cstheme="minorHAnsi"/>
          <w:sz w:val="22"/>
          <w:szCs w:val="22"/>
        </w:rPr>
      </w:pPr>
    </w:p>
    <w:p w14:paraId="4B0EC152" w14:textId="77777777" w:rsidR="00086AD1" w:rsidRPr="00E01239" w:rsidRDefault="00086AD1" w:rsidP="00072495">
      <w:pPr>
        <w:spacing w:before="120" w:line="360" w:lineRule="exact"/>
        <w:rPr>
          <w:rFonts w:asciiTheme="minorHAnsi" w:hAnsiTheme="minorHAnsi" w:cstheme="minorHAnsi"/>
          <w:sz w:val="22"/>
          <w:szCs w:val="22"/>
        </w:rPr>
      </w:pPr>
    </w:p>
    <w:p w14:paraId="4EEDA671" w14:textId="570DE4C8" w:rsidR="00086AD1" w:rsidRPr="00E01239" w:rsidRDefault="00086AD1" w:rsidP="00072495">
      <w:pPr>
        <w:spacing w:before="120" w:line="360" w:lineRule="exact"/>
        <w:rPr>
          <w:rFonts w:asciiTheme="minorHAnsi" w:hAnsiTheme="minorHAnsi" w:cstheme="minorHAnsi"/>
          <w:sz w:val="22"/>
          <w:szCs w:val="22"/>
        </w:rPr>
        <w:sectPr w:rsidR="00086AD1" w:rsidRPr="00E01239" w:rsidSect="000C38B8">
          <w:footerReference w:type="default" r:id="rId21"/>
          <w:pgSz w:w="11906" w:h="16838"/>
          <w:pgMar w:top="993" w:right="1274" w:bottom="1417" w:left="1417" w:header="708" w:footer="708" w:gutter="0"/>
          <w:pgNumType w:start="1"/>
          <w:cols w:space="708"/>
          <w:docGrid w:linePitch="360"/>
        </w:sectPr>
      </w:pPr>
    </w:p>
    <w:p w14:paraId="535621FE" w14:textId="3B9F7EB8" w:rsidR="00FB4BA3" w:rsidRPr="00E01239" w:rsidRDefault="00FB4BA3" w:rsidP="00072198">
      <w:pPr>
        <w:pStyle w:val="Lgende"/>
        <w:jc w:val="center"/>
        <w:rPr>
          <w:rFonts w:asciiTheme="minorHAnsi" w:hAnsiTheme="minorHAnsi" w:cstheme="minorHAnsi"/>
          <w:color w:val="FF0000"/>
          <w:sz w:val="22"/>
          <w:szCs w:val="22"/>
        </w:rPr>
      </w:pPr>
      <w:bookmarkStart w:id="87" w:name="_Toc129950621"/>
      <w:bookmarkStart w:id="88" w:name="_Toc142480962"/>
      <w:bookmarkStart w:id="89" w:name="_Toc144654181"/>
      <w:bookmarkStart w:id="90" w:name="_Hlk88089694"/>
      <w:bookmarkEnd w:id="86"/>
      <w:r w:rsidRPr="00E01239">
        <w:rPr>
          <w:rFonts w:asciiTheme="minorHAnsi" w:hAnsiTheme="minorHAnsi" w:cstheme="minorHAnsi"/>
          <w:sz w:val="22"/>
          <w:szCs w:val="22"/>
        </w:rPr>
        <w:lastRenderedPageBreak/>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1</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w:t>
      </w:r>
      <w:r w:rsidRPr="00E01239">
        <w:rPr>
          <w:rFonts w:asciiTheme="minorHAnsi" w:hAnsiTheme="minorHAnsi" w:cstheme="minorHAnsi"/>
          <w:b w:val="0"/>
          <w:sz w:val="22"/>
          <w:szCs w:val="22"/>
        </w:rPr>
        <w:t xml:space="preserve">: Composantes, Sous-composantes et Activités du </w:t>
      </w:r>
      <w:bookmarkEnd w:id="87"/>
      <w:r w:rsidR="00072495" w:rsidRPr="00E01239">
        <w:rPr>
          <w:rFonts w:asciiTheme="minorHAnsi" w:hAnsiTheme="minorHAnsi" w:cstheme="minorHAnsi"/>
          <w:b w:val="0"/>
          <w:sz w:val="22"/>
          <w:szCs w:val="22"/>
        </w:rPr>
        <w:t>FSRP</w:t>
      </w:r>
      <w:bookmarkEnd w:id="88"/>
      <w:r w:rsidR="007F5D6A" w:rsidRPr="00E01239">
        <w:rPr>
          <w:rFonts w:asciiTheme="minorHAnsi" w:hAnsiTheme="minorHAnsi" w:cstheme="minorHAnsi"/>
          <w:b w:val="0"/>
          <w:sz w:val="22"/>
          <w:szCs w:val="22"/>
        </w:rPr>
        <w:t>-SN</w:t>
      </w:r>
      <w:bookmarkEnd w:id="89"/>
    </w:p>
    <w:tbl>
      <w:tblPr>
        <w:tblStyle w:val="Grilledutableau"/>
        <w:tblW w:w="5266"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7"/>
        <w:gridCol w:w="2962"/>
        <w:gridCol w:w="9359"/>
      </w:tblGrid>
      <w:tr w:rsidR="000D6259" w:rsidRPr="00E01239" w14:paraId="1BA0D2C5" w14:textId="77777777" w:rsidTr="00263B8A">
        <w:trPr>
          <w:trHeight w:val="410"/>
          <w:tblHeader/>
          <w:jc w:val="center"/>
        </w:trPr>
        <w:tc>
          <w:tcPr>
            <w:tcW w:w="820" w:type="pct"/>
            <w:shd w:val="clear" w:color="auto" w:fill="1F3864" w:themeFill="accent5" w:themeFillShade="80"/>
            <w:vAlign w:val="center"/>
          </w:tcPr>
          <w:bookmarkEnd w:id="90"/>
          <w:p w14:paraId="454AFFA7" w14:textId="77777777" w:rsidR="00072495" w:rsidRPr="00E01239" w:rsidRDefault="00072495" w:rsidP="00263B8A">
            <w:pPr>
              <w:jc w:val="center"/>
              <w:rPr>
                <w:rFonts w:asciiTheme="minorHAnsi" w:hAnsiTheme="minorHAnsi" w:cstheme="minorHAnsi"/>
                <w:b/>
                <w:bCs/>
                <w:sz w:val="20"/>
                <w:szCs w:val="20"/>
              </w:rPr>
            </w:pPr>
            <w:r w:rsidRPr="00E01239">
              <w:rPr>
                <w:rFonts w:asciiTheme="minorHAnsi" w:hAnsiTheme="minorHAnsi" w:cstheme="minorHAnsi"/>
                <w:b/>
                <w:bCs/>
                <w:sz w:val="20"/>
                <w:szCs w:val="20"/>
              </w:rPr>
              <w:t>Composantes</w:t>
            </w:r>
          </w:p>
        </w:tc>
        <w:tc>
          <w:tcPr>
            <w:tcW w:w="1005" w:type="pct"/>
            <w:shd w:val="clear" w:color="auto" w:fill="1F3864" w:themeFill="accent5" w:themeFillShade="80"/>
            <w:vAlign w:val="center"/>
          </w:tcPr>
          <w:p w14:paraId="693E850A" w14:textId="77777777" w:rsidR="00072495" w:rsidRPr="00E01239" w:rsidRDefault="00072495" w:rsidP="00263B8A">
            <w:pPr>
              <w:jc w:val="center"/>
              <w:rPr>
                <w:rFonts w:asciiTheme="minorHAnsi" w:hAnsiTheme="minorHAnsi" w:cstheme="minorHAnsi"/>
                <w:b/>
                <w:bCs/>
                <w:sz w:val="20"/>
                <w:szCs w:val="20"/>
              </w:rPr>
            </w:pPr>
            <w:r w:rsidRPr="00E01239">
              <w:rPr>
                <w:rFonts w:asciiTheme="minorHAnsi" w:hAnsiTheme="minorHAnsi" w:cstheme="minorHAnsi"/>
                <w:b/>
                <w:bCs/>
                <w:sz w:val="20"/>
                <w:szCs w:val="20"/>
              </w:rPr>
              <w:t>Sous-Composantes</w:t>
            </w:r>
          </w:p>
        </w:tc>
        <w:tc>
          <w:tcPr>
            <w:tcW w:w="3175" w:type="pct"/>
            <w:shd w:val="clear" w:color="auto" w:fill="1F3864" w:themeFill="accent5" w:themeFillShade="80"/>
            <w:vAlign w:val="center"/>
          </w:tcPr>
          <w:p w14:paraId="1E82D136" w14:textId="228A0832" w:rsidR="00072495" w:rsidRPr="00E01239" w:rsidRDefault="00072495" w:rsidP="00263B8A">
            <w:pPr>
              <w:jc w:val="center"/>
              <w:rPr>
                <w:rFonts w:asciiTheme="minorHAnsi" w:hAnsiTheme="minorHAnsi" w:cstheme="minorHAnsi"/>
                <w:b/>
                <w:bCs/>
                <w:sz w:val="20"/>
                <w:szCs w:val="20"/>
              </w:rPr>
            </w:pPr>
            <w:r w:rsidRPr="00E01239">
              <w:rPr>
                <w:rFonts w:asciiTheme="minorHAnsi" w:hAnsiTheme="minorHAnsi" w:cstheme="minorHAnsi"/>
                <w:b/>
                <w:bCs/>
                <w:sz w:val="20"/>
                <w:szCs w:val="20"/>
              </w:rPr>
              <w:t>Activités</w:t>
            </w:r>
          </w:p>
        </w:tc>
      </w:tr>
      <w:tr w:rsidR="000D6259" w:rsidRPr="00E01239" w14:paraId="32FA5B8C" w14:textId="77777777" w:rsidTr="000C38B8">
        <w:trPr>
          <w:jc w:val="center"/>
        </w:trPr>
        <w:tc>
          <w:tcPr>
            <w:tcW w:w="820" w:type="pct"/>
            <w:vMerge w:val="restart"/>
            <w:vAlign w:val="center"/>
          </w:tcPr>
          <w:p w14:paraId="03C2945B" w14:textId="415A9D5D" w:rsidR="000D6259" w:rsidRPr="00E01239" w:rsidRDefault="000D6259" w:rsidP="000C38B8">
            <w:pPr>
              <w:rPr>
                <w:rFonts w:asciiTheme="minorHAnsi" w:hAnsiTheme="minorHAnsi" w:cstheme="minorHAnsi"/>
                <w:sz w:val="20"/>
                <w:szCs w:val="20"/>
              </w:rPr>
            </w:pPr>
            <w:r w:rsidRPr="00E01239">
              <w:rPr>
                <w:rFonts w:asciiTheme="minorHAnsi" w:hAnsiTheme="minorHAnsi" w:cstheme="minorHAnsi"/>
                <w:sz w:val="20"/>
                <w:szCs w:val="20"/>
              </w:rPr>
              <w:t>Composante 1 : Services de conseil numérique pour la prévention et la gestion des crises agricoles et alimentaires</w:t>
            </w:r>
            <w:r w:rsidR="00CE5929" w:rsidRPr="00E01239">
              <w:rPr>
                <w:rFonts w:asciiTheme="minorHAnsi" w:hAnsiTheme="minorHAnsi" w:cstheme="minorHAnsi"/>
                <w:sz w:val="20"/>
                <w:szCs w:val="20"/>
              </w:rPr>
              <w:t xml:space="preserve"> (11,03 millions USD)</w:t>
            </w:r>
          </w:p>
          <w:p w14:paraId="5AC210CB" w14:textId="77777777" w:rsidR="000D6259" w:rsidRPr="00E01239" w:rsidRDefault="000D6259" w:rsidP="000C38B8">
            <w:pPr>
              <w:rPr>
                <w:rFonts w:asciiTheme="minorHAnsi" w:hAnsiTheme="minorHAnsi" w:cstheme="minorHAnsi"/>
                <w:sz w:val="20"/>
                <w:szCs w:val="20"/>
              </w:rPr>
            </w:pPr>
          </w:p>
        </w:tc>
        <w:tc>
          <w:tcPr>
            <w:tcW w:w="1005" w:type="pct"/>
            <w:vMerge w:val="restart"/>
            <w:vAlign w:val="center"/>
          </w:tcPr>
          <w:p w14:paraId="620B1C41" w14:textId="37C31926" w:rsidR="000D6259" w:rsidRPr="00E01239" w:rsidRDefault="000D6259" w:rsidP="000C38B8">
            <w:pPr>
              <w:rPr>
                <w:rFonts w:asciiTheme="minorHAnsi" w:hAnsiTheme="minorHAnsi" w:cstheme="minorHAnsi"/>
                <w:sz w:val="20"/>
                <w:szCs w:val="20"/>
              </w:rPr>
            </w:pPr>
            <w:r w:rsidRPr="00E01239">
              <w:rPr>
                <w:rFonts w:asciiTheme="minorHAnsi" w:hAnsiTheme="minorHAnsi" w:cstheme="minorHAnsi"/>
                <w:sz w:val="20"/>
                <w:szCs w:val="20"/>
              </w:rPr>
              <w:t>Sous-composante 1.1 :</w:t>
            </w:r>
            <w:r w:rsidRPr="00E01239">
              <w:rPr>
                <w:rFonts w:asciiTheme="minorHAnsi" w:eastAsiaTheme="minorEastAsia" w:hAnsiTheme="minorHAnsi" w:cstheme="minorHAnsi"/>
                <w:kern w:val="24"/>
                <w:sz w:val="20"/>
                <w:szCs w:val="20"/>
              </w:rPr>
              <w:t xml:space="preserve"> </w:t>
            </w:r>
            <w:r w:rsidRPr="00E01239">
              <w:rPr>
                <w:rFonts w:asciiTheme="minorHAnsi" w:hAnsiTheme="minorHAnsi" w:cstheme="minorHAnsi"/>
                <w:sz w:val="20"/>
                <w:szCs w:val="20"/>
              </w:rPr>
              <w:t>Améliorer les systèmes de prévention et de suivi des crises alimentaires</w:t>
            </w:r>
            <w:r w:rsidR="00CE5929" w:rsidRPr="00E01239">
              <w:rPr>
                <w:rFonts w:asciiTheme="minorHAnsi" w:hAnsiTheme="minorHAnsi" w:cstheme="minorHAnsi"/>
                <w:sz w:val="20"/>
                <w:szCs w:val="20"/>
              </w:rPr>
              <w:t xml:space="preserve"> (</w:t>
            </w:r>
            <w:r w:rsidR="00CE5929" w:rsidRPr="00E01239">
              <w:rPr>
                <w:rFonts w:asciiTheme="minorHAnsi" w:hAnsiTheme="minorHAnsi" w:cstheme="minorHAnsi"/>
                <w:color w:val="000000"/>
                <w:sz w:val="20"/>
                <w:szCs w:val="20"/>
              </w:rPr>
              <w:t xml:space="preserve">5,50 </w:t>
            </w:r>
            <w:r w:rsidR="00CE5929" w:rsidRPr="00E01239">
              <w:rPr>
                <w:rFonts w:asciiTheme="minorHAnsi" w:hAnsiTheme="minorHAnsi" w:cstheme="minorHAnsi"/>
                <w:sz w:val="20"/>
                <w:szCs w:val="20"/>
              </w:rPr>
              <w:t>millions USD)</w:t>
            </w:r>
          </w:p>
        </w:tc>
        <w:tc>
          <w:tcPr>
            <w:tcW w:w="3175" w:type="pct"/>
            <w:vAlign w:val="center"/>
          </w:tcPr>
          <w:p w14:paraId="5F47C1A7"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Optimisation du réseau d'observation météorologique (ANACIM)</w:t>
            </w:r>
          </w:p>
          <w:p w14:paraId="5EDD0DEA"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Mise en place de trois stations automatisées</w:t>
            </w:r>
          </w:p>
          <w:p w14:paraId="616BB993"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Numérisation des documents de base </w:t>
            </w:r>
          </w:p>
          <w:p w14:paraId="7CBB27FF"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Développement de bulletins d'information "Baie de stockage"</w:t>
            </w:r>
          </w:p>
        </w:tc>
      </w:tr>
      <w:tr w:rsidR="000D6259" w:rsidRPr="00E01239" w14:paraId="72C15F42" w14:textId="77777777" w:rsidTr="000C38B8">
        <w:trPr>
          <w:trHeight w:val="1323"/>
          <w:jc w:val="center"/>
        </w:trPr>
        <w:tc>
          <w:tcPr>
            <w:tcW w:w="820" w:type="pct"/>
            <w:vMerge/>
            <w:vAlign w:val="center"/>
          </w:tcPr>
          <w:p w14:paraId="4996D1B7"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39F83ABD" w14:textId="77777777" w:rsidR="000D6259" w:rsidRPr="00E01239" w:rsidRDefault="000D6259" w:rsidP="000C38B8">
            <w:pPr>
              <w:rPr>
                <w:rFonts w:asciiTheme="minorHAnsi" w:hAnsiTheme="minorHAnsi" w:cstheme="minorHAnsi"/>
                <w:sz w:val="20"/>
                <w:szCs w:val="20"/>
              </w:rPr>
            </w:pPr>
          </w:p>
        </w:tc>
        <w:tc>
          <w:tcPr>
            <w:tcW w:w="3175" w:type="pct"/>
            <w:vAlign w:val="center"/>
          </w:tcPr>
          <w:p w14:paraId="02F235A9"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Renforcement des prévisions météorologiques</w:t>
            </w:r>
          </w:p>
          <w:p w14:paraId="2101556F" w14:textId="7DD3613B"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Appui à la collecte de donnée</w:t>
            </w:r>
            <w:r w:rsidR="00561057">
              <w:rPr>
                <w:rFonts w:asciiTheme="minorHAnsi" w:hAnsiTheme="minorHAnsi" w:cstheme="minorHAnsi"/>
                <w:iCs/>
                <w:sz w:val="20"/>
                <w:szCs w:val="20"/>
              </w:rPr>
              <w:t>s</w:t>
            </w:r>
            <w:r w:rsidRPr="00E01239">
              <w:rPr>
                <w:rFonts w:asciiTheme="minorHAnsi" w:hAnsiTheme="minorHAnsi" w:cstheme="minorHAnsi"/>
                <w:iCs/>
                <w:sz w:val="20"/>
                <w:szCs w:val="20"/>
              </w:rPr>
              <w:t xml:space="preserve"> de terrain</w:t>
            </w:r>
          </w:p>
          <w:p w14:paraId="4B375047"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Enquêtes de suivi de la sécurité alimentaire (SAP) (</w:t>
            </w:r>
            <w:proofErr w:type="spellStart"/>
            <w:r w:rsidRPr="00E01239">
              <w:rPr>
                <w:rFonts w:asciiTheme="minorHAnsi" w:hAnsiTheme="minorHAnsi" w:cstheme="minorHAnsi"/>
                <w:iCs/>
                <w:sz w:val="20"/>
                <w:szCs w:val="20"/>
              </w:rPr>
              <w:t>oct-fev</w:t>
            </w:r>
            <w:proofErr w:type="spellEnd"/>
            <w:r w:rsidRPr="00E01239">
              <w:rPr>
                <w:rFonts w:asciiTheme="minorHAnsi" w:hAnsiTheme="minorHAnsi" w:cstheme="minorHAnsi"/>
                <w:iCs/>
                <w:sz w:val="20"/>
                <w:szCs w:val="20"/>
              </w:rPr>
              <w:t xml:space="preserve">) pour CH </w:t>
            </w:r>
          </w:p>
          <w:p w14:paraId="240F932E"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Compléter et améliorer les profils des Zones de Moyens d'Existence (études qualitatives)  </w:t>
            </w:r>
          </w:p>
          <w:p w14:paraId="048E07F5"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Réunions d'aide au fonctionnement de la plateforme multi-acteurs multidisciplinaires (cellule nationale d'analyse)  </w:t>
            </w:r>
          </w:p>
          <w:p w14:paraId="57D3F6FA"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Enquêtes/collecte de données sur les paramètres clés (info sur les sources de nourritures et revenus/HEA) </w:t>
            </w:r>
          </w:p>
          <w:p w14:paraId="79B6BEC4"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Renforcement des acteurs membres du CTNSAP (sectoriels, CRSA, CDSA) sur les indicateurs de sécurité alimentaire, la collecte des paramètres  </w:t>
            </w:r>
          </w:p>
        </w:tc>
      </w:tr>
      <w:tr w:rsidR="000D6259" w:rsidRPr="00E01239" w14:paraId="612C5F77" w14:textId="77777777" w:rsidTr="000C38B8">
        <w:trPr>
          <w:trHeight w:val="1323"/>
          <w:jc w:val="center"/>
        </w:trPr>
        <w:tc>
          <w:tcPr>
            <w:tcW w:w="820" w:type="pct"/>
            <w:vMerge/>
            <w:vAlign w:val="center"/>
          </w:tcPr>
          <w:p w14:paraId="7F706321"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1597E872" w14:textId="77777777" w:rsidR="000D6259" w:rsidRPr="00E01239" w:rsidRDefault="000D6259" w:rsidP="000C38B8">
            <w:pPr>
              <w:rPr>
                <w:rFonts w:asciiTheme="minorHAnsi" w:hAnsiTheme="minorHAnsi" w:cstheme="minorHAnsi"/>
                <w:sz w:val="20"/>
                <w:szCs w:val="20"/>
              </w:rPr>
            </w:pPr>
          </w:p>
        </w:tc>
        <w:tc>
          <w:tcPr>
            <w:tcW w:w="3175" w:type="pct"/>
            <w:vAlign w:val="center"/>
          </w:tcPr>
          <w:p w14:paraId="7FBD0FD6"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Appui à l'analyse des données</w:t>
            </w:r>
          </w:p>
          <w:p w14:paraId="13158E50"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Acquisition de logiciels de traitement des données (STATA, SPSS)</w:t>
            </w:r>
          </w:p>
          <w:p w14:paraId="3D01596C"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Renforcement de capacités des membres du comité technique pour les analyses (~15) </w:t>
            </w:r>
          </w:p>
          <w:p w14:paraId="77D04D36" w14:textId="57D83D51"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 Organisation de 2 ateliers par an pour l'analyse des données HEA (</w:t>
            </w:r>
            <w:proofErr w:type="spellStart"/>
            <w:r w:rsidRPr="00E01239">
              <w:rPr>
                <w:rFonts w:asciiTheme="minorHAnsi" w:hAnsiTheme="minorHAnsi" w:cstheme="minorHAnsi"/>
                <w:iCs/>
                <w:sz w:val="20"/>
                <w:szCs w:val="20"/>
              </w:rPr>
              <w:t>Outcome</w:t>
            </w:r>
            <w:proofErr w:type="spellEnd"/>
            <w:r w:rsidRPr="00E01239">
              <w:rPr>
                <w:rFonts w:asciiTheme="minorHAnsi" w:hAnsiTheme="minorHAnsi" w:cstheme="minorHAnsi"/>
                <w:iCs/>
                <w:sz w:val="20"/>
                <w:szCs w:val="20"/>
              </w:rPr>
              <w:t xml:space="preserve"> </w:t>
            </w:r>
            <w:proofErr w:type="spellStart"/>
            <w:r w:rsidRPr="00E01239">
              <w:rPr>
                <w:rFonts w:asciiTheme="minorHAnsi" w:hAnsiTheme="minorHAnsi" w:cstheme="minorHAnsi"/>
                <w:iCs/>
                <w:sz w:val="20"/>
                <w:szCs w:val="20"/>
              </w:rPr>
              <w:t>Analysis</w:t>
            </w:r>
            <w:proofErr w:type="spellEnd"/>
            <w:r w:rsidRPr="00E01239">
              <w:rPr>
                <w:rFonts w:asciiTheme="minorHAnsi" w:hAnsiTheme="minorHAnsi" w:cstheme="minorHAnsi"/>
                <w:iCs/>
                <w:sz w:val="20"/>
                <w:szCs w:val="20"/>
              </w:rPr>
              <w:t xml:space="preserve">)  </w:t>
            </w:r>
          </w:p>
          <w:p w14:paraId="0D2F0DAD"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Organisation des réunions des sessions nationales du CH (1x par an) sur le Cadre Harmonisé Niveau 1 et Niveau 2</w:t>
            </w:r>
          </w:p>
        </w:tc>
      </w:tr>
      <w:tr w:rsidR="000D6259" w:rsidRPr="00E01239" w14:paraId="4D785302" w14:textId="77777777" w:rsidTr="008C0C70">
        <w:trPr>
          <w:trHeight w:val="584"/>
          <w:jc w:val="center"/>
        </w:trPr>
        <w:tc>
          <w:tcPr>
            <w:tcW w:w="820" w:type="pct"/>
            <w:vMerge/>
            <w:vAlign w:val="center"/>
          </w:tcPr>
          <w:p w14:paraId="7E574C37"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7613E113" w14:textId="77777777" w:rsidR="000D6259" w:rsidRPr="00E01239" w:rsidRDefault="000D6259" w:rsidP="000C38B8">
            <w:pPr>
              <w:rPr>
                <w:rFonts w:asciiTheme="minorHAnsi" w:hAnsiTheme="minorHAnsi" w:cstheme="minorHAnsi"/>
                <w:sz w:val="20"/>
                <w:szCs w:val="20"/>
              </w:rPr>
            </w:pPr>
          </w:p>
        </w:tc>
        <w:tc>
          <w:tcPr>
            <w:tcW w:w="3175" w:type="pct"/>
            <w:vAlign w:val="center"/>
          </w:tcPr>
          <w:p w14:paraId="73AE82EC"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Amélioration de la gouvernance des dispositifs relatifs au suivi de la sécurité alimentaire</w:t>
            </w:r>
          </w:p>
          <w:p w14:paraId="08E17CAB"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Facilitation des rencontres statutaires, des comités techniques, des groupes de travail</w:t>
            </w:r>
          </w:p>
        </w:tc>
      </w:tr>
      <w:tr w:rsidR="000D6259" w:rsidRPr="00E01239" w14:paraId="5B1F943D" w14:textId="77777777" w:rsidTr="008C0C70">
        <w:trPr>
          <w:trHeight w:val="288"/>
          <w:jc w:val="center"/>
        </w:trPr>
        <w:tc>
          <w:tcPr>
            <w:tcW w:w="820" w:type="pct"/>
            <w:vMerge/>
            <w:vAlign w:val="center"/>
          </w:tcPr>
          <w:p w14:paraId="1C1557FC"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79DD135E" w14:textId="77777777" w:rsidR="000D6259" w:rsidRPr="00E01239" w:rsidRDefault="000D6259" w:rsidP="000C38B8">
            <w:pPr>
              <w:rPr>
                <w:rFonts w:asciiTheme="minorHAnsi" w:hAnsiTheme="minorHAnsi" w:cstheme="minorHAnsi"/>
                <w:sz w:val="20"/>
                <w:szCs w:val="20"/>
              </w:rPr>
            </w:pPr>
          </w:p>
        </w:tc>
        <w:tc>
          <w:tcPr>
            <w:tcW w:w="3175" w:type="pct"/>
            <w:vAlign w:val="center"/>
          </w:tcPr>
          <w:p w14:paraId="313CFF86"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Appui à la diffusion des informations</w:t>
            </w:r>
          </w:p>
          <w:p w14:paraId="0C23939F"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Impressions bulletins SAP (pour décideurs)</w:t>
            </w:r>
          </w:p>
          <w:p w14:paraId="4BE2E95E"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Communications sur le CH</w:t>
            </w:r>
          </w:p>
        </w:tc>
      </w:tr>
      <w:tr w:rsidR="000D6259" w:rsidRPr="00E01239" w14:paraId="6531BF54" w14:textId="77777777" w:rsidTr="00202CE9">
        <w:trPr>
          <w:trHeight w:val="699"/>
          <w:jc w:val="center"/>
        </w:trPr>
        <w:tc>
          <w:tcPr>
            <w:tcW w:w="820" w:type="pct"/>
            <w:vMerge/>
            <w:vAlign w:val="center"/>
          </w:tcPr>
          <w:p w14:paraId="6586C0E0"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7DA22D9C" w14:textId="77777777" w:rsidR="000D6259" w:rsidRPr="00E01239" w:rsidRDefault="000D6259" w:rsidP="000C38B8">
            <w:pPr>
              <w:rPr>
                <w:rFonts w:asciiTheme="minorHAnsi" w:hAnsiTheme="minorHAnsi" w:cstheme="minorHAnsi"/>
                <w:sz w:val="20"/>
                <w:szCs w:val="20"/>
              </w:rPr>
            </w:pPr>
          </w:p>
        </w:tc>
        <w:tc>
          <w:tcPr>
            <w:tcW w:w="3175" w:type="pct"/>
            <w:vAlign w:val="center"/>
          </w:tcPr>
          <w:p w14:paraId="51BCAA83"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Renforcement des systèmes d’information météorologiques (SIM)</w:t>
            </w:r>
          </w:p>
          <w:p w14:paraId="4DE652B5" w14:textId="49AF45B2"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Appui </w:t>
            </w:r>
            <w:r w:rsidR="003C7D2C" w:rsidRPr="00E01239">
              <w:rPr>
                <w:rFonts w:asciiTheme="minorHAnsi" w:hAnsiTheme="minorHAnsi" w:cstheme="minorHAnsi"/>
                <w:iCs/>
                <w:sz w:val="20"/>
                <w:szCs w:val="20"/>
              </w:rPr>
              <w:t>à</w:t>
            </w:r>
            <w:r w:rsidRPr="00E01239">
              <w:rPr>
                <w:rFonts w:asciiTheme="minorHAnsi" w:hAnsiTheme="minorHAnsi" w:cstheme="minorHAnsi"/>
                <w:iCs/>
                <w:sz w:val="20"/>
                <w:szCs w:val="20"/>
              </w:rPr>
              <w:t xml:space="preserve"> la collecte des informations sur les march</w:t>
            </w:r>
            <w:r w:rsidR="003C7D2C">
              <w:rPr>
                <w:rFonts w:asciiTheme="minorHAnsi" w:hAnsiTheme="minorHAnsi" w:cstheme="minorHAnsi"/>
                <w:iCs/>
                <w:sz w:val="20"/>
                <w:szCs w:val="20"/>
              </w:rPr>
              <w:t>é</w:t>
            </w:r>
            <w:r w:rsidRPr="00E01239">
              <w:rPr>
                <w:rFonts w:asciiTheme="minorHAnsi" w:hAnsiTheme="minorHAnsi" w:cstheme="minorHAnsi"/>
                <w:iCs/>
                <w:sz w:val="20"/>
                <w:szCs w:val="20"/>
              </w:rPr>
              <w:t xml:space="preserve">s (agricoles) suivis </w:t>
            </w:r>
          </w:p>
          <w:p w14:paraId="17FFD1E8" w14:textId="6411A523"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Equipements pour amélior</w:t>
            </w:r>
            <w:r w:rsidR="007A019C">
              <w:rPr>
                <w:rFonts w:asciiTheme="minorHAnsi" w:hAnsiTheme="minorHAnsi" w:cstheme="minorHAnsi"/>
                <w:iCs/>
                <w:sz w:val="20"/>
                <w:szCs w:val="20"/>
              </w:rPr>
              <w:t>er</w:t>
            </w:r>
            <w:r w:rsidRPr="00E01239">
              <w:rPr>
                <w:rFonts w:asciiTheme="minorHAnsi" w:hAnsiTheme="minorHAnsi" w:cstheme="minorHAnsi"/>
                <w:iCs/>
                <w:sz w:val="20"/>
                <w:szCs w:val="20"/>
              </w:rPr>
              <w:t xml:space="preserve"> la collecte et le traitement des données (ordinateurs, imprimantes, smartphones) </w:t>
            </w:r>
          </w:p>
          <w:p w14:paraId="4C247730"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Diffusion des informations/données (Bulletins, via radio et télé)  </w:t>
            </w:r>
          </w:p>
          <w:p w14:paraId="2DFD5856"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lastRenderedPageBreak/>
              <w:t xml:space="preserve">Missions de supervision, d'évaluation et de prospection de nouveaux marchés </w:t>
            </w:r>
          </w:p>
          <w:p w14:paraId="6B32A44C"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Renforcement de capacités du dispositif de collecte et de supervision </w:t>
            </w:r>
          </w:p>
          <w:p w14:paraId="10D5D546"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Etude de faisabilité technique pour avoir SIM intégré </w:t>
            </w:r>
          </w:p>
          <w:p w14:paraId="76639400"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Réunions de concertation pour aller vers l'intégration des SIM (agricole, élevage, pèche, produits forestiers non ligneux)</w:t>
            </w:r>
            <w:r w:rsidRPr="00E01239">
              <w:rPr>
                <w:rFonts w:asciiTheme="minorHAnsi" w:hAnsiTheme="minorHAnsi" w:cstheme="minorHAnsi"/>
                <w:sz w:val="20"/>
                <w:szCs w:val="20"/>
              </w:rPr>
              <w:t xml:space="preserve">  </w:t>
            </w:r>
          </w:p>
        </w:tc>
      </w:tr>
      <w:tr w:rsidR="000D6259" w:rsidRPr="00E01239" w14:paraId="7F20E17B" w14:textId="77777777" w:rsidTr="000C38B8">
        <w:trPr>
          <w:trHeight w:val="1323"/>
          <w:jc w:val="center"/>
        </w:trPr>
        <w:tc>
          <w:tcPr>
            <w:tcW w:w="820" w:type="pct"/>
            <w:vMerge/>
            <w:vAlign w:val="center"/>
          </w:tcPr>
          <w:p w14:paraId="4085F91E"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6EB2DA8C" w14:textId="77777777" w:rsidR="000D6259" w:rsidRPr="00E01239" w:rsidRDefault="000D6259" w:rsidP="000C38B8">
            <w:pPr>
              <w:rPr>
                <w:rFonts w:asciiTheme="minorHAnsi" w:hAnsiTheme="minorHAnsi" w:cstheme="minorHAnsi"/>
                <w:sz w:val="20"/>
                <w:szCs w:val="20"/>
              </w:rPr>
            </w:pPr>
          </w:p>
        </w:tc>
        <w:tc>
          <w:tcPr>
            <w:tcW w:w="3175" w:type="pct"/>
            <w:vAlign w:val="center"/>
          </w:tcPr>
          <w:p w14:paraId="5E772737"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Suivi des cultures et des pâturages par imageries satellitaires et drone</w:t>
            </w:r>
          </w:p>
          <w:p w14:paraId="1C285AA6"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Fourniture régulière des indices de végétation (</w:t>
            </w:r>
            <w:proofErr w:type="spellStart"/>
            <w:r w:rsidRPr="00E01239">
              <w:rPr>
                <w:rFonts w:asciiTheme="minorHAnsi" w:hAnsiTheme="minorHAnsi" w:cstheme="minorHAnsi"/>
                <w:iCs/>
                <w:sz w:val="20"/>
                <w:szCs w:val="20"/>
              </w:rPr>
              <w:t>Normalized</w:t>
            </w:r>
            <w:proofErr w:type="spellEnd"/>
            <w:r w:rsidRPr="00E01239">
              <w:rPr>
                <w:rFonts w:asciiTheme="minorHAnsi" w:hAnsiTheme="minorHAnsi" w:cstheme="minorHAnsi"/>
                <w:iCs/>
                <w:sz w:val="20"/>
                <w:szCs w:val="20"/>
              </w:rPr>
              <w:t xml:space="preserve"> Différence </w:t>
            </w:r>
            <w:proofErr w:type="spellStart"/>
            <w:r w:rsidRPr="00E01239">
              <w:rPr>
                <w:rFonts w:asciiTheme="minorHAnsi" w:hAnsiTheme="minorHAnsi" w:cstheme="minorHAnsi"/>
                <w:iCs/>
                <w:sz w:val="20"/>
                <w:szCs w:val="20"/>
              </w:rPr>
              <w:t>Vegetation</w:t>
            </w:r>
            <w:proofErr w:type="spellEnd"/>
            <w:r w:rsidRPr="00E01239">
              <w:rPr>
                <w:rFonts w:asciiTheme="minorHAnsi" w:hAnsiTheme="minorHAnsi" w:cstheme="minorHAnsi"/>
                <w:iCs/>
                <w:sz w:val="20"/>
                <w:szCs w:val="20"/>
              </w:rPr>
              <w:t xml:space="preserve"> Index (NDVI), Végétation Condition Index (VCI), Start of </w:t>
            </w:r>
            <w:proofErr w:type="spellStart"/>
            <w:r w:rsidRPr="00E01239">
              <w:rPr>
                <w:rFonts w:asciiTheme="minorHAnsi" w:hAnsiTheme="minorHAnsi" w:cstheme="minorHAnsi"/>
                <w:iCs/>
                <w:sz w:val="20"/>
                <w:szCs w:val="20"/>
              </w:rPr>
              <w:t>Season</w:t>
            </w:r>
            <w:proofErr w:type="spellEnd"/>
            <w:r w:rsidRPr="00E01239">
              <w:rPr>
                <w:rFonts w:asciiTheme="minorHAnsi" w:hAnsiTheme="minorHAnsi" w:cstheme="minorHAnsi"/>
                <w:iCs/>
                <w:sz w:val="20"/>
                <w:szCs w:val="20"/>
              </w:rPr>
              <w:t xml:space="preserve"> (Sos), profil) (Bulletins) </w:t>
            </w:r>
          </w:p>
          <w:p w14:paraId="532A5AD6"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Suivi des points d'eau (Bulletins) </w:t>
            </w:r>
          </w:p>
          <w:p w14:paraId="1AEB96FD"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Evaluation de la biomasse </w:t>
            </w:r>
          </w:p>
          <w:p w14:paraId="5B0C3A2E"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Suivi des feux de brousse (Bulletins)</w:t>
            </w:r>
          </w:p>
        </w:tc>
      </w:tr>
      <w:tr w:rsidR="000D6259" w:rsidRPr="00E01239" w14:paraId="1D0C98ED" w14:textId="77777777" w:rsidTr="000C38B8">
        <w:trPr>
          <w:trHeight w:val="1323"/>
          <w:jc w:val="center"/>
        </w:trPr>
        <w:tc>
          <w:tcPr>
            <w:tcW w:w="820" w:type="pct"/>
            <w:vMerge/>
            <w:vAlign w:val="center"/>
          </w:tcPr>
          <w:p w14:paraId="2B7725AB"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14ECDFE0" w14:textId="77777777" w:rsidR="000D6259" w:rsidRPr="00E01239" w:rsidRDefault="000D6259" w:rsidP="000C38B8">
            <w:pPr>
              <w:rPr>
                <w:rFonts w:asciiTheme="minorHAnsi" w:hAnsiTheme="minorHAnsi" w:cstheme="minorHAnsi"/>
                <w:sz w:val="20"/>
                <w:szCs w:val="20"/>
              </w:rPr>
            </w:pPr>
          </w:p>
        </w:tc>
        <w:tc>
          <w:tcPr>
            <w:tcW w:w="3175" w:type="pct"/>
            <w:vAlign w:val="center"/>
          </w:tcPr>
          <w:p w14:paraId="5E55442D"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Renforcement de capacités des acteurs en SIG et SGBD </w:t>
            </w:r>
          </w:p>
          <w:p w14:paraId="08256E35"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Formation des acteurs en Système d'Information Géographique (SIG), Système de Gestion d'une Base de Données (SGBD) et Spirits pour le suivi des cultures et des pâturages</w:t>
            </w:r>
          </w:p>
          <w:p w14:paraId="1F01A466"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Mise en place d’une plateforme d’intégration des données de suivi des cultures et des pâturages</w:t>
            </w:r>
            <w:r w:rsidRPr="00E01239">
              <w:rPr>
                <w:rFonts w:asciiTheme="minorHAnsi" w:hAnsiTheme="minorHAnsi" w:cstheme="minorHAnsi"/>
                <w:sz w:val="20"/>
                <w:szCs w:val="20"/>
              </w:rPr>
              <w:t xml:space="preserve">  </w:t>
            </w:r>
          </w:p>
        </w:tc>
      </w:tr>
      <w:tr w:rsidR="000D6259" w:rsidRPr="00E01239" w14:paraId="0737B6D4" w14:textId="77777777" w:rsidTr="008C0C70">
        <w:trPr>
          <w:trHeight w:val="806"/>
          <w:jc w:val="center"/>
        </w:trPr>
        <w:tc>
          <w:tcPr>
            <w:tcW w:w="820" w:type="pct"/>
            <w:vMerge/>
            <w:tcBorders>
              <w:bottom w:val="single" w:sz="4" w:space="0" w:color="808080" w:themeColor="background1" w:themeShade="80"/>
            </w:tcBorders>
            <w:vAlign w:val="center"/>
          </w:tcPr>
          <w:p w14:paraId="07537499" w14:textId="77777777" w:rsidR="000D6259" w:rsidRPr="00E01239" w:rsidRDefault="000D6259" w:rsidP="000C38B8">
            <w:pPr>
              <w:rPr>
                <w:rFonts w:asciiTheme="minorHAnsi" w:hAnsiTheme="minorHAnsi" w:cstheme="minorHAnsi"/>
                <w:sz w:val="20"/>
                <w:szCs w:val="20"/>
              </w:rPr>
            </w:pPr>
          </w:p>
        </w:tc>
        <w:tc>
          <w:tcPr>
            <w:tcW w:w="1005" w:type="pct"/>
            <w:vMerge/>
            <w:tcBorders>
              <w:bottom w:val="single" w:sz="4" w:space="0" w:color="808080" w:themeColor="background1" w:themeShade="80"/>
            </w:tcBorders>
            <w:vAlign w:val="center"/>
          </w:tcPr>
          <w:p w14:paraId="27ACC369" w14:textId="77777777" w:rsidR="000D6259" w:rsidRPr="00E01239" w:rsidRDefault="000D6259" w:rsidP="000C38B8">
            <w:pPr>
              <w:rPr>
                <w:rFonts w:asciiTheme="minorHAnsi" w:hAnsiTheme="minorHAnsi" w:cstheme="minorHAnsi"/>
                <w:sz w:val="20"/>
                <w:szCs w:val="20"/>
              </w:rPr>
            </w:pPr>
          </w:p>
        </w:tc>
        <w:tc>
          <w:tcPr>
            <w:tcW w:w="3175" w:type="pct"/>
            <w:tcBorders>
              <w:bottom w:val="single" w:sz="4" w:space="0" w:color="808080" w:themeColor="background1" w:themeShade="80"/>
            </w:tcBorders>
            <w:vAlign w:val="center"/>
          </w:tcPr>
          <w:p w14:paraId="29D164F8"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Renforcement du système de surveillance et d'alerte précoce des nuisibles des cultures</w:t>
            </w:r>
          </w:p>
          <w:p w14:paraId="611B3F0E"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Réhabilitation de neuf (9) bases de surveillance DPV</w:t>
            </w:r>
          </w:p>
          <w:p w14:paraId="6D4EE86E"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Construction de 02 bases de surveillance DPV</w:t>
            </w:r>
          </w:p>
        </w:tc>
      </w:tr>
      <w:tr w:rsidR="000D6259" w:rsidRPr="00E01239" w14:paraId="682EF9F4" w14:textId="77777777" w:rsidTr="008C0C70">
        <w:trPr>
          <w:trHeight w:val="430"/>
          <w:jc w:val="center"/>
        </w:trPr>
        <w:tc>
          <w:tcPr>
            <w:tcW w:w="820" w:type="pct"/>
            <w:vMerge/>
            <w:vAlign w:val="center"/>
          </w:tcPr>
          <w:p w14:paraId="2E1DB9E9" w14:textId="77777777" w:rsidR="000D6259" w:rsidRPr="00E01239" w:rsidRDefault="000D6259" w:rsidP="000C38B8">
            <w:pPr>
              <w:rPr>
                <w:rFonts w:asciiTheme="minorHAnsi" w:hAnsiTheme="minorHAnsi" w:cstheme="minorHAnsi"/>
                <w:sz w:val="20"/>
                <w:szCs w:val="20"/>
              </w:rPr>
            </w:pPr>
          </w:p>
        </w:tc>
        <w:tc>
          <w:tcPr>
            <w:tcW w:w="1005" w:type="pct"/>
            <w:vMerge w:val="restart"/>
            <w:vAlign w:val="center"/>
          </w:tcPr>
          <w:p w14:paraId="4571F7C3" w14:textId="00B3A69F" w:rsidR="000D6259" w:rsidRPr="00E01239" w:rsidRDefault="000D6259" w:rsidP="000C38B8">
            <w:pPr>
              <w:rPr>
                <w:rFonts w:asciiTheme="minorHAnsi" w:hAnsiTheme="minorHAnsi" w:cstheme="minorHAnsi"/>
                <w:sz w:val="20"/>
                <w:szCs w:val="20"/>
              </w:rPr>
            </w:pPr>
            <w:r w:rsidRPr="00E01239">
              <w:rPr>
                <w:rFonts w:asciiTheme="minorHAnsi" w:hAnsiTheme="minorHAnsi" w:cstheme="minorHAnsi"/>
                <w:sz w:val="20"/>
                <w:szCs w:val="20"/>
              </w:rPr>
              <w:t>Sous-composante 1.2 :</w:t>
            </w:r>
            <w:r w:rsidRPr="00E01239">
              <w:rPr>
                <w:rFonts w:asciiTheme="minorHAnsi" w:eastAsiaTheme="minorEastAsia" w:hAnsiTheme="minorHAnsi" w:cstheme="minorHAnsi"/>
                <w:kern w:val="24"/>
                <w:sz w:val="20"/>
                <w:szCs w:val="20"/>
              </w:rPr>
              <w:t xml:space="preserve"> </w:t>
            </w:r>
            <w:r w:rsidRPr="00E01239">
              <w:rPr>
                <w:rFonts w:asciiTheme="minorHAnsi" w:hAnsiTheme="minorHAnsi" w:cstheme="minorHAnsi"/>
                <w:sz w:val="20"/>
                <w:szCs w:val="20"/>
              </w:rPr>
              <w:t>Renforcer les services numériques d'hydrométrie et le conseil agricole pour les agriculteurs</w:t>
            </w:r>
            <w:r w:rsidR="00CE5929" w:rsidRPr="00E01239">
              <w:rPr>
                <w:rFonts w:asciiTheme="minorHAnsi" w:hAnsiTheme="minorHAnsi" w:cstheme="minorHAnsi"/>
                <w:sz w:val="20"/>
                <w:szCs w:val="20"/>
              </w:rPr>
              <w:t xml:space="preserve"> (</w:t>
            </w:r>
            <w:r w:rsidR="00CE5929" w:rsidRPr="00E01239">
              <w:rPr>
                <w:rFonts w:asciiTheme="minorHAnsi" w:hAnsiTheme="minorHAnsi" w:cstheme="minorHAnsi"/>
                <w:color w:val="000000"/>
                <w:sz w:val="20"/>
                <w:szCs w:val="20"/>
              </w:rPr>
              <w:t xml:space="preserve">5,53 </w:t>
            </w:r>
            <w:r w:rsidR="00CE5929" w:rsidRPr="00E01239">
              <w:rPr>
                <w:rFonts w:asciiTheme="minorHAnsi" w:hAnsiTheme="minorHAnsi" w:cstheme="minorHAnsi"/>
                <w:sz w:val="20"/>
                <w:szCs w:val="20"/>
              </w:rPr>
              <w:t>millions USD)</w:t>
            </w:r>
          </w:p>
        </w:tc>
        <w:tc>
          <w:tcPr>
            <w:tcW w:w="3175" w:type="pct"/>
            <w:vAlign w:val="center"/>
          </w:tcPr>
          <w:p w14:paraId="403ABEB2"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Mise en commun des acteurs</w:t>
            </w:r>
          </w:p>
          <w:p w14:paraId="28B277C0"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Etablissement d'une convention de partenariat ANCAR, ANACIM, CSE, autre... pour permettre l'exploitation des données en informations agro-hydro-météo pour les agriculteurs et éleveurs qui seront diffusées par voie digitale - à traduire en activités</w:t>
            </w:r>
          </w:p>
          <w:p w14:paraId="61A8C65B" w14:textId="13F92A00"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Mise en place d’un cadre harmonisé de l’utilisation des TIC dans l’agriculture (public, </w:t>
            </w:r>
            <w:r w:rsidR="00EA735A" w:rsidRPr="00E01239">
              <w:rPr>
                <w:rFonts w:asciiTheme="minorHAnsi" w:hAnsiTheme="minorHAnsi" w:cstheme="minorHAnsi"/>
                <w:iCs/>
                <w:sz w:val="20"/>
                <w:szCs w:val="20"/>
              </w:rPr>
              <w:t>start</w:t>
            </w:r>
            <w:r w:rsidRPr="00E01239">
              <w:rPr>
                <w:rFonts w:asciiTheme="minorHAnsi" w:hAnsiTheme="minorHAnsi" w:cstheme="minorHAnsi"/>
                <w:iCs/>
                <w:sz w:val="20"/>
                <w:szCs w:val="20"/>
              </w:rPr>
              <w:t xml:space="preserve"> up …) (stratégie de digitalisation, recensement des acteurs, réunion de concertation) </w:t>
            </w:r>
          </w:p>
          <w:p w14:paraId="22CE8773"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Organisation d'un forum des solutions digitales (partage d'expérience, exposition, démonstration…)</w:t>
            </w:r>
          </w:p>
        </w:tc>
      </w:tr>
      <w:tr w:rsidR="000D6259" w:rsidRPr="00E01239" w14:paraId="367CBD72" w14:textId="77777777" w:rsidTr="008C0C70">
        <w:trPr>
          <w:trHeight w:val="721"/>
          <w:jc w:val="center"/>
        </w:trPr>
        <w:tc>
          <w:tcPr>
            <w:tcW w:w="820" w:type="pct"/>
            <w:vMerge/>
            <w:vAlign w:val="center"/>
          </w:tcPr>
          <w:p w14:paraId="6D37E1CD"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13DE5F59" w14:textId="77777777" w:rsidR="000D6259" w:rsidRPr="00E01239" w:rsidRDefault="000D6259" w:rsidP="000C38B8">
            <w:pPr>
              <w:rPr>
                <w:rFonts w:asciiTheme="minorHAnsi" w:hAnsiTheme="minorHAnsi" w:cstheme="minorHAnsi"/>
                <w:sz w:val="20"/>
                <w:szCs w:val="20"/>
              </w:rPr>
            </w:pPr>
          </w:p>
        </w:tc>
        <w:tc>
          <w:tcPr>
            <w:tcW w:w="3175" w:type="pct"/>
            <w:vAlign w:val="center"/>
          </w:tcPr>
          <w:p w14:paraId="54FCA622"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Appui à la consolidation du Data-hub (construisant sur AICCRA)</w:t>
            </w:r>
          </w:p>
          <w:p w14:paraId="7B7E4728"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Mise en place et diffusion d'une plateforme digitale de partage des données issues de la recherche, de l'information climatique pour le conseil agricole et les prises de décisions (éclaircir les mécanismes de gouvernance) et travail de prédiction (avec CRE)</w:t>
            </w:r>
          </w:p>
        </w:tc>
      </w:tr>
      <w:tr w:rsidR="000D6259" w:rsidRPr="00E01239" w14:paraId="3377B6BF" w14:textId="77777777" w:rsidTr="000C38B8">
        <w:trPr>
          <w:trHeight w:val="1328"/>
          <w:jc w:val="center"/>
        </w:trPr>
        <w:tc>
          <w:tcPr>
            <w:tcW w:w="820" w:type="pct"/>
            <w:vMerge/>
            <w:vAlign w:val="center"/>
          </w:tcPr>
          <w:p w14:paraId="6A7C9840"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48E9C749" w14:textId="77777777" w:rsidR="000D6259" w:rsidRPr="00E01239" w:rsidRDefault="000D6259" w:rsidP="000C38B8">
            <w:pPr>
              <w:rPr>
                <w:rFonts w:asciiTheme="minorHAnsi" w:hAnsiTheme="minorHAnsi" w:cstheme="minorHAnsi"/>
                <w:sz w:val="20"/>
                <w:szCs w:val="20"/>
              </w:rPr>
            </w:pPr>
          </w:p>
        </w:tc>
        <w:tc>
          <w:tcPr>
            <w:tcW w:w="3175" w:type="pct"/>
            <w:vAlign w:val="center"/>
          </w:tcPr>
          <w:p w14:paraId="4B8F14E9"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Fourniture (Diffusion) des données agrométéorologiques</w:t>
            </w:r>
          </w:p>
          <w:p w14:paraId="4B21FCDF"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Appui aux services de conseil en ligne par la mise à jour des plateformes existantes </w:t>
            </w:r>
          </w:p>
          <w:p w14:paraId="71EEC2C3"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Développement de nouvelles plateformes (Aar sa Tool, Suivi activités de CAR) </w:t>
            </w:r>
          </w:p>
          <w:p w14:paraId="6FB2A52E"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Extension du pilote digital village initiative et mise en place d'un système d'information sur l'agriculture de précision</w:t>
            </w:r>
          </w:p>
        </w:tc>
      </w:tr>
      <w:tr w:rsidR="000D6259" w:rsidRPr="00E01239" w14:paraId="046637E9" w14:textId="77777777" w:rsidTr="008C0C70">
        <w:trPr>
          <w:trHeight w:val="1611"/>
          <w:jc w:val="center"/>
        </w:trPr>
        <w:tc>
          <w:tcPr>
            <w:tcW w:w="820" w:type="pct"/>
            <w:vMerge/>
            <w:tcBorders>
              <w:bottom w:val="single" w:sz="4" w:space="0" w:color="808080" w:themeColor="background1" w:themeShade="80"/>
            </w:tcBorders>
            <w:vAlign w:val="center"/>
          </w:tcPr>
          <w:p w14:paraId="12AA798F" w14:textId="77777777" w:rsidR="000D6259" w:rsidRPr="00E01239" w:rsidRDefault="000D6259" w:rsidP="000C38B8">
            <w:pPr>
              <w:rPr>
                <w:rFonts w:asciiTheme="minorHAnsi" w:hAnsiTheme="minorHAnsi" w:cstheme="minorHAnsi"/>
                <w:sz w:val="20"/>
                <w:szCs w:val="20"/>
              </w:rPr>
            </w:pPr>
          </w:p>
        </w:tc>
        <w:tc>
          <w:tcPr>
            <w:tcW w:w="1005" w:type="pct"/>
            <w:vMerge/>
            <w:tcBorders>
              <w:bottom w:val="single" w:sz="4" w:space="0" w:color="808080" w:themeColor="background1" w:themeShade="80"/>
            </w:tcBorders>
            <w:vAlign w:val="center"/>
          </w:tcPr>
          <w:p w14:paraId="310610F5" w14:textId="77777777" w:rsidR="000D6259" w:rsidRPr="00E01239" w:rsidRDefault="000D6259" w:rsidP="000C38B8">
            <w:pPr>
              <w:rPr>
                <w:rFonts w:asciiTheme="minorHAnsi" w:hAnsiTheme="minorHAnsi" w:cstheme="minorHAnsi"/>
                <w:sz w:val="20"/>
                <w:szCs w:val="20"/>
              </w:rPr>
            </w:pPr>
          </w:p>
        </w:tc>
        <w:tc>
          <w:tcPr>
            <w:tcW w:w="3175" w:type="pct"/>
            <w:tcBorders>
              <w:bottom w:val="single" w:sz="4" w:space="0" w:color="808080" w:themeColor="background1" w:themeShade="80"/>
            </w:tcBorders>
            <w:vAlign w:val="center"/>
          </w:tcPr>
          <w:p w14:paraId="50C54EB6"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Mise à l'échelle du e-conseil</w:t>
            </w:r>
          </w:p>
          <w:p w14:paraId="3C696F70"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Appui au transfert de la plateforme SAIDA au niveau SN</w:t>
            </w:r>
          </w:p>
          <w:p w14:paraId="33E4F4EE"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 Implémentation de la plateforme SAIDA  </w:t>
            </w:r>
          </w:p>
          <w:p w14:paraId="71950EBF"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 Formations sur l'utilisation des outils digitaux </w:t>
            </w:r>
          </w:p>
          <w:p w14:paraId="7E63AFBE"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Equipement (66 ordinateurs, 200 GPS, 202 tablettes, drones…) </w:t>
            </w:r>
          </w:p>
          <w:p w14:paraId="5159FDB0" w14:textId="77777777" w:rsidR="000D6259" w:rsidRPr="00E01239" w:rsidRDefault="000D6259" w:rsidP="00027669">
            <w:pPr>
              <w:pStyle w:val="Paragraphedeliste"/>
              <w:numPr>
                <w:ilvl w:val="1"/>
                <w:numId w:val="109"/>
              </w:numPr>
              <w:ind w:left="605" w:hanging="142"/>
              <w:rPr>
                <w:rFonts w:asciiTheme="minorHAnsi" w:hAnsiTheme="minorHAnsi" w:cstheme="minorHAnsi"/>
                <w:iCs/>
                <w:sz w:val="20"/>
                <w:szCs w:val="20"/>
              </w:rPr>
            </w:pPr>
            <w:r w:rsidRPr="00E01239">
              <w:rPr>
                <w:rFonts w:asciiTheme="minorHAnsi" w:hAnsiTheme="minorHAnsi" w:cstheme="minorHAnsi"/>
                <w:iCs/>
                <w:sz w:val="20"/>
                <w:szCs w:val="20"/>
              </w:rPr>
              <w:t xml:space="preserve">Voyages d’étude  </w:t>
            </w:r>
          </w:p>
        </w:tc>
      </w:tr>
      <w:tr w:rsidR="000D6259" w:rsidRPr="00E01239" w14:paraId="3F60B4CA" w14:textId="77777777" w:rsidTr="00263B8A">
        <w:trPr>
          <w:trHeight w:val="430"/>
          <w:jc w:val="center"/>
        </w:trPr>
        <w:tc>
          <w:tcPr>
            <w:tcW w:w="820" w:type="pct"/>
            <w:vMerge w:val="restart"/>
            <w:vAlign w:val="center"/>
          </w:tcPr>
          <w:p w14:paraId="5C5C0A50" w14:textId="77777777" w:rsidR="00072495" w:rsidRPr="00E01239" w:rsidRDefault="00072495" w:rsidP="000C38B8">
            <w:pPr>
              <w:rPr>
                <w:rFonts w:asciiTheme="minorHAnsi" w:hAnsiTheme="minorHAnsi" w:cstheme="minorHAnsi"/>
                <w:sz w:val="20"/>
                <w:szCs w:val="20"/>
              </w:rPr>
            </w:pPr>
          </w:p>
          <w:p w14:paraId="52049573" w14:textId="77777777" w:rsidR="00072495" w:rsidRPr="00E01239" w:rsidRDefault="00072495" w:rsidP="000C38B8">
            <w:pPr>
              <w:rPr>
                <w:rFonts w:asciiTheme="minorHAnsi" w:hAnsiTheme="minorHAnsi" w:cstheme="minorHAnsi"/>
                <w:sz w:val="20"/>
                <w:szCs w:val="20"/>
              </w:rPr>
            </w:pPr>
          </w:p>
          <w:p w14:paraId="14E641C9" w14:textId="77777777" w:rsidR="00072495" w:rsidRPr="00E01239" w:rsidRDefault="00072495" w:rsidP="000C38B8">
            <w:pPr>
              <w:rPr>
                <w:rFonts w:asciiTheme="minorHAnsi" w:hAnsiTheme="minorHAnsi" w:cstheme="minorHAnsi"/>
                <w:sz w:val="20"/>
                <w:szCs w:val="20"/>
              </w:rPr>
            </w:pPr>
          </w:p>
          <w:p w14:paraId="607669CD" w14:textId="77777777" w:rsidR="00072495" w:rsidRPr="00E01239" w:rsidRDefault="00072495" w:rsidP="000C38B8">
            <w:pPr>
              <w:rPr>
                <w:rFonts w:asciiTheme="minorHAnsi" w:hAnsiTheme="minorHAnsi" w:cstheme="minorHAnsi"/>
                <w:sz w:val="20"/>
                <w:szCs w:val="20"/>
              </w:rPr>
            </w:pPr>
          </w:p>
          <w:p w14:paraId="39C5B6A3" w14:textId="77777777" w:rsidR="00072495" w:rsidRPr="00E01239" w:rsidRDefault="00072495" w:rsidP="000C38B8">
            <w:pPr>
              <w:rPr>
                <w:rFonts w:asciiTheme="minorHAnsi" w:hAnsiTheme="minorHAnsi" w:cstheme="minorHAnsi"/>
                <w:sz w:val="20"/>
                <w:szCs w:val="20"/>
              </w:rPr>
            </w:pPr>
          </w:p>
          <w:p w14:paraId="70FC6AE5" w14:textId="77777777" w:rsidR="00072495" w:rsidRPr="00E01239" w:rsidRDefault="00072495" w:rsidP="000C38B8">
            <w:pPr>
              <w:rPr>
                <w:rFonts w:asciiTheme="minorHAnsi" w:hAnsiTheme="minorHAnsi" w:cstheme="minorHAnsi"/>
                <w:sz w:val="20"/>
                <w:szCs w:val="20"/>
              </w:rPr>
            </w:pPr>
          </w:p>
          <w:p w14:paraId="1E9DD1AC" w14:textId="0BAA2492" w:rsidR="00072495" w:rsidRPr="00E01239" w:rsidRDefault="00072495" w:rsidP="000C38B8">
            <w:pPr>
              <w:rPr>
                <w:rFonts w:asciiTheme="minorHAnsi" w:hAnsiTheme="minorHAnsi" w:cstheme="minorHAnsi"/>
                <w:sz w:val="20"/>
                <w:szCs w:val="20"/>
              </w:rPr>
            </w:pPr>
            <w:r w:rsidRPr="00E01239">
              <w:rPr>
                <w:rFonts w:asciiTheme="minorHAnsi" w:hAnsiTheme="minorHAnsi" w:cstheme="minorHAnsi"/>
                <w:sz w:val="20"/>
                <w:szCs w:val="20"/>
              </w:rPr>
              <w:t>Composante 2.  Durabilité et capacité d'adaptation de la base productive du système alimentaire</w:t>
            </w:r>
            <w:r w:rsidR="00CE5929" w:rsidRPr="00E01239">
              <w:rPr>
                <w:rFonts w:asciiTheme="minorHAnsi" w:hAnsiTheme="minorHAnsi" w:cstheme="minorHAnsi"/>
                <w:sz w:val="20"/>
                <w:szCs w:val="20"/>
              </w:rPr>
              <w:t xml:space="preserve"> (85,58 millions USD)</w:t>
            </w:r>
          </w:p>
          <w:p w14:paraId="27817E57" w14:textId="77777777" w:rsidR="00072495" w:rsidRPr="00E01239" w:rsidRDefault="00072495" w:rsidP="000C38B8">
            <w:pPr>
              <w:rPr>
                <w:rFonts w:asciiTheme="minorHAnsi" w:hAnsiTheme="minorHAnsi" w:cstheme="minorHAnsi"/>
                <w:sz w:val="20"/>
                <w:szCs w:val="20"/>
              </w:rPr>
            </w:pPr>
          </w:p>
        </w:tc>
        <w:tc>
          <w:tcPr>
            <w:tcW w:w="1005" w:type="pct"/>
            <w:vMerge w:val="restart"/>
            <w:vAlign w:val="center"/>
          </w:tcPr>
          <w:p w14:paraId="2DD894B1" w14:textId="77777777" w:rsidR="00072495" w:rsidRPr="00E01239" w:rsidRDefault="00072495" w:rsidP="000C38B8">
            <w:pPr>
              <w:rPr>
                <w:rFonts w:asciiTheme="minorHAnsi" w:hAnsiTheme="minorHAnsi" w:cstheme="minorHAnsi"/>
                <w:sz w:val="20"/>
                <w:szCs w:val="20"/>
              </w:rPr>
            </w:pPr>
          </w:p>
          <w:p w14:paraId="68CD0FE8" w14:textId="77777777" w:rsidR="00072495" w:rsidRPr="00E01239" w:rsidRDefault="00072495" w:rsidP="000C38B8">
            <w:pPr>
              <w:rPr>
                <w:rFonts w:asciiTheme="minorHAnsi" w:hAnsiTheme="minorHAnsi" w:cstheme="minorHAnsi"/>
                <w:sz w:val="20"/>
                <w:szCs w:val="20"/>
              </w:rPr>
            </w:pPr>
          </w:p>
          <w:p w14:paraId="1DE82DAC" w14:textId="77777777" w:rsidR="00072495" w:rsidRPr="00E01239" w:rsidRDefault="00072495" w:rsidP="000C38B8">
            <w:pPr>
              <w:rPr>
                <w:rFonts w:asciiTheme="minorHAnsi" w:hAnsiTheme="minorHAnsi" w:cstheme="minorHAnsi"/>
                <w:sz w:val="20"/>
                <w:szCs w:val="20"/>
              </w:rPr>
            </w:pPr>
          </w:p>
          <w:p w14:paraId="6F2CD2A8" w14:textId="77777777" w:rsidR="00072495" w:rsidRPr="00E01239" w:rsidRDefault="00072495" w:rsidP="000C38B8">
            <w:pPr>
              <w:rPr>
                <w:rFonts w:asciiTheme="minorHAnsi" w:hAnsiTheme="minorHAnsi" w:cstheme="minorHAnsi"/>
                <w:sz w:val="20"/>
                <w:szCs w:val="20"/>
              </w:rPr>
            </w:pPr>
          </w:p>
          <w:p w14:paraId="259A798F" w14:textId="77777777" w:rsidR="00072495" w:rsidRPr="00E01239" w:rsidRDefault="00072495" w:rsidP="000C38B8">
            <w:pPr>
              <w:rPr>
                <w:rFonts w:asciiTheme="minorHAnsi" w:hAnsiTheme="minorHAnsi" w:cstheme="minorHAnsi"/>
                <w:sz w:val="20"/>
                <w:szCs w:val="20"/>
              </w:rPr>
            </w:pPr>
          </w:p>
          <w:p w14:paraId="3236269C" w14:textId="77777777" w:rsidR="00072495" w:rsidRPr="00E01239" w:rsidRDefault="00072495" w:rsidP="000C38B8">
            <w:pPr>
              <w:rPr>
                <w:rFonts w:asciiTheme="minorHAnsi" w:hAnsiTheme="minorHAnsi" w:cstheme="minorHAnsi"/>
                <w:sz w:val="20"/>
                <w:szCs w:val="20"/>
              </w:rPr>
            </w:pPr>
          </w:p>
          <w:p w14:paraId="62740955" w14:textId="13EBB81B" w:rsidR="00072495" w:rsidRPr="00E01239" w:rsidRDefault="00072495" w:rsidP="000C38B8">
            <w:pPr>
              <w:rPr>
                <w:rFonts w:asciiTheme="minorHAnsi" w:hAnsiTheme="minorHAnsi" w:cstheme="minorHAnsi"/>
                <w:sz w:val="20"/>
                <w:szCs w:val="20"/>
              </w:rPr>
            </w:pPr>
            <w:r w:rsidRPr="00E01239">
              <w:rPr>
                <w:rFonts w:asciiTheme="minorHAnsi" w:hAnsiTheme="minorHAnsi" w:cstheme="minorHAnsi"/>
                <w:sz w:val="20"/>
                <w:szCs w:val="20"/>
              </w:rPr>
              <w:t>Sous-composante 2.1 : Consolider le système régional d'innovation agricole</w:t>
            </w:r>
            <w:r w:rsidR="00CE5929" w:rsidRPr="00E01239">
              <w:rPr>
                <w:rFonts w:asciiTheme="minorHAnsi" w:hAnsiTheme="minorHAnsi" w:cstheme="minorHAnsi"/>
                <w:sz w:val="20"/>
                <w:szCs w:val="20"/>
              </w:rPr>
              <w:t xml:space="preserve"> (54,97 millions USD)</w:t>
            </w:r>
          </w:p>
          <w:p w14:paraId="1896F9D8" w14:textId="77777777" w:rsidR="00072495" w:rsidRPr="00E01239" w:rsidRDefault="00072495" w:rsidP="000C38B8">
            <w:pPr>
              <w:rPr>
                <w:rFonts w:asciiTheme="minorHAnsi" w:hAnsiTheme="minorHAnsi" w:cstheme="minorHAnsi"/>
                <w:sz w:val="20"/>
                <w:szCs w:val="20"/>
              </w:rPr>
            </w:pPr>
          </w:p>
        </w:tc>
        <w:tc>
          <w:tcPr>
            <w:tcW w:w="3175" w:type="pct"/>
            <w:vAlign w:val="center"/>
          </w:tcPr>
          <w:p w14:paraId="72FB7F86"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Appui au Centre régional d'excellence sur les céréales sèches </w:t>
            </w:r>
          </w:p>
          <w:p w14:paraId="35583064"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Réhabilitation des neuf (9) infrastructures  </w:t>
            </w:r>
          </w:p>
          <w:p w14:paraId="134537C9"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Extension des infrastructures (construction et équipement Campus d'Excellence "</w:t>
            </w:r>
            <w:proofErr w:type="spellStart"/>
            <w:r w:rsidRPr="00E01239">
              <w:rPr>
                <w:rFonts w:asciiTheme="minorHAnsi" w:hAnsiTheme="minorHAnsi" w:cstheme="minorHAnsi"/>
                <w:iCs/>
                <w:sz w:val="20"/>
                <w:szCs w:val="20"/>
              </w:rPr>
              <w:t>Mbollo</w:t>
            </w:r>
            <w:proofErr w:type="spellEnd"/>
            <w:r w:rsidRPr="00E01239">
              <w:rPr>
                <w:rFonts w:asciiTheme="minorHAnsi" w:hAnsiTheme="minorHAnsi" w:cstheme="minorHAnsi"/>
                <w:iCs/>
                <w:sz w:val="20"/>
                <w:szCs w:val="20"/>
              </w:rPr>
              <w:t xml:space="preserve">") </w:t>
            </w:r>
          </w:p>
          <w:p w14:paraId="6179CA1F"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Certification ISO, accréditation, démarche qualité (5 labos)</w:t>
            </w:r>
          </w:p>
          <w:p w14:paraId="184BF8A2"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Visites d'échange scientifique dans le cadre des activités du CRE (100) </w:t>
            </w:r>
          </w:p>
          <w:p w14:paraId="358E0B83"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Programmes de formation (200 Ms, 100 PhD)  </w:t>
            </w:r>
          </w:p>
          <w:p w14:paraId="255C5DF5"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Formations modulaires  </w:t>
            </w:r>
          </w:p>
          <w:p w14:paraId="638D50C6"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Recrutement d'experts pour contribuer aux comités d'experts régionaux et secrétariat scientifique &amp; Formalisation du CRE en tant que groupement d'intérêt scientifique (ex. PPZS)  </w:t>
            </w:r>
          </w:p>
        </w:tc>
      </w:tr>
      <w:tr w:rsidR="000D6259" w:rsidRPr="00E01239" w14:paraId="348EBF1A" w14:textId="77777777" w:rsidTr="00263B8A">
        <w:trPr>
          <w:trHeight w:val="288"/>
          <w:jc w:val="center"/>
        </w:trPr>
        <w:tc>
          <w:tcPr>
            <w:tcW w:w="820" w:type="pct"/>
            <w:vMerge/>
            <w:vAlign w:val="center"/>
          </w:tcPr>
          <w:p w14:paraId="7C0482B2"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5416D449" w14:textId="77777777" w:rsidR="00072495" w:rsidRPr="00E01239" w:rsidRDefault="00072495" w:rsidP="000C38B8">
            <w:pPr>
              <w:rPr>
                <w:rFonts w:asciiTheme="minorHAnsi" w:hAnsiTheme="minorHAnsi" w:cstheme="minorHAnsi"/>
                <w:sz w:val="20"/>
                <w:szCs w:val="20"/>
              </w:rPr>
            </w:pPr>
          </w:p>
        </w:tc>
        <w:tc>
          <w:tcPr>
            <w:tcW w:w="3175" w:type="pct"/>
            <w:vAlign w:val="center"/>
          </w:tcPr>
          <w:p w14:paraId="0ADAC479"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Appui au renforcement du Département des Productions animales de l'ENSA </w:t>
            </w:r>
          </w:p>
          <w:p w14:paraId="05B0022B"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Réfection du Centre d’Application des Techniques d’Elevage (CATE) de l’ENSA</w:t>
            </w:r>
          </w:p>
          <w:p w14:paraId="4C4FE58A"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Acquisition d’animaux à haut potentiel génétique (Bovins, Ovins, volailles)</w:t>
            </w:r>
          </w:p>
          <w:p w14:paraId="3025C8A2"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Charges de fonctionnement CRE</w:t>
            </w:r>
          </w:p>
        </w:tc>
      </w:tr>
      <w:tr w:rsidR="000D6259" w:rsidRPr="00E01239" w14:paraId="166C3DA2" w14:textId="77777777" w:rsidTr="000C38B8">
        <w:trPr>
          <w:trHeight w:val="918"/>
          <w:jc w:val="center"/>
        </w:trPr>
        <w:tc>
          <w:tcPr>
            <w:tcW w:w="820" w:type="pct"/>
            <w:vMerge/>
            <w:vAlign w:val="center"/>
          </w:tcPr>
          <w:p w14:paraId="63461086"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11F4DAD8" w14:textId="77777777" w:rsidR="00072495" w:rsidRPr="00E01239" w:rsidRDefault="00072495" w:rsidP="000C38B8">
            <w:pPr>
              <w:rPr>
                <w:rFonts w:asciiTheme="minorHAnsi" w:hAnsiTheme="minorHAnsi" w:cstheme="minorHAnsi"/>
                <w:sz w:val="20"/>
                <w:szCs w:val="20"/>
              </w:rPr>
            </w:pPr>
          </w:p>
        </w:tc>
        <w:tc>
          <w:tcPr>
            <w:tcW w:w="3175" w:type="pct"/>
            <w:vAlign w:val="center"/>
          </w:tcPr>
          <w:p w14:paraId="797C551A"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Appui au renforcement du LNERV</w:t>
            </w:r>
          </w:p>
          <w:p w14:paraId="31D9AEF9"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des infrastructures (animalerie pour contrôle qualité des vaccins)</w:t>
            </w:r>
          </w:p>
          <w:p w14:paraId="071A48EC"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institutionnel (équipements de laboratoire, dotation de motos tricycle et de véhicule utilitaire)</w:t>
            </w:r>
          </w:p>
        </w:tc>
      </w:tr>
      <w:tr w:rsidR="000D6259" w:rsidRPr="00E01239" w14:paraId="528560A1" w14:textId="77777777" w:rsidTr="000C38B8">
        <w:trPr>
          <w:trHeight w:val="430"/>
          <w:jc w:val="center"/>
        </w:trPr>
        <w:tc>
          <w:tcPr>
            <w:tcW w:w="820" w:type="pct"/>
            <w:vMerge/>
            <w:vAlign w:val="center"/>
          </w:tcPr>
          <w:p w14:paraId="518536A8"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7E8EBDD1" w14:textId="77777777" w:rsidR="00072495" w:rsidRPr="00E01239" w:rsidRDefault="00072495" w:rsidP="000C38B8">
            <w:pPr>
              <w:rPr>
                <w:rFonts w:asciiTheme="minorHAnsi" w:hAnsiTheme="minorHAnsi" w:cstheme="minorHAnsi"/>
                <w:sz w:val="20"/>
                <w:szCs w:val="20"/>
              </w:rPr>
            </w:pPr>
          </w:p>
        </w:tc>
        <w:tc>
          <w:tcPr>
            <w:tcW w:w="3175" w:type="pct"/>
            <w:vAlign w:val="center"/>
          </w:tcPr>
          <w:p w14:paraId="4515059E"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Formations certifiantes, PhD et Masters (pour personnel)</w:t>
            </w:r>
          </w:p>
        </w:tc>
      </w:tr>
      <w:tr w:rsidR="000D6259" w:rsidRPr="00E01239" w14:paraId="632717C8" w14:textId="77777777" w:rsidTr="000C38B8">
        <w:trPr>
          <w:trHeight w:val="1072"/>
          <w:jc w:val="center"/>
        </w:trPr>
        <w:tc>
          <w:tcPr>
            <w:tcW w:w="820" w:type="pct"/>
            <w:vMerge/>
            <w:vAlign w:val="center"/>
          </w:tcPr>
          <w:p w14:paraId="61D8DF59"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57FD3186" w14:textId="77777777" w:rsidR="00072495" w:rsidRPr="00E01239" w:rsidRDefault="00072495" w:rsidP="000C38B8">
            <w:pPr>
              <w:rPr>
                <w:rFonts w:asciiTheme="minorHAnsi" w:hAnsiTheme="minorHAnsi" w:cstheme="minorHAnsi"/>
                <w:sz w:val="20"/>
                <w:szCs w:val="20"/>
              </w:rPr>
            </w:pPr>
          </w:p>
        </w:tc>
        <w:tc>
          <w:tcPr>
            <w:tcW w:w="3175" w:type="pct"/>
            <w:vAlign w:val="center"/>
          </w:tcPr>
          <w:p w14:paraId="2761B381"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Appui au renforcement de l'EISMV </w:t>
            </w:r>
          </w:p>
          <w:p w14:paraId="6A301CD3"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Réhabilitation/Construction de locaux (Protéines alternatives, Centre d'Insémination artificielle Ovine de Dakar (CIOAD)</w:t>
            </w:r>
          </w:p>
          <w:p w14:paraId="52CEB6FF"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Equipement (CIAOD, Laboratoire d'analyse des aliments, protéines alternatives, biologie moléculaire ; sélection) </w:t>
            </w:r>
          </w:p>
          <w:p w14:paraId="5F4F4780"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Acquisition et entretien d'animaux reproducteurs (locaux et exotiques) et expérimentaux dans le cadre de l'évaluation de la valeur nutritive des aliments, du CIAOD, et de protéines alternatives) </w:t>
            </w:r>
          </w:p>
          <w:p w14:paraId="7F76E4CB"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Appui institutionnel (véhicule, consommables, communication, personnel) </w:t>
            </w:r>
          </w:p>
          <w:p w14:paraId="0F344426"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Attribution de bourses de Ms et de PhD</w:t>
            </w:r>
          </w:p>
        </w:tc>
      </w:tr>
      <w:tr w:rsidR="000D6259" w:rsidRPr="00E01239" w14:paraId="648ADE35" w14:textId="77777777" w:rsidTr="000C38B8">
        <w:trPr>
          <w:trHeight w:val="1072"/>
          <w:jc w:val="center"/>
        </w:trPr>
        <w:tc>
          <w:tcPr>
            <w:tcW w:w="820" w:type="pct"/>
            <w:vMerge/>
            <w:vAlign w:val="center"/>
          </w:tcPr>
          <w:p w14:paraId="6DC8336A"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34694898" w14:textId="77777777" w:rsidR="00072495" w:rsidRPr="00E01239" w:rsidRDefault="00072495" w:rsidP="000C38B8">
            <w:pPr>
              <w:rPr>
                <w:rFonts w:asciiTheme="minorHAnsi" w:hAnsiTheme="minorHAnsi" w:cstheme="minorHAnsi"/>
                <w:sz w:val="20"/>
                <w:szCs w:val="20"/>
              </w:rPr>
            </w:pPr>
          </w:p>
        </w:tc>
        <w:tc>
          <w:tcPr>
            <w:tcW w:w="3175" w:type="pct"/>
            <w:vAlign w:val="center"/>
          </w:tcPr>
          <w:p w14:paraId="4612B607"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Financement de sous-projets de recherche</w:t>
            </w:r>
          </w:p>
          <w:p w14:paraId="56DDF6F8"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Etude pour faire le point avec les acteurs du SNRASP, du SNCASP et les utilisateurs sur l'existant en termes de technologies et les thématiques innovantes pour alimenter les appels à propositions  </w:t>
            </w:r>
          </w:p>
          <w:p w14:paraId="1C586C6D"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Formation des chercheurs du SNRASP à la rédaction des projets de recherche et la valorisation des résultats de recherche post projets  </w:t>
            </w:r>
          </w:p>
          <w:p w14:paraId="07444D65"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Financement de sous-projets sur une base compétitive de sous-projets de recherche appliquée et recherche développement, dont projets commandités sur les filières Elevage  </w:t>
            </w:r>
          </w:p>
          <w:p w14:paraId="6259CD38"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Financement de sous-projets sur une base compétitive de sous-projets de recherche appliquée et recherche développement, dont projets commandités sur les filières Horticulture </w:t>
            </w:r>
          </w:p>
          <w:p w14:paraId="2A22B9A8"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Financement de sous projets commissionnés avec des volets dédiés au programme de recherche du CRE sur les céréales sèches et cultures associées (amélioration variétale et technologie) </w:t>
            </w:r>
          </w:p>
          <w:p w14:paraId="1139337B"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Appui à la gestion du programme (réunions des comités, suivi-évaluation, frais de fonctionnement, gestion financière, formations, moyens logistiques) </w:t>
            </w:r>
          </w:p>
          <w:p w14:paraId="5A78BA2B"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institutionnel au FNRAA (10%)</w:t>
            </w:r>
          </w:p>
        </w:tc>
      </w:tr>
      <w:tr w:rsidR="000D6259" w:rsidRPr="00E01239" w14:paraId="124C9EF3" w14:textId="77777777" w:rsidTr="000C38B8">
        <w:trPr>
          <w:trHeight w:val="1072"/>
          <w:jc w:val="center"/>
        </w:trPr>
        <w:tc>
          <w:tcPr>
            <w:tcW w:w="820" w:type="pct"/>
            <w:vMerge/>
            <w:vAlign w:val="center"/>
          </w:tcPr>
          <w:p w14:paraId="3E7B883F"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2426AF6E" w14:textId="77777777" w:rsidR="00072495" w:rsidRPr="00E01239" w:rsidRDefault="00072495" w:rsidP="000C38B8">
            <w:pPr>
              <w:rPr>
                <w:rFonts w:asciiTheme="minorHAnsi" w:hAnsiTheme="minorHAnsi" w:cstheme="minorHAnsi"/>
                <w:sz w:val="20"/>
                <w:szCs w:val="20"/>
              </w:rPr>
            </w:pPr>
          </w:p>
        </w:tc>
        <w:tc>
          <w:tcPr>
            <w:tcW w:w="3175" w:type="pct"/>
            <w:vAlign w:val="center"/>
          </w:tcPr>
          <w:p w14:paraId="7B24E0EE"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Financement de la diffusion des innovations et technologies </w:t>
            </w:r>
          </w:p>
          <w:p w14:paraId="50D5FFB9" w14:textId="58CD0642"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Appui </w:t>
            </w:r>
            <w:r w:rsidR="00FE722D" w:rsidRPr="00E01239">
              <w:rPr>
                <w:rFonts w:asciiTheme="minorHAnsi" w:hAnsiTheme="minorHAnsi" w:cstheme="minorHAnsi"/>
                <w:iCs/>
                <w:sz w:val="20"/>
                <w:szCs w:val="20"/>
              </w:rPr>
              <w:t>à</w:t>
            </w:r>
            <w:r w:rsidRPr="00E01239">
              <w:rPr>
                <w:rFonts w:asciiTheme="minorHAnsi" w:hAnsiTheme="minorHAnsi" w:cstheme="minorHAnsi"/>
                <w:iCs/>
                <w:sz w:val="20"/>
                <w:szCs w:val="20"/>
              </w:rPr>
              <w:t xml:space="preserve"> la gestion du programme de financement de diffusion des innovations et technologies (campagne d'information, formation de consortiums à la formulation de sous-projets, réunions du comité de sélection) </w:t>
            </w:r>
          </w:p>
          <w:p w14:paraId="3CC04063"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Financement des sous-projets de transfert régional des technologies commanditées et compétitives </w:t>
            </w:r>
          </w:p>
          <w:p w14:paraId="3672EA2F"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Financement des sous-projets de transfert national de diffusion des technologies (commandités et compétitifs)  </w:t>
            </w:r>
          </w:p>
          <w:p w14:paraId="718EED34"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lastRenderedPageBreak/>
              <w:t xml:space="preserve">Financement de sous-projets de multiplication, production et diffusion de semences végétales (sous-guichet) </w:t>
            </w:r>
          </w:p>
          <w:p w14:paraId="132EE5D2"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Facilitation des échanges et de l’accès aux technologies  </w:t>
            </w:r>
          </w:p>
          <w:p w14:paraId="09335B92"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Appui institutionnel au FNDASP  </w:t>
            </w:r>
          </w:p>
        </w:tc>
      </w:tr>
      <w:tr w:rsidR="000D6259" w:rsidRPr="00E01239" w14:paraId="3919FBA8" w14:textId="77777777" w:rsidTr="00263B8A">
        <w:trPr>
          <w:trHeight w:val="147"/>
          <w:jc w:val="center"/>
        </w:trPr>
        <w:tc>
          <w:tcPr>
            <w:tcW w:w="820" w:type="pct"/>
            <w:vMerge/>
            <w:vAlign w:val="center"/>
          </w:tcPr>
          <w:p w14:paraId="207A7884"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156E2830" w14:textId="77777777" w:rsidR="00072495" w:rsidRPr="00E01239" w:rsidRDefault="00072495" w:rsidP="000C38B8">
            <w:pPr>
              <w:rPr>
                <w:rFonts w:asciiTheme="minorHAnsi" w:hAnsiTheme="minorHAnsi" w:cstheme="minorHAnsi"/>
                <w:sz w:val="20"/>
                <w:szCs w:val="20"/>
              </w:rPr>
            </w:pPr>
          </w:p>
        </w:tc>
        <w:tc>
          <w:tcPr>
            <w:tcW w:w="3175" w:type="pct"/>
            <w:vAlign w:val="center"/>
          </w:tcPr>
          <w:p w14:paraId="3E0870CF" w14:textId="77777777" w:rsidR="00072495" w:rsidRPr="00E01239" w:rsidRDefault="00072495" w:rsidP="00027669">
            <w:pPr>
              <w:pStyle w:val="Paragraphedeliste"/>
              <w:numPr>
                <w:ilvl w:val="0"/>
                <w:numId w:val="108"/>
              </w:numPr>
              <w:ind w:hanging="357"/>
              <w:contextualSpacing w:val="0"/>
              <w:rPr>
                <w:rFonts w:asciiTheme="minorHAnsi" w:hAnsiTheme="minorHAnsi" w:cstheme="minorHAnsi"/>
                <w:iCs/>
                <w:sz w:val="20"/>
                <w:szCs w:val="20"/>
              </w:rPr>
            </w:pPr>
            <w:r w:rsidRPr="00E01239">
              <w:rPr>
                <w:rFonts w:asciiTheme="minorHAnsi" w:hAnsiTheme="minorHAnsi" w:cstheme="minorHAnsi"/>
                <w:iCs/>
                <w:sz w:val="20"/>
                <w:szCs w:val="20"/>
              </w:rPr>
              <w:t>Modernisation des services nationaux de conseil et de vulgarisation agricole</w:t>
            </w:r>
          </w:p>
          <w:p w14:paraId="64DC97F4" w14:textId="2CE43EC6" w:rsidR="00072495" w:rsidRPr="00E01239" w:rsidRDefault="00072495" w:rsidP="00027669">
            <w:pPr>
              <w:pStyle w:val="Paragraphedeliste"/>
              <w:numPr>
                <w:ilvl w:val="1"/>
                <w:numId w:val="109"/>
              </w:numPr>
              <w:ind w:hanging="357"/>
              <w:contextualSpacing w:val="0"/>
              <w:rPr>
                <w:rFonts w:asciiTheme="minorHAnsi" w:hAnsiTheme="minorHAnsi" w:cstheme="minorHAnsi"/>
                <w:iCs/>
                <w:sz w:val="20"/>
                <w:szCs w:val="20"/>
              </w:rPr>
            </w:pPr>
            <w:r w:rsidRPr="00E01239">
              <w:rPr>
                <w:rFonts w:asciiTheme="minorHAnsi" w:hAnsiTheme="minorHAnsi" w:cstheme="minorHAnsi"/>
                <w:iCs/>
                <w:sz w:val="20"/>
                <w:szCs w:val="20"/>
              </w:rPr>
              <w:t xml:space="preserve">Mise en place d'un centre d'excellence de conseil agricole et rural incluant </w:t>
            </w:r>
            <w:r w:rsidR="00C966F6">
              <w:rPr>
                <w:rFonts w:asciiTheme="minorHAnsi" w:hAnsiTheme="minorHAnsi" w:cstheme="minorHAnsi"/>
                <w:iCs/>
                <w:sz w:val="20"/>
                <w:szCs w:val="20"/>
              </w:rPr>
              <w:t xml:space="preserve">un </w:t>
            </w:r>
            <w:r w:rsidRPr="00E01239">
              <w:rPr>
                <w:rFonts w:asciiTheme="minorHAnsi" w:hAnsiTheme="minorHAnsi" w:cstheme="minorHAnsi"/>
                <w:iCs/>
                <w:sz w:val="20"/>
                <w:szCs w:val="20"/>
              </w:rPr>
              <w:t xml:space="preserve">siège ANCAR, un centre de formation continue/recyclage et un hub de e-conseil </w:t>
            </w:r>
          </w:p>
          <w:p w14:paraId="7DBE54E9"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Rénovation / construction, équipement et Mise en place de stations de démonstration adaptées dans les 7 directions des zones (zone agroécologiques)</w:t>
            </w:r>
          </w:p>
          <w:p w14:paraId="09CC76B8" w14:textId="61B40973"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des compétences des agents de l'ANCAR (formations qualifiantes sur le conseil, aspects techniques spécifique</w:t>
            </w:r>
            <w:r w:rsidR="00EC391E">
              <w:rPr>
                <w:rFonts w:asciiTheme="minorHAnsi" w:hAnsiTheme="minorHAnsi" w:cstheme="minorHAnsi"/>
                <w:iCs/>
                <w:sz w:val="20"/>
                <w:szCs w:val="20"/>
              </w:rPr>
              <w:t>s</w:t>
            </w:r>
            <w:r w:rsidRPr="00E01239">
              <w:rPr>
                <w:rFonts w:asciiTheme="minorHAnsi" w:hAnsiTheme="minorHAnsi" w:cstheme="minorHAnsi"/>
                <w:iCs/>
                <w:sz w:val="20"/>
                <w:szCs w:val="20"/>
              </w:rPr>
              <w:t xml:space="preserve">) </w:t>
            </w:r>
          </w:p>
          <w:p w14:paraId="03F31EEE"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Mise en place d'un centre d'excellence de conseil agricole et rural incluant siège ANCAR, système national de formation continue/recyclage et hub de e-conseil </w:t>
            </w:r>
          </w:p>
          <w:p w14:paraId="20F638C6" w14:textId="4C75FE06"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Conception/ paramétrage d'outils numériques pour offrir des services digitalis</w:t>
            </w:r>
            <w:r w:rsidR="005A1B67">
              <w:rPr>
                <w:rFonts w:asciiTheme="minorHAnsi" w:hAnsiTheme="minorHAnsi" w:cstheme="minorHAnsi"/>
                <w:iCs/>
                <w:sz w:val="20"/>
                <w:szCs w:val="20"/>
              </w:rPr>
              <w:t>é</w:t>
            </w:r>
            <w:r w:rsidRPr="00E01239">
              <w:rPr>
                <w:rFonts w:asciiTheme="minorHAnsi" w:hAnsiTheme="minorHAnsi" w:cstheme="minorHAnsi"/>
                <w:iCs/>
                <w:sz w:val="20"/>
                <w:szCs w:val="20"/>
              </w:rPr>
              <w:t xml:space="preserve">s </w:t>
            </w:r>
          </w:p>
          <w:p w14:paraId="20ECD322"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Animation du système national de conseil agro sylvopastoral (SNCASP) qui est un cadre de coordination de concertation et d’harmonisation du conseil agricole et rural (CAR)  </w:t>
            </w:r>
          </w:p>
          <w:p w14:paraId="386C729A"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Mise en place d’une démarche qualité au sein de l'ANCAR (certification ISO sur le management du CAR)  </w:t>
            </w:r>
          </w:p>
          <w:p w14:paraId="33756114"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Voyages d'études</w:t>
            </w:r>
          </w:p>
        </w:tc>
      </w:tr>
      <w:tr w:rsidR="000D6259" w:rsidRPr="00E01239" w14:paraId="39BF2A6F" w14:textId="77777777" w:rsidTr="000C38B8">
        <w:trPr>
          <w:trHeight w:val="572"/>
          <w:jc w:val="center"/>
        </w:trPr>
        <w:tc>
          <w:tcPr>
            <w:tcW w:w="820" w:type="pct"/>
            <w:vMerge/>
            <w:vAlign w:val="center"/>
          </w:tcPr>
          <w:p w14:paraId="34D82922"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63AED3AB" w14:textId="77777777" w:rsidR="00072495" w:rsidRPr="00E01239" w:rsidRDefault="00072495" w:rsidP="000C38B8">
            <w:pPr>
              <w:rPr>
                <w:rFonts w:asciiTheme="minorHAnsi" w:hAnsiTheme="minorHAnsi" w:cstheme="minorHAnsi"/>
                <w:sz w:val="20"/>
                <w:szCs w:val="20"/>
              </w:rPr>
            </w:pPr>
          </w:p>
        </w:tc>
        <w:tc>
          <w:tcPr>
            <w:tcW w:w="3175" w:type="pct"/>
            <w:vAlign w:val="center"/>
          </w:tcPr>
          <w:p w14:paraId="44FB2A8D"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Facilitation de l'accès aux technologies et leur échange </w:t>
            </w:r>
          </w:p>
          <w:p w14:paraId="729C3E7C"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Opérationnalisation du continuum recherche-formation-conseil  </w:t>
            </w:r>
          </w:p>
          <w:p w14:paraId="6F15FE06"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des capacités des techniciens pour la maitrise des technologies transférables</w:t>
            </w:r>
          </w:p>
        </w:tc>
      </w:tr>
      <w:tr w:rsidR="000D6259" w:rsidRPr="00E01239" w14:paraId="12C2BCC9" w14:textId="77777777" w:rsidTr="000C38B8">
        <w:trPr>
          <w:trHeight w:val="572"/>
          <w:jc w:val="center"/>
        </w:trPr>
        <w:tc>
          <w:tcPr>
            <w:tcW w:w="820" w:type="pct"/>
            <w:vMerge/>
            <w:vAlign w:val="center"/>
          </w:tcPr>
          <w:p w14:paraId="75CBC0B5"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24ACDE89" w14:textId="77777777" w:rsidR="00072495" w:rsidRPr="00E01239" w:rsidRDefault="00072495" w:rsidP="000C38B8">
            <w:pPr>
              <w:rPr>
                <w:rFonts w:asciiTheme="minorHAnsi" w:hAnsiTheme="minorHAnsi" w:cstheme="minorHAnsi"/>
                <w:sz w:val="20"/>
                <w:szCs w:val="20"/>
              </w:rPr>
            </w:pPr>
          </w:p>
        </w:tc>
        <w:tc>
          <w:tcPr>
            <w:tcW w:w="3175" w:type="pct"/>
            <w:vAlign w:val="center"/>
          </w:tcPr>
          <w:p w14:paraId="16E1EE23"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Redynamisation et animation des cellules R&amp;D au niveau des zones </w:t>
            </w:r>
          </w:p>
          <w:p w14:paraId="74796950"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 Redynamisation des cellules R&amp;D au niveau des zones </w:t>
            </w:r>
          </w:p>
          <w:p w14:paraId="70CA0F88" w14:textId="743F2075"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 Animation des cellules R</w:t>
            </w:r>
            <w:r w:rsidR="001007CE">
              <w:rPr>
                <w:rFonts w:asciiTheme="minorHAnsi" w:hAnsiTheme="minorHAnsi" w:cstheme="minorHAnsi"/>
                <w:iCs/>
                <w:sz w:val="20"/>
                <w:szCs w:val="20"/>
              </w:rPr>
              <w:t>&amp;</w:t>
            </w:r>
            <w:r w:rsidRPr="00E01239">
              <w:rPr>
                <w:rFonts w:asciiTheme="minorHAnsi" w:hAnsiTheme="minorHAnsi" w:cstheme="minorHAnsi"/>
                <w:iCs/>
                <w:sz w:val="20"/>
                <w:szCs w:val="20"/>
              </w:rPr>
              <w:t>D</w:t>
            </w:r>
          </w:p>
        </w:tc>
      </w:tr>
      <w:tr w:rsidR="000D6259" w:rsidRPr="00E01239" w14:paraId="77441D44" w14:textId="77777777" w:rsidTr="000C38B8">
        <w:trPr>
          <w:trHeight w:val="1072"/>
          <w:jc w:val="center"/>
        </w:trPr>
        <w:tc>
          <w:tcPr>
            <w:tcW w:w="820" w:type="pct"/>
            <w:vMerge/>
            <w:vAlign w:val="center"/>
          </w:tcPr>
          <w:p w14:paraId="53D11F8B" w14:textId="77777777" w:rsidR="00072495" w:rsidRPr="00E01239" w:rsidRDefault="00072495" w:rsidP="000C38B8">
            <w:pPr>
              <w:rPr>
                <w:rFonts w:asciiTheme="minorHAnsi" w:hAnsiTheme="minorHAnsi" w:cstheme="minorHAnsi"/>
                <w:sz w:val="20"/>
                <w:szCs w:val="20"/>
              </w:rPr>
            </w:pPr>
          </w:p>
        </w:tc>
        <w:tc>
          <w:tcPr>
            <w:tcW w:w="1005" w:type="pct"/>
            <w:vMerge/>
            <w:vAlign w:val="center"/>
          </w:tcPr>
          <w:p w14:paraId="18B3FE00" w14:textId="77777777" w:rsidR="00072495" w:rsidRPr="00E01239" w:rsidRDefault="00072495" w:rsidP="000C38B8">
            <w:pPr>
              <w:rPr>
                <w:rFonts w:asciiTheme="minorHAnsi" w:hAnsiTheme="minorHAnsi" w:cstheme="minorHAnsi"/>
                <w:sz w:val="20"/>
                <w:szCs w:val="20"/>
              </w:rPr>
            </w:pPr>
          </w:p>
        </w:tc>
        <w:tc>
          <w:tcPr>
            <w:tcW w:w="3175" w:type="pct"/>
            <w:vAlign w:val="center"/>
          </w:tcPr>
          <w:p w14:paraId="4C240C0F" w14:textId="77777777" w:rsidR="00072495" w:rsidRPr="00E01239" w:rsidRDefault="00072495"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Mise en place de sites de diffusion des technologies  </w:t>
            </w:r>
          </w:p>
          <w:p w14:paraId="1DEF6EEC"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Mise en place de parcs technologiques au niveau des sites de Keur </w:t>
            </w:r>
            <w:proofErr w:type="spellStart"/>
            <w:r w:rsidRPr="00E01239">
              <w:rPr>
                <w:rFonts w:asciiTheme="minorHAnsi" w:hAnsiTheme="minorHAnsi" w:cstheme="minorHAnsi"/>
                <w:iCs/>
                <w:sz w:val="20"/>
                <w:szCs w:val="20"/>
              </w:rPr>
              <w:t>Momar</w:t>
            </w:r>
            <w:proofErr w:type="spellEnd"/>
            <w:r w:rsidRPr="00E01239">
              <w:rPr>
                <w:rFonts w:asciiTheme="minorHAnsi" w:hAnsiTheme="minorHAnsi" w:cstheme="minorHAnsi"/>
                <w:iCs/>
                <w:sz w:val="20"/>
                <w:szCs w:val="20"/>
              </w:rPr>
              <w:t xml:space="preserve"> </w:t>
            </w:r>
            <w:proofErr w:type="spellStart"/>
            <w:r w:rsidRPr="00E01239">
              <w:rPr>
                <w:rFonts w:asciiTheme="minorHAnsi" w:hAnsiTheme="minorHAnsi" w:cstheme="minorHAnsi"/>
                <w:iCs/>
                <w:sz w:val="20"/>
                <w:szCs w:val="20"/>
              </w:rPr>
              <w:t>Sarr</w:t>
            </w:r>
            <w:proofErr w:type="spellEnd"/>
            <w:r w:rsidRPr="00E01239">
              <w:rPr>
                <w:rFonts w:asciiTheme="minorHAnsi" w:hAnsiTheme="minorHAnsi" w:cstheme="minorHAnsi"/>
                <w:iCs/>
                <w:sz w:val="20"/>
                <w:szCs w:val="20"/>
              </w:rPr>
              <w:t xml:space="preserve"> et Sokone</w:t>
            </w:r>
          </w:p>
          <w:p w14:paraId="057F148D" w14:textId="77777777" w:rsidR="00072495" w:rsidRPr="00E01239" w:rsidRDefault="00072495"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Accompagnement à la production de semences des variétés en démonstration</w:t>
            </w:r>
          </w:p>
        </w:tc>
      </w:tr>
      <w:tr w:rsidR="000D6259" w:rsidRPr="00E01239" w14:paraId="7E69858E" w14:textId="77777777" w:rsidTr="008C0C70">
        <w:trPr>
          <w:trHeight w:val="1351"/>
          <w:jc w:val="center"/>
        </w:trPr>
        <w:tc>
          <w:tcPr>
            <w:tcW w:w="820" w:type="pct"/>
            <w:vMerge/>
            <w:vAlign w:val="center"/>
          </w:tcPr>
          <w:p w14:paraId="0B23B4D0" w14:textId="77777777" w:rsidR="000D6259" w:rsidRPr="00E01239" w:rsidRDefault="000D6259" w:rsidP="000C38B8">
            <w:pPr>
              <w:rPr>
                <w:rFonts w:asciiTheme="minorHAnsi" w:hAnsiTheme="minorHAnsi" w:cstheme="minorHAnsi"/>
                <w:sz w:val="20"/>
                <w:szCs w:val="20"/>
              </w:rPr>
            </w:pPr>
          </w:p>
        </w:tc>
        <w:tc>
          <w:tcPr>
            <w:tcW w:w="1005" w:type="pct"/>
            <w:vAlign w:val="center"/>
          </w:tcPr>
          <w:p w14:paraId="73DC53D2" w14:textId="77777777" w:rsidR="000D6259" w:rsidRPr="00E01239" w:rsidRDefault="000D6259" w:rsidP="000C38B8">
            <w:pPr>
              <w:rPr>
                <w:rFonts w:asciiTheme="minorHAnsi" w:hAnsiTheme="minorHAnsi" w:cstheme="minorHAnsi"/>
                <w:sz w:val="20"/>
                <w:szCs w:val="20"/>
              </w:rPr>
            </w:pPr>
          </w:p>
        </w:tc>
        <w:tc>
          <w:tcPr>
            <w:tcW w:w="3175" w:type="pct"/>
            <w:vAlign w:val="center"/>
          </w:tcPr>
          <w:p w14:paraId="66888B55"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Organisation de foires annuelles des technologies au niveau des zones agroécologiques </w:t>
            </w:r>
          </w:p>
          <w:p w14:paraId="1F563963"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Renforcement des moyens d'intervention de l'ANCAR </w:t>
            </w:r>
          </w:p>
          <w:p w14:paraId="49E447F5"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Acquisition de véhicules (7 Directions de zones et 2 DG) </w:t>
            </w:r>
          </w:p>
          <w:p w14:paraId="55A9564C"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Acquisition de motos (CAR) </w:t>
            </w:r>
          </w:p>
          <w:p w14:paraId="5C6088B6"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du système de suivi évaluation interne</w:t>
            </w:r>
          </w:p>
        </w:tc>
      </w:tr>
      <w:tr w:rsidR="000D6259" w:rsidRPr="00E01239" w14:paraId="37BCC506" w14:textId="77777777" w:rsidTr="000C38B8">
        <w:trPr>
          <w:trHeight w:val="841"/>
          <w:jc w:val="center"/>
        </w:trPr>
        <w:tc>
          <w:tcPr>
            <w:tcW w:w="820" w:type="pct"/>
            <w:vMerge/>
            <w:vAlign w:val="center"/>
          </w:tcPr>
          <w:p w14:paraId="7C42C1F5" w14:textId="77777777" w:rsidR="000D6259" w:rsidRPr="00E01239" w:rsidRDefault="000D6259" w:rsidP="000C38B8">
            <w:pPr>
              <w:rPr>
                <w:rFonts w:asciiTheme="minorHAnsi" w:hAnsiTheme="minorHAnsi" w:cstheme="minorHAnsi"/>
                <w:sz w:val="20"/>
                <w:szCs w:val="20"/>
              </w:rPr>
            </w:pPr>
          </w:p>
        </w:tc>
        <w:tc>
          <w:tcPr>
            <w:tcW w:w="1005" w:type="pct"/>
            <w:vMerge w:val="restart"/>
            <w:vAlign w:val="center"/>
          </w:tcPr>
          <w:p w14:paraId="2817DCC0" w14:textId="6565DC17" w:rsidR="000D6259" w:rsidRPr="00E01239" w:rsidRDefault="000D6259" w:rsidP="000C38B8">
            <w:pPr>
              <w:rPr>
                <w:rFonts w:asciiTheme="minorHAnsi" w:hAnsiTheme="minorHAnsi" w:cstheme="minorHAnsi"/>
                <w:sz w:val="20"/>
                <w:szCs w:val="20"/>
              </w:rPr>
            </w:pPr>
            <w:r w:rsidRPr="00E01239">
              <w:rPr>
                <w:rFonts w:asciiTheme="minorHAnsi" w:hAnsiTheme="minorHAnsi" w:cstheme="minorHAnsi"/>
                <w:sz w:val="20"/>
                <w:szCs w:val="20"/>
              </w:rPr>
              <w:t>Sous-composante 2.2 :</w:t>
            </w:r>
            <w:r w:rsidRPr="00E01239">
              <w:rPr>
                <w:rFonts w:asciiTheme="minorHAnsi" w:eastAsiaTheme="minorEastAsia" w:hAnsiTheme="minorHAnsi" w:cstheme="minorHAnsi"/>
                <w:kern w:val="24"/>
                <w:sz w:val="20"/>
                <w:szCs w:val="20"/>
              </w:rPr>
              <w:t xml:space="preserve"> </w:t>
            </w:r>
            <w:r w:rsidRPr="00E01239">
              <w:rPr>
                <w:rFonts w:asciiTheme="minorHAnsi" w:hAnsiTheme="minorHAnsi" w:cstheme="minorHAnsi"/>
                <w:sz w:val="20"/>
                <w:szCs w:val="20"/>
              </w:rPr>
              <w:t xml:space="preserve">Renforcer la sécurité alimentaire régionale par la gestion intégrée des paysages </w:t>
            </w:r>
            <w:r w:rsidR="00CE5929" w:rsidRPr="00E01239">
              <w:rPr>
                <w:rFonts w:asciiTheme="minorHAnsi" w:hAnsiTheme="minorHAnsi" w:cstheme="minorHAnsi"/>
                <w:sz w:val="20"/>
                <w:szCs w:val="20"/>
              </w:rPr>
              <w:t>(30,62 millions USD)</w:t>
            </w:r>
          </w:p>
        </w:tc>
        <w:tc>
          <w:tcPr>
            <w:tcW w:w="3175" w:type="pct"/>
            <w:vAlign w:val="center"/>
          </w:tcPr>
          <w:p w14:paraId="367C7842"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Établir une gestion intégrée des paysages (GIP) participative dans les paysages prioritaires</w:t>
            </w:r>
          </w:p>
          <w:p w14:paraId="601E52E4"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Caractérisation des sols</w:t>
            </w:r>
          </w:p>
          <w:p w14:paraId="065EE9A5"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Mise en place d’un système d’information (sols sales, aptitude culturale)</w:t>
            </w:r>
          </w:p>
          <w:p w14:paraId="0236193D"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POAS (Communal) - quantité : 20</w:t>
            </w:r>
          </w:p>
          <w:p w14:paraId="7072F8C6"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Plan GDT (communal)</w:t>
            </w:r>
          </w:p>
          <w:p w14:paraId="05BEA5F1"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Réactualisation du répertoire des bonnes pratiques de GDT</w:t>
            </w:r>
          </w:p>
          <w:p w14:paraId="7DF0C937"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sur les instruments de GIP appliquée au système alimentaire</w:t>
            </w:r>
          </w:p>
          <w:p w14:paraId="19644BCD"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Formulation de projets GIP appliquée au système alimentaire</w:t>
            </w:r>
          </w:p>
        </w:tc>
      </w:tr>
      <w:tr w:rsidR="000D6259" w:rsidRPr="00E01239" w14:paraId="61D524DD" w14:textId="77777777" w:rsidTr="000C38B8">
        <w:trPr>
          <w:trHeight w:val="841"/>
          <w:jc w:val="center"/>
        </w:trPr>
        <w:tc>
          <w:tcPr>
            <w:tcW w:w="820" w:type="pct"/>
            <w:vMerge/>
            <w:vAlign w:val="center"/>
          </w:tcPr>
          <w:p w14:paraId="5FDF50F1"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15311E9F" w14:textId="77777777" w:rsidR="000D6259" w:rsidRPr="00E01239" w:rsidRDefault="000D6259" w:rsidP="000C38B8">
            <w:pPr>
              <w:rPr>
                <w:rFonts w:asciiTheme="minorHAnsi" w:hAnsiTheme="minorHAnsi" w:cstheme="minorHAnsi"/>
                <w:sz w:val="20"/>
                <w:szCs w:val="20"/>
              </w:rPr>
            </w:pPr>
          </w:p>
        </w:tc>
        <w:tc>
          <w:tcPr>
            <w:tcW w:w="3175" w:type="pct"/>
            <w:vAlign w:val="center"/>
          </w:tcPr>
          <w:p w14:paraId="187070E9" w14:textId="77777777" w:rsidR="000D6259" w:rsidRPr="00E01239" w:rsidRDefault="000D6259" w:rsidP="00027669">
            <w:pPr>
              <w:pStyle w:val="Paragraphedeliste"/>
              <w:numPr>
                <w:ilvl w:val="0"/>
                <w:numId w:val="110"/>
              </w:numPr>
              <w:ind w:left="357" w:hanging="357"/>
              <w:contextualSpacing w:val="0"/>
              <w:rPr>
                <w:rFonts w:asciiTheme="minorHAnsi" w:hAnsiTheme="minorHAnsi" w:cstheme="minorHAnsi"/>
                <w:iCs/>
                <w:sz w:val="20"/>
                <w:szCs w:val="20"/>
              </w:rPr>
            </w:pPr>
            <w:r w:rsidRPr="00E01239">
              <w:rPr>
                <w:rFonts w:asciiTheme="minorHAnsi" w:hAnsiTheme="minorHAnsi" w:cstheme="minorHAnsi"/>
                <w:iCs/>
                <w:sz w:val="20"/>
                <w:szCs w:val="20"/>
              </w:rPr>
              <w:t xml:space="preserve">Amélioration de la résilience des écosystèmes et des systèmes alimentaires </w:t>
            </w:r>
          </w:p>
          <w:p w14:paraId="2CA8687F"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Aménagement du bassin de </w:t>
            </w:r>
            <w:proofErr w:type="spellStart"/>
            <w:r w:rsidRPr="00E01239">
              <w:rPr>
                <w:rFonts w:asciiTheme="minorHAnsi" w:hAnsiTheme="minorHAnsi" w:cstheme="minorHAnsi"/>
                <w:iCs/>
                <w:sz w:val="20"/>
                <w:szCs w:val="20"/>
              </w:rPr>
              <w:t>Dioulol</w:t>
            </w:r>
            <w:proofErr w:type="spellEnd"/>
            <w:r w:rsidRPr="00E01239">
              <w:rPr>
                <w:rFonts w:asciiTheme="minorHAnsi" w:hAnsiTheme="minorHAnsi" w:cstheme="minorHAnsi"/>
                <w:iCs/>
                <w:sz w:val="20"/>
                <w:szCs w:val="20"/>
              </w:rPr>
              <w:t xml:space="preserve"> (Délégation SAED de Matam)</w:t>
            </w:r>
          </w:p>
          <w:p w14:paraId="53BD9F69" w14:textId="659F032B"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Aménagement du site pilote de Bushra</w:t>
            </w:r>
          </w:p>
          <w:p w14:paraId="2C995FBB" w14:textId="4145F3D5"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Réfection </w:t>
            </w:r>
            <w:r w:rsidR="00032CAE">
              <w:rPr>
                <w:rFonts w:asciiTheme="minorHAnsi" w:hAnsiTheme="minorHAnsi" w:cstheme="minorHAnsi"/>
                <w:iCs/>
                <w:sz w:val="20"/>
                <w:szCs w:val="20"/>
              </w:rPr>
              <w:t xml:space="preserve">du </w:t>
            </w:r>
            <w:r w:rsidRPr="00E01239">
              <w:rPr>
                <w:rFonts w:asciiTheme="minorHAnsi" w:hAnsiTheme="minorHAnsi" w:cstheme="minorHAnsi"/>
                <w:iCs/>
                <w:sz w:val="20"/>
                <w:szCs w:val="20"/>
              </w:rPr>
              <w:t xml:space="preserve">périmètre maraicher du CPFP de </w:t>
            </w:r>
            <w:proofErr w:type="spellStart"/>
            <w:r w:rsidRPr="00E01239">
              <w:rPr>
                <w:rFonts w:asciiTheme="minorHAnsi" w:hAnsiTheme="minorHAnsi" w:cstheme="minorHAnsi"/>
                <w:iCs/>
                <w:sz w:val="20"/>
                <w:szCs w:val="20"/>
              </w:rPr>
              <w:t>Koussanar</w:t>
            </w:r>
            <w:proofErr w:type="spellEnd"/>
          </w:p>
          <w:p w14:paraId="12FA4195"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Remembrement de la vallée de </w:t>
            </w:r>
            <w:proofErr w:type="spellStart"/>
            <w:r w:rsidRPr="00E01239">
              <w:rPr>
                <w:rFonts w:asciiTheme="minorHAnsi" w:hAnsiTheme="minorHAnsi" w:cstheme="minorHAnsi"/>
                <w:iCs/>
                <w:sz w:val="20"/>
                <w:szCs w:val="20"/>
              </w:rPr>
              <w:t>Diatock</w:t>
            </w:r>
            <w:proofErr w:type="spellEnd"/>
            <w:r w:rsidRPr="00E01239">
              <w:rPr>
                <w:rFonts w:asciiTheme="minorHAnsi" w:hAnsiTheme="minorHAnsi" w:cstheme="minorHAnsi"/>
                <w:iCs/>
                <w:sz w:val="20"/>
                <w:szCs w:val="20"/>
              </w:rPr>
              <w:t xml:space="preserve"> </w:t>
            </w:r>
          </w:p>
          <w:p w14:paraId="25B2B0E5"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Revalorisation de la vallée de </w:t>
            </w:r>
            <w:proofErr w:type="spellStart"/>
            <w:r w:rsidRPr="00E01239">
              <w:rPr>
                <w:rFonts w:asciiTheme="minorHAnsi" w:hAnsiTheme="minorHAnsi" w:cstheme="minorHAnsi"/>
                <w:iCs/>
                <w:sz w:val="20"/>
                <w:szCs w:val="20"/>
              </w:rPr>
              <w:t>Djilacounda</w:t>
            </w:r>
            <w:proofErr w:type="spellEnd"/>
          </w:p>
          <w:p w14:paraId="53390AC5"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Réhabilitation de la Vallée de </w:t>
            </w:r>
            <w:proofErr w:type="spellStart"/>
            <w:r w:rsidRPr="00E01239">
              <w:rPr>
                <w:rFonts w:asciiTheme="minorHAnsi" w:hAnsiTheme="minorHAnsi" w:cstheme="minorHAnsi"/>
                <w:iCs/>
                <w:sz w:val="20"/>
                <w:szCs w:val="20"/>
              </w:rPr>
              <w:t>Simal</w:t>
            </w:r>
            <w:proofErr w:type="spellEnd"/>
          </w:p>
          <w:p w14:paraId="4E5F0FA4"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Amendement organique et minéral des sols de Keur Moussa et </w:t>
            </w:r>
            <w:proofErr w:type="spellStart"/>
            <w:r w:rsidRPr="00E01239">
              <w:rPr>
                <w:rFonts w:asciiTheme="minorHAnsi" w:hAnsiTheme="minorHAnsi" w:cstheme="minorHAnsi"/>
                <w:iCs/>
                <w:sz w:val="20"/>
                <w:szCs w:val="20"/>
              </w:rPr>
              <w:t>Djender</w:t>
            </w:r>
            <w:proofErr w:type="spellEnd"/>
          </w:p>
          <w:p w14:paraId="2FE7EBE2"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DRS/CES bas fons </w:t>
            </w:r>
            <w:proofErr w:type="spellStart"/>
            <w:r w:rsidRPr="00E01239">
              <w:rPr>
                <w:rFonts w:asciiTheme="minorHAnsi" w:hAnsiTheme="minorHAnsi" w:cstheme="minorHAnsi"/>
                <w:iCs/>
                <w:sz w:val="20"/>
                <w:szCs w:val="20"/>
              </w:rPr>
              <w:t>Notto</w:t>
            </w:r>
            <w:proofErr w:type="spellEnd"/>
            <w:r w:rsidRPr="00E01239">
              <w:rPr>
                <w:rFonts w:asciiTheme="minorHAnsi" w:hAnsiTheme="minorHAnsi" w:cstheme="minorHAnsi"/>
                <w:iCs/>
                <w:sz w:val="20"/>
                <w:szCs w:val="20"/>
              </w:rPr>
              <w:t xml:space="preserve"> </w:t>
            </w:r>
            <w:proofErr w:type="spellStart"/>
            <w:r w:rsidRPr="00E01239">
              <w:rPr>
                <w:rFonts w:asciiTheme="minorHAnsi" w:hAnsiTheme="minorHAnsi" w:cstheme="minorHAnsi"/>
                <w:iCs/>
                <w:sz w:val="20"/>
                <w:szCs w:val="20"/>
              </w:rPr>
              <w:t>Diobass</w:t>
            </w:r>
            <w:proofErr w:type="spellEnd"/>
            <w:r w:rsidRPr="00E01239">
              <w:rPr>
                <w:rFonts w:asciiTheme="minorHAnsi" w:hAnsiTheme="minorHAnsi" w:cstheme="minorHAnsi"/>
                <w:iCs/>
                <w:sz w:val="20"/>
                <w:szCs w:val="20"/>
              </w:rPr>
              <w:t xml:space="preserve"> et </w:t>
            </w:r>
            <w:proofErr w:type="spellStart"/>
            <w:r w:rsidRPr="00E01239">
              <w:rPr>
                <w:rFonts w:asciiTheme="minorHAnsi" w:hAnsiTheme="minorHAnsi" w:cstheme="minorHAnsi"/>
                <w:iCs/>
                <w:sz w:val="20"/>
                <w:szCs w:val="20"/>
              </w:rPr>
              <w:t>Toubatoul</w:t>
            </w:r>
            <w:proofErr w:type="spellEnd"/>
          </w:p>
          <w:p w14:paraId="6F5106C1"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Réhabilitation de 2000 ha périmètres irrigués villageois dans la vallée du fleuve Sénégal</w:t>
            </w:r>
          </w:p>
          <w:p w14:paraId="127D0929"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Réhabilitation et extension de 2 700 ha périmètres irrigués et renouvellement de système de pompage de casiers et PIV dans la vallée du fleuve Sénégal.</w:t>
            </w:r>
          </w:p>
        </w:tc>
      </w:tr>
      <w:tr w:rsidR="000D6259" w:rsidRPr="00E01239" w14:paraId="1017A9CC" w14:textId="77777777" w:rsidTr="008C0C70">
        <w:trPr>
          <w:trHeight w:val="3760"/>
          <w:jc w:val="center"/>
        </w:trPr>
        <w:tc>
          <w:tcPr>
            <w:tcW w:w="820" w:type="pct"/>
            <w:vMerge/>
            <w:tcBorders>
              <w:bottom w:val="single" w:sz="4" w:space="0" w:color="808080" w:themeColor="background1" w:themeShade="80"/>
            </w:tcBorders>
            <w:vAlign w:val="center"/>
          </w:tcPr>
          <w:p w14:paraId="48F40A40" w14:textId="77777777" w:rsidR="000D6259" w:rsidRPr="00E01239" w:rsidRDefault="000D6259" w:rsidP="000C38B8">
            <w:pPr>
              <w:rPr>
                <w:rFonts w:asciiTheme="minorHAnsi" w:hAnsiTheme="minorHAnsi" w:cstheme="minorHAnsi"/>
                <w:sz w:val="20"/>
                <w:szCs w:val="20"/>
              </w:rPr>
            </w:pPr>
          </w:p>
        </w:tc>
        <w:tc>
          <w:tcPr>
            <w:tcW w:w="1005" w:type="pct"/>
            <w:vMerge/>
            <w:tcBorders>
              <w:bottom w:val="single" w:sz="4" w:space="0" w:color="808080" w:themeColor="background1" w:themeShade="80"/>
            </w:tcBorders>
            <w:vAlign w:val="center"/>
          </w:tcPr>
          <w:p w14:paraId="553A1C87" w14:textId="77777777" w:rsidR="000D6259" w:rsidRPr="00E01239" w:rsidRDefault="000D6259" w:rsidP="000C38B8">
            <w:pPr>
              <w:rPr>
                <w:rFonts w:asciiTheme="minorHAnsi" w:hAnsiTheme="minorHAnsi" w:cstheme="minorHAnsi"/>
                <w:sz w:val="20"/>
                <w:szCs w:val="20"/>
              </w:rPr>
            </w:pPr>
          </w:p>
        </w:tc>
        <w:tc>
          <w:tcPr>
            <w:tcW w:w="3175" w:type="pct"/>
            <w:tcBorders>
              <w:bottom w:val="single" w:sz="4" w:space="0" w:color="808080" w:themeColor="background1" w:themeShade="80"/>
            </w:tcBorders>
            <w:vAlign w:val="center"/>
          </w:tcPr>
          <w:p w14:paraId="31655ABC"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Renforcer les capacités nationales pour étendre et généraliser la GIP</w:t>
            </w:r>
          </w:p>
          <w:p w14:paraId="1856A329"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Renforcements capacités INP</w:t>
            </w:r>
          </w:p>
          <w:p w14:paraId="4EBE0C99" w14:textId="20498468"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État des lieux et capitalisation des approches, expériences et bonnes pratiques de GIP </w:t>
            </w:r>
          </w:p>
          <w:p w14:paraId="6BF625F7"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Élaboration d’instruments conceptuels, méthodologiques et opératoires de GIP appliquée au système alimentaire</w:t>
            </w:r>
          </w:p>
          <w:p w14:paraId="5D1B7382"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Sessions statutaires du CNGDT pour le portage de l’approche GIP</w:t>
            </w:r>
          </w:p>
          <w:p w14:paraId="012B28F5"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Mobilisation de partenariats (scientifiques, techniques et financiers) pour le financement du CNIS/GDT </w:t>
            </w:r>
          </w:p>
          <w:p w14:paraId="6FCEF39A" w14:textId="3F693FF4"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Évaluation et capitalisation des « pilotes/tests » de projets GIP appliquée au système alimentaire</w:t>
            </w:r>
          </w:p>
          <w:p w14:paraId="7164486A"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Notes politiques (</w:t>
            </w:r>
            <w:proofErr w:type="spellStart"/>
            <w:r w:rsidRPr="00E01239">
              <w:rPr>
                <w:rFonts w:asciiTheme="minorHAnsi" w:hAnsiTheme="minorHAnsi" w:cstheme="minorHAnsi"/>
                <w:iCs/>
                <w:sz w:val="20"/>
                <w:szCs w:val="20"/>
              </w:rPr>
              <w:t>policy</w:t>
            </w:r>
            <w:proofErr w:type="spellEnd"/>
            <w:r w:rsidRPr="00E01239">
              <w:rPr>
                <w:rFonts w:asciiTheme="minorHAnsi" w:hAnsiTheme="minorHAnsi" w:cstheme="minorHAnsi"/>
                <w:iCs/>
                <w:sz w:val="20"/>
                <w:szCs w:val="20"/>
              </w:rPr>
              <w:t xml:space="preserve"> briefs) pour l’intégration de la GIP dans les politiques publiques</w:t>
            </w:r>
          </w:p>
          <w:p w14:paraId="2F3AFE6C"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Évaluation de Contribution Déterminée Nationale (CDN) des projets mis en œuvre </w:t>
            </w:r>
          </w:p>
          <w:p w14:paraId="053F4F14"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Études Séquestration Carbone des projets mis en œuvre </w:t>
            </w:r>
          </w:p>
          <w:p w14:paraId="68C95D92"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Études de Paiement service écosystémique des projets exécutés</w:t>
            </w:r>
          </w:p>
        </w:tc>
      </w:tr>
      <w:tr w:rsidR="000D6259" w:rsidRPr="00E01239" w14:paraId="3BAE081E" w14:textId="77777777" w:rsidTr="008C0C70">
        <w:trPr>
          <w:trHeight w:val="146"/>
          <w:jc w:val="center"/>
        </w:trPr>
        <w:tc>
          <w:tcPr>
            <w:tcW w:w="820" w:type="pct"/>
            <w:vMerge w:val="restart"/>
            <w:vAlign w:val="center"/>
          </w:tcPr>
          <w:p w14:paraId="544EF0DB" w14:textId="77777777" w:rsidR="000D6259" w:rsidRPr="00E01239" w:rsidRDefault="000D6259" w:rsidP="000C38B8">
            <w:pPr>
              <w:rPr>
                <w:rFonts w:asciiTheme="minorHAnsi" w:hAnsiTheme="minorHAnsi" w:cstheme="minorHAnsi"/>
                <w:sz w:val="20"/>
                <w:szCs w:val="20"/>
              </w:rPr>
            </w:pPr>
          </w:p>
          <w:p w14:paraId="737AD793" w14:textId="77777777" w:rsidR="000D6259" w:rsidRPr="00E01239" w:rsidRDefault="000D6259" w:rsidP="000C38B8">
            <w:pPr>
              <w:rPr>
                <w:rFonts w:asciiTheme="minorHAnsi" w:hAnsiTheme="minorHAnsi" w:cstheme="minorHAnsi"/>
                <w:sz w:val="20"/>
                <w:szCs w:val="20"/>
              </w:rPr>
            </w:pPr>
          </w:p>
          <w:p w14:paraId="4AAD1052" w14:textId="77777777" w:rsidR="000D6259" w:rsidRPr="00E01239" w:rsidRDefault="000D6259" w:rsidP="000C38B8">
            <w:pPr>
              <w:rPr>
                <w:rFonts w:asciiTheme="minorHAnsi" w:hAnsiTheme="minorHAnsi" w:cstheme="minorHAnsi"/>
                <w:sz w:val="20"/>
                <w:szCs w:val="20"/>
              </w:rPr>
            </w:pPr>
          </w:p>
          <w:p w14:paraId="6C58059C" w14:textId="77777777" w:rsidR="000D6259" w:rsidRPr="00E01239" w:rsidRDefault="000D6259" w:rsidP="000C38B8">
            <w:pPr>
              <w:rPr>
                <w:rFonts w:asciiTheme="minorHAnsi" w:hAnsiTheme="minorHAnsi" w:cstheme="minorHAnsi"/>
                <w:sz w:val="20"/>
                <w:szCs w:val="20"/>
              </w:rPr>
            </w:pPr>
          </w:p>
          <w:p w14:paraId="07DC1A20" w14:textId="77777777" w:rsidR="000D6259" w:rsidRPr="00E01239" w:rsidRDefault="000D6259" w:rsidP="000C38B8">
            <w:pPr>
              <w:rPr>
                <w:rFonts w:asciiTheme="minorHAnsi" w:hAnsiTheme="minorHAnsi" w:cstheme="minorHAnsi"/>
                <w:sz w:val="20"/>
                <w:szCs w:val="20"/>
              </w:rPr>
            </w:pPr>
          </w:p>
          <w:p w14:paraId="21E2F932" w14:textId="77777777" w:rsidR="000D6259" w:rsidRPr="00E01239" w:rsidRDefault="000D6259" w:rsidP="000C38B8">
            <w:pPr>
              <w:rPr>
                <w:rFonts w:asciiTheme="minorHAnsi" w:hAnsiTheme="minorHAnsi" w:cstheme="minorHAnsi"/>
                <w:sz w:val="20"/>
                <w:szCs w:val="20"/>
              </w:rPr>
            </w:pPr>
          </w:p>
          <w:p w14:paraId="1B7EB627" w14:textId="77777777" w:rsidR="000D6259" w:rsidRPr="00E01239" w:rsidRDefault="000D6259" w:rsidP="000C38B8">
            <w:pPr>
              <w:rPr>
                <w:rFonts w:asciiTheme="minorHAnsi" w:hAnsiTheme="minorHAnsi" w:cstheme="minorHAnsi"/>
                <w:sz w:val="20"/>
                <w:szCs w:val="20"/>
              </w:rPr>
            </w:pPr>
          </w:p>
          <w:p w14:paraId="671EB87A" w14:textId="6227C5AC" w:rsidR="000D6259" w:rsidRPr="00E01239" w:rsidRDefault="000D6259" w:rsidP="000C38B8">
            <w:pPr>
              <w:rPr>
                <w:rFonts w:asciiTheme="minorHAnsi" w:hAnsiTheme="minorHAnsi" w:cstheme="minorHAnsi"/>
                <w:sz w:val="20"/>
                <w:szCs w:val="20"/>
              </w:rPr>
            </w:pPr>
            <w:r w:rsidRPr="00E01239">
              <w:rPr>
                <w:rFonts w:asciiTheme="minorHAnsi" w:hAnsiTheme="minorHAnsi" w:cstheme="minorHAnsi"/>
                <w:sz w:val="20"/>
                <w:szCs w:val="20"/>
              </w:rPr>
              <w:t xml:space="preserve">Composante 3. Intégration régionale des marchés alimentaires </w:t>
            </w:r>
            <w:r w:rsidRPr="00E01239">
              <w:rPr>
                <w:rFonts w:asciiTheme="minorHAnsi" w:hAnsiTheme="minorHAnsi" w:cstheme="minorHAnsi"/>
                <w:sz w:val="20"/>
                <w:szCs w:val="20"/>
              </w:rPr>
              <w:br/>
              <w:t xml:space="preserve">&amp; du commerce </w:t>
            </w:r>
            <w:r w:rsidR="00CE5929" w:rsidRPr="00E01239">
              <w:rPr>
                <w:rFonts w:asciiTheme="minorHAnsi" w:hAnsiTheme="minorHAnsi" w:cstheme="minorHAnsi"/>
                <w:sz w:val="20"/>
                <w:szCs w:val="20"/>
              </w:rPr>
              <w:t>(164,60 millions USD)</w:t>
            </w:r>
          </w:p>
        </w:tc>
        <w:tc>
          <w:tcPr>
            <w:tcW w:w="1005" w:type="pct"/>
            <w:vMerge w:val="restart"/>
            <w:vAlign w:val="center"/>
          </w:tcPr>
          <w:p w14:paraId="20981702" w14:textId="2AD74136" w:rsidR="000D6259" w:rsidRPr="00E01239" w:rsidRDefault="000D6259" w:rsidP="000C38B8">
            <w:pPr>
              <w:rPr>
                <w:rFonts w:asciiTheme="minorHAnsi" w:hAnsiTheme="minorHAnsi" w:cstheme="minorHAnsi"/>
                <w:sz w:val="20"/>
                <w:szCs w:val="20"/>
              </w:rPr>
            </w:pPr>
            <w:r w:rsidRPr="00E01239">
              <w:rPr>
                <w:rFonts w:asciiTheme="minorHAnsi" w:hAnsiTheme="minorHAnsi" w:cstheme="minorHAnsi"/>
                <w:sz w:val="20"/>
                <w:szCs w:val="20"/>
              </w:rPr>
              <w:t>Sous-composante 3.1 :</w:t>
            </w:r>
            <w:r w:rsidRPr="00E01239">
              <w:rPr>
                <w:rFonts w:asciiTheme="minorHAnsi" w:eastAsiaTheme="minorEastAsia" w:hAnsiTheme="minorHAnsi" w:cstheme="minorHAnsi"/>
                <w:kern w:val="24"/>
                <w:sz w:val="20"/>
                <w:szCs w:val="20"/>
              </w:rPr>
              <w:t xml:space="preserve"> </w:t>
            </w:r>
            <w:r w:rsidRPr="00E01239">
              <w:rPr>
                <w:rFonts w:asciiTheme="minorHAnsi" w:hAnsiTheme="minorHAnsi" w:cstheme="minorHAnsi"/>
                <w:sz w:val="20"/>
                <w:szCs w:val="20"/>
              </w:rPr>
              <w:t>Faciliter le commerce à travers les principaux corridors et consolider le système de réserve alimentaire </w:t>
            </w:r>
            <w:r w:rsidR="00CE5929" w:rsidRPr="00E01239">
              <w:rPr>
                <w:rFonts w:asciiTheme="minorHAnsi" w:hAnsiTheme="minorHAnsi" w:cstheme="minorHAnsi"/>
                <w:sz w:val="20"/>
                <w:szCs w:val="20"/>
              </w:rPr>
              <w:t>(3,30 millions USD)</w:t>
            </w:r>
          </w:p>
        </w:tc>
        <w:tc>
          <w:tcPr>
            <w:tcW w:w="3175" w:type="pct"/>
            <w:vAlign w:val="center"/>
          </w:tcPr>
          <w:p w14:paraId="05B776C8"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Mécanisme de tableau de bord du commerce et du marché agricole de la CEDEAO (EATM-S)</w:t>
            </w:r>
          </w:p>
          <w:p w14:paraId="6A547BF8"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Développement de l'EATM au Sénégal (Assistance technique)</w:t>
            </w:r>
          </w:p>
          <w:p w14:paraId="4624C477"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Assistance technique</w:t>
            </w:r>
          </w:p>
          <w:p w14:paraId="0B91EE3D"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sur la gestion de l'EATM (20 personnes pour 3 jours)</w:t>
            </w:r>
          </w:p>
          <w:p w14:paraId="786D47F0"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Couts opérationnels pour la collecte et l'analyse des données</w:t>
            </w:r>
          </w:p>
          <w:p w14:paraId="136DC1B8"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Ateliers de validation</w:t>
            </w:r>
          </w:p>
          <w:p w14:paraId="74AD6950"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Participation aux réunions régionales de EATM</w:t>
            </w:r>
          </w:p>
        </w:tc>
      </w:tr>
      <w:tr w:rsidR="000D6259" w:rsidRPr="00E01239" w14:paraId="2396BB22" w14:textId="77777777" w:rsidTr="008C0C70">
        <w:trPr>
          <w:trHeight w:val="1077"/>
          <w:jc w:val="center"/>
        </w:trPr>
        <w:tc>
          <w:tcPr>
            <w:tcW w:w="820" w:type="pct"/>
            <w:vMerge/>
            <w:vAlign w:val="center"/>
          </w:tcPr>
          <w:p w14:paraId="1E7A29A9"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4F9D0C2A" w14:textId="77777777" w:rsidR="000D6259" w:rsidRPr="00E01239" w:rsidRDefault="000D6259" w:rsidP="000C38B8">
            <w:pPr>
              <w:rPr>
                <w:rFonts w:asciiTheme="minorHAnsi" w:hAnsiTheme="minorHAnsi" w:cstheme="minorHAnsi"/>
                <w:sz w:val="20"/>
                <w:szCs w:val="20"/>
              </w:rPr>
            </w:pPr>
          </w:p>
        </w:tc>
        <w:tc>
          <w:tcPr>
            <w:tcW w:w="3175" w:type="pct"/>
            <w:vAlign w:val="center"/>
          </w:tcPr>
          <w:p w14:paraId="56E883F1"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Mettre en œuvre les politiques régionales de commerce agricole</w:t>
            </w:r>
          </w:p>
          <w:p w14:paraId="311AA8D7"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Appuyer le processus consultatif d'harmoniser les politiques nationales de commerce</w:t>
            </w:r>
          </w:p>
          <w:p w14:paraId="66CC1659"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Ateliers nationaux d'informations</w:t>
            </w:r>
          </w:p>
          <w:p w14:paraId="3E8230CB"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aux CSA, ARM, MEPA, MAERSA pour le suivi du processus</w:t>
            </w:r>
          </w:p>
        </w:tc>
      </w:tr>
      <w:tr w:rsidR="000D6259" w:rsidRPr="00E01239" w14:paraId="3924C2E9" w14:textId="77777777" w:rsidTr="000C38B8">
        <w:trPr>
          <w:trHeight w:val="1281"/>
          <w:jc w:val="center"/>
        </w:trPr>
        <w:tc>
          <w:tcPr>
            <w:tcW w:w="820" w:type="pct"/>
            <w:vMerge/>
            <w:vAlign w:val="center"/>
          </w:tcPr>
          <w:p w14:paraId="6895C397" w14:textId="77777777" w:rsidR="000D6259" w:rsidRPr="00E01239" w:rsidRDefault="000D6259" w:rsidP="000C38B8">
            <w:pPr>
              <w:rPr>
                <w:rFonts w:asciiTheme="minorHAnsi" w:hAnsiTheme="minorHAnsi" w:cstheme="minorHAnsi"/>
                <w:sz w:val="20"/>
                <w:szCs w:val="20"/>
              </w:rPr>
            </w:pPr>
          </w:p>
        </w:tc>
        <w:tc>
          <w:tcPr>
            <w:tcW w:w="1005" w:type="pct"/>
            <w:vMerge/>
            <w:vAlign w:val="center"/>
          </w:tcPr>
          <w:p w14:paraId="547D798E" w14:textId="77777777" w:rsidR="000D6259" w:rsidRPr="00E01239" w:rsidRDefault="000D6259" w:rsidP="000C38B8">
            <w:pPr>
              <w:rPr>
                <w:rFonts w:asciiTheme="minorHAnsi" w:hAnsiTheme="minorHAnsi" w:cstheme="minorHAnsi"/>
                <w:sz w:val="20"/>
                <w:szCs w:val="20"/>
              </w:rPr>
            </w:pPr>
          </w:p>
        </w:tc>
        <w:tc>
          <w:tcPr>
            <w:tcW w:w="3175" w:type="pct"/>
            <w:vAlign w:val="center"/>
          </w:tcPr>
          <w:p w14:paraId="6CAD2688" w14:textId="43C759FE"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Préparer les analyses de marché et renforcer </w:t>
            </w:r>
            <w:r w:rsidR="00A557EE">
              <w:rPr>
                <w:rFonts w:asciiTheme="minorHAnsi" w:hAnsiTheme="minorHAnsi" w:cstheme="minorHAnsi"/>
                <w:iCs/>
                <w:sz w:val="20"/>
                <w:szCs w:val="20"/>
              </w:rPr>
              <w:t>l</w:t>
            </w:r>
            <w:r w:rsidRPr="00E01239">
              <w:rPr>
                <w:rFonts w:asciiTheme="minorHAnsi" w:hAnsiTheme="minorHAnsi" w:cstheme="minorHAnsi"/>
                <w:iCs/>
                <w:sz w:val="20"/>
                <w:szCs w:val="20"/>
              </w:rPr>
              <w:t>es capacités de négociation</w:t>
            </w:r>
          </w:p>
          <w:p w14:paraId="49AC2977"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Préparer des analyses de marchés pour les produits prioritaires</w:t>
            </w:r>
          </w:p>
          <w:p w14:paraId="6CBF9005" w14:textId="51D443C2"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Ateliers de renforcement des capacités dans le domaine commercial</w:t>
            </w:r>
          </w:p>
          <w:p w14:paraId="0C050F33"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Suivi du marché du riz en liaison avec l'Observatoire de Riz de la CEDEAO</w:t>
            </w:r>
          </w:p>
        </w:tc>
      </w:tr>
      <w:tr w:rsidR="000D6259" w:rsidRPr="00E01239" w14:paraId="6DF81294" w14:textId="77777777" w:rsidTr="008C0C70">
        <w:trPr>
          <w:trHeight w:val="1611"/>
          <w:jc w:val="center"/>
        </w:trPr>
        <w:tc>
          <w:tcPr>
            <w:tcW w:w="820" w:type="pct"/>
            <w:vMerge/>
            <w:tcBorders>
              <w:bottom w:val="single" w:sz="4" w:space="0" w:color="808080" w:themeColor="background1" w:themeShade="80"/>
            </w:tcBorders>
            <w:vAlign w:val="center"/>
          </w:tcPr>
          <w:p w14:paraId="52564500" w14:textId="77777777" w:rsidR="000D6259" w:rsidRPr="00E01239" w:rsidRDefault="000D6259" w:rsidP="000C38B8">
            <w:pPr>
              <w:rPr>
                <w:rFonts w:asciiTheme="minorHAnsi" w:hAnsiTheme="minorHAnsi" w:cstheme="minorHAnsi"/>
                <w:sz w:val="20"/>
                <w:szCs w:val="20"/>
              </w:rPr>
            </w:pPr>
          </w:p>
        </w:tc>
        <w:tc>
          <w:tcPr>
            <w:tcW w:w="1005" w:type="pct"/>
            <w:vMerge/>
            <w:tcBorders>
              <w:bottom w:val="single" w:sz="4" w:space="0" w:color="808080" w:themeColor="background1" w:themeShade="80"/>
            </w:tcBorders>
            <w:vAlign w:val="center"/>
          </w:tcPr>
          <w:p w14:paraId="52A20177" w14:textId="77777777" w:rsidR="000D6259" w:rsidRPr="00E01239" w:rsidRDefault="000D6259" w:rsidP="000C38B8">
            <w:pPr>
              <w:rPr>
                <w:rFonts w:asciiTheme="minorHAnsi" w:hAnsiTheme="minorHAnsi" w:cstheme="minorHAnsi"/>
                <w:sz w:val="20"/>
                <w:szCs w:val="20"/>
              </w:rPr>
            </w:pPr>
          </w:p>
        </w:tc>
        <w:tc>
          <w:tcPr>
            <w:tcW w:w="3175" w:type="pct"/>
            <w:tcBorders>
              <w:bottom w:val="single" w:sz="4" w:space="0" w:color="808080" w:themeColor="background1" w:themeShade="80"/>
            </w:tcBorders>
            <w:vAlign w:val="center"/>
          </w:tcPr>
          <w:p w14:paraId="2C1F24B9" w14:textId="77777777" w:rsidR="000D6259" w:rsidRPr="00E01239" w:rsidRDefault="000D6259"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Améliorer la réserve alimentaire régionale et communautaire</w:t>
            </w:r>
          </w:p>
          <w:p w14:paraId="41D095AA"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Participation aux réunions régionales de la réserve alimentaire</w:t>
            </w:r>
          </w:p>
          <w:p w14:paraId="7A0A6708"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Analyse de la situation des stocks de sécurité alimentaire au niveau national</w:t>
            </w:r>
          </w:p>
          <w:p w14:paraId="7C1F9AA9"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Actualiser le plan d'action national au niveau national</w:t>
            </w:r>
          </w:p>
          <w:p w14:paraId="637D2FDE"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Atelier de validation au niveau national</w:t>
            </w:r>
          </w:p>
          <w:p w14:paraId="54A235D5" w14:textId="77777777" w:rsidR="000D6259" w:rsidRPr="00E01239" w:rsidRDefault="000D6259"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au renforcement du système des BCV au niveau local / communautaire</w:t>
            </w:r>
          </w:p>
        </w:tc>
      </w:tr>
      <w:tr w:rsidR="00E43FD2" w:rsidRPr="00E01239" w14:paraId="7E76B694" w14:textId="77777777" w:rsidTr="00202CE9">
        <w:trPr>
          <w:trHeight w:val="699"/>
          <w:jc w:val="center"/>
        </w:trPr>
        <w:tc>
          <w:tcPr>
            <w:tcW w:w="820" w:type="pct"/>
            <w:vMerge/>
            <w:vAlign w:val="center"/>
          </w:tcPr>
          <w:p w14:paraId="6FD0469C" w14:textId="77777777" w:rsidR="00E43FD2" w:rsidRPr="00E01239" w:rsidRDefault="00E43FD2" w:rsidP="000C38B8">
            <w:pPr>
              <w:rPr>
                <w:rFonts w:asciiTheme="minorHAnsi" w:hAnsiTheme="minorHAnsi" w:cstheme="minorHAnsi"/>
                <w:sz w:val="20"/>
                <w:szCs w:val="20"/>
              </w:rPr>
            </w:pPr>
          </w:p>
        </w:tc>
        <w:tc>
          <w:tcPr>
            <w:tcW w:w="1005" w:type="pct"/>
            <w:vMerge w:val="restart"/>
            <w:vAlign w:val="center"/>
          </w:tcPr>
          <w:p w14:paraId="2431D492" w14:textId="7D5E82EE" w:rsidR="00E43FD2" w:rsidRPr="00E01239" w:rsidRDefault="00E43FD2" w:rsidP="000C38B8">
            <w:pPr>
              <w:rPr>
                <w:rFonts w:asciiTheme="minorHAnsi" w:hAnsiTheme="minorHAnsi" w:cstheme="minorHAnsi"/>
                <w:sz w:val="20"/>
                <w:szCs w:val="20"/>
              </w:rPr>
            </w:pPr>
            <w:r w:rsidRPr="00E01239">
              <w:rPr>
                <w:rFonts w:asciiTheme="minorHAnsi" w:hAnsiTheme="minorHAnsi" w:cstheme="minorHAnsi"/>
                <w:sz w:val="20"/>
                <w:szCs w:val="20"/>
              </w:rPr>
              <w:t>Sous-composante 3.2 : Soutenir le développement des chaînes de valeur stratégiques et régionales (161,30 millions USD)</w:t>
            </w:r>
          </w:p>
        </w:tc>
        <w:tc>
          <w:tcPr>
            <w:tcW w:w="3175" w:type="pct"/>
            <w:vAlign w:val="center"/>
          </w:tcPr>
          <w:p w14:paraId="26B4AF4B"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Renforcer l'organisation et le financement de la chaîne de valeur</w:t>
            </w:r>
          </w:p>
          <w:p w14:paraId="7CB5AA4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Etude et contrôle des travaux de construction des magasins</w:t>
            </w:r>
          </w:p>
          <w:p w14:paraId="60537F46"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Sensibilisation sur les mécanismes SRE</w:t>
            </w:r>
          </w:p>
          <w:p w14:paraId="7E4693E4"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Organisation de pilotes SRE pour les céréales sèches</w:t>
            </w:r>
          </w:p>
          <w:p w14:paraId="74A48E82"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Accompagnement et encadrement des producteurs de semences</w:t>
            </w:r>
          </w:p>
          <w:p w14:paraId="67FBF4A8"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à la structuration des filières céréalières (mil, sorgho et maïs)</w:t>
            </w:r>
          </w:p>
          <w:p w14:paraId="47E5AC5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au système de contrôle et de certification des semences</w:t>
            </w:r>
          </w:p>
          <w:p w14:paraId="51127C19"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de facilitateurs en CEP</w:t>
            </w:r>
          </w:p>
          <w:p w14:paraId="4D2F9EC7"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de relais Producteurs en CEP</w:t>
            </w:r>
          </w:p>
          <w:p w14:paraId="36EB0E0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des producteurs sur les Bonnes Pratiques Agricoles dans les Champs-écoles-producteurs (CEP)</w:t>
            </w:r>
          </w:p>
          <w:p w14:paraId="72855B22"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Étude diagnostique des plateformes CCASA installées</w:t>
            </w:r>
          </w:p>
          <w:p w14:paraId="01062396"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des capacités des acteurs de la plateforme CCASA</w:t>
            </w:r>
          </w:p>
          <w:p w14:paraId="638FEB4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Installation des plateformes CCASA dans tous les départements de la zone d'intervention du Projet atténuation-adaptation</w:t>
            </w:r>
          </w:p>
          <w:p w14:paraId="234144E8"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Formation des producteurs dans le cadre CCASA sur les techniques d'adaptation et d'atténuation </w:t>
            </w:r>
          </w:p>
          <w:p w14:paraId="19FD35E0"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Mise en place de parcelles de démonstration sur les innovations technologiques</w:t>
            </w:r>
          </w:p>
          <w:p w14:paraId="220891B1"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Diffusion à grande échelle des nouvelles variétés productives et climato intelligentes</w:t>
            </w:r>
          </w:p>
          <w:p w14:paraId="3DC9F96F"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des OPF/OPB de la plateforme CCASA sur les techniques de l'Agriculture intelligente face au climat</w:t>
            </w:r>
          </w:p>
          <w:p w14:paraId="0872F1C4"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Renforcer les capacités des producteurs sur l'utilisation des engrais organiques par la valorisation des résidus de récolte BRAFS/DA</w:t>
            </w:r>
          </w:p>
          <w:p w14:paraId="3CB1A8E5"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à la production communautaire de semences certifiées adaptées aux CC</w:t>
            </w:r>
          </w:p>
          <w:p w14:paraId="06A937FB"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et éducation financière, élaboration de business plan</w:t>
            </w:r>
          </w:p>
          <w:p w14:paraId="24D5430B"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Étude sur la dynamique organisationnelle des OPF/OPB</w:t>
            </w:r>
          </w:p>
          <w:p w14:paraId="2479D2F1"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lastRenderedPageBreak/>
              <w:t>Accompagnement des OPF/OPB pour des activités de négociations et d'intermédiation par DA/DFAI</w:t>
            </w:r>
          </w:p>
          <w:p w14:paraId="709E282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 capacités des OPF</w:t>
            </w:r>
          </w:p>
        </w:tc>
      </w:tr>
      <w:tr w:rsidR="00E43FD2" w:rsidRPr="00E01239" w14:paraId="0C9C9810" w14:textId="77777777" w:rsidTr="00263B8A">
        <w:trPr>
          <w:trHeight w:val="851"/>
          <w:jc w:val="center"/>
        </w:trPr>
        <w:tc>
          <w:tcPr>
            <w:tcW w:w="820" w:type="pct"/>
            <w:vMerge/>
            <w:vAlign w:val="center"/>
          </w:tcPr>
          <w:p w14:paraId="2B475350"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6A53EE2A" w14:textId="77777777" w:rsidR="00E43FD2" w:rsidRPr="00E01239" w:rsidRDefault="00E43FD2" w:rsidP="000C38B8">
            <w:pPr>
              <w:rPr>
                <w:rFonts w:asciiTheme="minorHAnsi" w:hAnsiTheme="minorHAnsi" w:cstheme="minorHAnsi"/>
                <w:sz w:val="20"/>
                <w:szCs w:val="20"/>
              </w:rPr>
            </w:pPr>
          </w:p>
        </w:tc>
        <w:tc>
          <w:tcPr>
            <w:tcW w:w="3175" w:type="pct"/>
            <w:vAlign w:val="center"/>
          </w:tcPr>
          <w:p w14:paraId="30E4B3C0"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Mise à niveau des laboratoires de certification</w:t>
            </w:r>
          </w:p>
          <w:p w14:paraId="50D09534"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Construction (ou réfection) de 5 laboratoires régionaux de contrôle des semences (différentes localités à préciser).</w:t>
            </w:r>
          </w:p>
          <w:p w14:paraId="6CF8DE87"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Construction (ou réfection) de 2 CTS modernes (Kaffrine et Fatick).</w:t>
            </w:r>
          </w:p>
          <w:p w14:paraId="227DDDCD"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Mise en place d'une unité de production d'étiquettes de certification des semences (dans la région de Dakar sur le site de la Direction de l’Agriculture).</w:t>
            </w:r>
          </w:p>
          <w:p w14:paraId="51B2C595"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Réfection et équipement du laboratoire national (situé dans la région de Dakar sur le site de la Direction de l’Agriculture)</w:t>
            </w:r>
          </w:p>
          <w:p w14:paraId="5252C33D"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Soutenir la compétitivité de l'agriculture et l'accès aux infrastructures</w:t>
            </w:r>
          </w:p>
          <w:p w14:paraId="4C18DA65"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Suivi et contrôle conjoint de production semencière</w:t>
            </w:r>
          </w:p>
          <w:p w14:paraId="707F295C"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Digitalisation du contrôle et de la certification des semences</w:t>
            </w:r>
          </w:p>
          <w:p w14:paraId="59629200"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 capacités des laborantins semenciers et des échantillonneurs des lots de semences</w:t>
            </w:r>
          </w:p>
          <w:p w14:paraId="3587F346"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sur l'agréage qualité et les opérations post récoltes</w:t>
            </w:r>
          </w:p>
          <w:p w14:paraId="3B8CA62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Equipement des centres de groupage des céréales pour l'agréage qualité</w:t>
            </w:r>
          </w:p>
          <w:p w14:paraId="1DCE6129"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sur les normes d'hygiène et de conditionnement des produits transformés</w:t>
            </w:r>
          </w:p>
          <w:p w14:paraId="1172309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et accompagnement sur des activités culinaires et formation à la nutrition</w:t>
            </w:r>
          </w:p>
          <w:p w14:paraId="64BE203D"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Évaluation des magasins de stockage des intrants et des produits céréaliers de la Sécurité alimentaire </w:t>
            </w:r>
          </w:p>
          <w:p w14:paraId="6CE79DC6"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Promotion d’Unité industrielle en rapport avec les Agropoles</w:t>
            </w:r>
            <w:r w:rsidRPr="00E01239">
              <w:rPr>
                <w:rFonts w:asciiTheme="minorHAnsi" w:hAnsiTheme="minorHAnsi" w:cstheme="minorHAnsi"/>
                <w:sz w:val="20"/>
                <w:szCs w:val="20"/>
              </w:rPr>
              <w:t> </w:t>
            </w:r>
          </w:p>
        </w:tc>
      </w:tr>
      <w:tr w:rsidR="00E43FD2" w:rsidRPr="00E01239" w14:paraId="38DC2DDC" w14:textId="77777777" w:rsidTr="00263B8A">
        <w:trPr>
          <w:trHeight w:val="510"/>
          <w:jc w:val="center"/>
        </w:trPr>
        <w:tc>
          <w:tcPr>
            <w:tcW w:w="820" w:type="pct"/>
            <w:vMerge/>
            <w:vAlign w:val="center"/>
          </w:tcPr>
          <w:p w14:paraId="6E825D46"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1A4140DD" w14:textId="77777777" w:rsidR="00E43FD2" w:rsidRPr="00E01239" w:rsidRDefault="00E43FD2" w:rsidP="000C38B8">
            <w:pPr>
              <w:rPr>
                <w:rFonts w:asciiTheme="minorHAnsi" w:hAnsiTheme="minorHAnsi" w:cstheme="minorHAnsi"/>
                <w:sz w:val="20"/>
                <w:szCs w:val="20"/>
              </w:rPr>
            </w:pPr>
          </w:p>
        </w:tc>
        <w:tc>
          <w:tcPr>
            <w:tcW w:w="3175" w:type="pct"/>
            <w:vAlign w:val="center"/>
          </w:tcPr>
          <w:p w14:paraId="546230A1"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Renforcer la coordination multi-acteurs et promouvoir un environnement favorable au secteur privé</w:t>
            </w:r>
          </w:p>
          <w:p w14:paraId="55F0823A"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Mettre en place un cadre et une plateforme agro-industriel DFAI/DA </w:t>
            </w:r>
          </w:p>
          <w:p w14:paraId="06C0E0F0"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Réalisation des Diagnostics Institutionnels Participatifs (DIP) </w:t>
            </w:r>
          </w:p>
          <w:p w14:paraId="3081FFF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Assistance technique des agents économiques (renforcement de capacité, formalisation, labélisation etc.) </w:t>
            </w:r>
          </w:p>
          <w:p w14:paraId="0644DFED"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Appui à l'autonomisation et la professionnalisation des OPB création de Sociétés coopératives </w:t>
            </w:r>
          </w:p>
          <w:p w14:paraId="1B4F47FD"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Sous-projets de petite taille (y compris ceux porteurs d'innovation) </w:t>
            </w:r>
          </w:p>
          <w:p w14:paraId="4B8973ED"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Sous-projets de moyenne taille (y compris ceux porteurs d'innovation) </w:t>
            </w:r>
          </w:p>
          <w:p w14:paraId="73311BB8"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Sous-projets de grande taille </w:t>
            </w:r>
          </w:p>
          <w:p w14:paraId="3E014CC4"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lastRenderedPageBreak/>
              <w:t xml:space="preserve">Mise en relation avec les services Financiers  </w:t>
            </w:r>
          </w:p>
          <w:p w14:paraId="52EADCD5"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Mise en relation et contractualisation OP/OM et des grands réseaux de distribution et SRE et transformateurs </w:t>
            </w:r>
          </w:p>
          <w:p w14:paraId="1726CB39"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Information sur la disponibilité des stocks, le prix et suivi contractuel (plateforme de commercialisation)</w:t>
            </w:r>
          </w:p>
          <w:p w14:paraId="464EF624"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Déploiement de la plateforme digitale de commercialisation </w:t>
            </w:r>
            <w:proofErr w:type="spellStart"/>
            <w:r w:rsidRPr="00E01239">
              <w:rPr>
                <w:rFonts w:asciiTheme="minorHAnsi" w:hAnsiTheme="minorHAnsi" w:cstheme="minorHAnsi"/>
                <w:iCs/>
                <w:sz w:val="20"/>
                <w:szCs w:val="20"/>
              </w:rPr>
              <w:t>Senlouma</w:t>
            </w:r>
            <w:proofErr w:type="spellEnd"/>
            <w:r w:rsidRPr="00E01239">
              <w:rPr>
                <w:rFonts w:asciiTheme="minorHAnsi" w:hAnsiTheme="minorHAnsi" w:cstheme="minorHAnsi"/>
                <w:iCs/>
                <w:sz w:val="20"/>
                <w:szCs w:val="20"/>
              </w:rPr>
              <w:t xml:space="preserve"> </w:t>
            </w:r>
          </w:p>
          <w:p w14:paraId="5E4591E7"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Etude diagnostique sur le répertoire BCV sur les réserves communautaires à l'échelle nationale </w:t>
            </w:r>
          </w:p>
          <w:p w14:paraId="2DFB280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Création d'un observatoire sur les réserves communautaires (BCV) et régionales</w:t>
            </w:r>
          </w:p>
          <w:p w14:paraId="173C7276"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Renforcer le mécanisme de régulation du marché</w:t>
            </w:r>
          </w:p>
          <w:p w14:paraId="04FFD66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Appui à la mise en place d'une plateforme d'innovation sur la filière banane, oignons et pommes de terre </w:t>
            </w:r>
          </w:p>
          <w:p w14:paraId="65D04C4F"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Appuyer à la mise en place de système coopérative  </w:t>
            </w:r>
          </w:p>
          <w:p w14:paraId="030C6352"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Préparation et suivi des plans d'affaires (sous-projets) </w:t>
            </w:r>
          </w:p>
          <w:p w14:paraId="0D4AF47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Faciliter la contractualisation entre OP et OM </w:t>
            </w:r>
          </w:p>
          <w:p w14:paraId="0F9245F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Structuration de l'interprofessions </w:t>
            </w:r>
          </w:p>
          <w:p w14:paraId="7993DEED"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Promotion des produits horticoles</w:t>
            </w:r>
          </w:p>
        </w:tc>
      </w:tr>
      <w:tr w:rsidR="00E43FD2" w:rsidRPr="00E01239" w14:paraId="665CBE0F" w14:textId="77777777" w:rsidTr="000C38B8">
        <w:trPr>
          <w:trHeight w:val="1124"/>
          <w:jc w:val="center"/>
        </w:trPr>
        <w:tc>
          <w:tcPr>
            <w:tcW w:w="820" w:type="pct"/>
            <w:vMerge/>
            <w:vAlign w:val="center"/>
          </w:tcPr>
          <w:p w14:paraId="71D8279C"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0C7491F2" w14:textId="77777777" w:rsidR="00E43FD2" w:rsidRPr="00E01239" w:rsidRDefault="00E43FD2" w:rsidP="000C38B8">
            <w:pPr>
              <w:rPr>
                <w:rFonts w:asciiTheme="minorHAnsi" w:hAnsiTheme="minorHAnsi" w:cstheme="minorHAnsi"/>
                <w:sz w:val="20"/>
                <w:szCs w:val="20"/>
              </w:rPr>
            </w:pPr>
          </w:p>
        </w:tc>
        <w:tc>
          <w:tcPr>
            <w:tcW w:w="3175" w:type="pct"/>
            <w:vAlign w:val="center"/>
          </w:tcPr>
          <w:p w14:paraId="6F0FB792"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Appui à la production horticole</w:t>
            </w:r>
          </w:p>
          <w:p w14:paraId="490240E4"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Réalisation d’un diagnostic sur la filière semencière horticole</w:t>
            </w:r>
          </w:p>
          <w:p w14:paraId="7680578C"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 capacités et assistance technique aux semenciers agrées</w:t>
            </w:r>
          </w:p>
          <w:p w14:paraId="34AB8534"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à la formulation et la mise en œuvre des sous-projets</w:t>
            </w:r>
          </w:p>
          <w:p w14:paraId="3321F2BC"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à la mise en place des CEP</w:t>
            </w:r>
          </w:p>
          <w:p w14:paraId="3869DDC7"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Equipements pour les démonstrations</w:t>
            </w:r>
          </w:p>
          <w:p w14:paraId="506E0012"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Suivi des CEP</w:t>
            </w:r>
          </w:p>
          <w:p w14:paraId="27059825"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 capacités</w:t>
            </w:r>
          </w:p>
          <w:p w14:paraId="1CAA829C"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Champs écoles paysannes avec démonstration</w:t>
            </w:r>
          </w:p>
          <w:p w14:paraId="546152D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Gestion des savoirs</w:t>
            </w:r>
          </w:p>
          <w:p w14:paraId="34B4F154" w14:textId="1EED7369"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Financement des sous-projets de petite </w:t>
            </w:r>
            <w:proofErr w:type="gramStart"/>
            <w:r w:rsidRPr="00E01239">
              <w:rPr>
                <w:rFonts w:asciiTheme="minorHAnsi" w:hAnsiTheme="minorHAnsi" w:cstheme="minorHAnsi"/>
                <w:iCs/>
                <w:sz w:val="20"/>
                <w:szCs w:val="20"/>
              </w:rPr>
              <w:t>taille,  porteurs</w:t>
            </w:r>
            <w:proofErr w:type="gramEnd"/>
            <w:r w:rsidRPr="00E01239">
              <w:rPr>
                <w:rFonts w:asciiTheme="minorHAnsi" w:hAnsiTheme="minorHAnsi" w:cstheme="minorHAnsi"/>
                <w:iCs/>
                <w:sz w:val="20"/>
                <w:szCs w:val="20"/>
              </w:rPr>
              <w:t xml:space="preserve"> d'innovation, de moyenne taille (y compris ceux porteurs d'innovation) et de grande taille</w:t>
            </w:r>
          </w:p>
          <w:p w14:paraId="1C9B05D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Appui à la formulation de sous-projets </w:t>
            </w:r>
          </w:p>
          <w:p w14:paraId="023B2F1F"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Assistance technique des agents économiques (renforcement de capacités, formalisation, labélisation…)</w:t>
            </w:r>
          </w:p>
          <w:p w14:paraId="338B65F8"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Assistance technique pour la conception et le suivi des pilotes</w:t>
            </w:r>
          </w:p>
          <w:p w14:paraId="05D3AD4C"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lastRenderedPageBreak/>
              <w:t>Assistance technique (renforcement de capacités, formalisation, labélisation…)</w:t>
            </w:r>
          </w:p>
          <w:p w14:paraId="24ABEAB1"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Appuyer l’accès à l’assurance agricole</w:t>
            </w:r>
          </w:p>
          <w:p w14:paraId="725756F9"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Appuyer la production et la diffusion de normes d'entrepôts et de stockage</w:t>
            </w:r>
          </w:p>
          <w:p w14:paraId="1BB08406"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Organisation de programmes pilotes SRE</w:t>
            </w:r>
          </w:p>
          <w:p w14:paraId="5DC58D81"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Information et sensibilisation des acteurs </w:t>
            </w:r>
          </w:p>
          <w:p w14:paraId="7ED277F5"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Séances de formation sur les techniques de stockage et de conservation </w:t>
            </w:r>
          </w:p>
          <w:p w14:paraId="6B50F9FF"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Organisation d'atelier B2B </w:t>
            </w:r>
          </w:p>
          <w:p w14:paraId="1C939F8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Séances de formation</w:t>
            </w:r>
          </w:p>
        </w:tc>
      </w:tr>
      <w:tr w:rsidR="00E43FD2" w:rsidRPr="00E01239" w14:paraId="7632B4CA" w14:textId="77777777" w:rsidTr="00263B8A">
        <w:trPr>
          <w:trHeight w:val="454"/>
          <w:jc w:val="center"/>
        </w:trPr>
        <w:tc>
          <w:tcPr>
            <w:tcW w:w="820" w:type="pct"/>
            <w:vMerge/>
            <w:vAlign w:val="center"/>
          </w:tcPr>
          <w:p w14:paraId="0EF43D7D"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4AE79770" w14:textId="77777777" w:rsidR="00E43FD2" w:rsidRPr="00E01239" w:rsidRDefault="00E43FD2" w:rsidP="000C38B8">
            <w:pPr>
              <w:rPr>
                <w:rFonts w:asciiTheme="minorHAnsi" w:hAnsiTheme="minorHAnsi" w:cstheme="minorHAnsi"/>
                <w:sz w:val="20"/>
                <w:szCs w:val="20"/>
              </w:rPr>
            </w:pPr>
          </w:p>
        </w:tc>
        <w:tc>
          <w:tcPr>
            <w:tcW w:w="3175" w:type="pct"/>
            <w:vAlign w:val="center"/>
          </w:tcPr>
          <w:p w14:paraId="31A971EA"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Gouvernance du sous-secteur horticole</w:t>
            </w:r>
          </w:p>
          <w:p w14:paraId="4C83E9C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Mise en place d'un système permanent de statistiques horticoles  </w:t>
            </w:r>
          </w:p>
          <w:p w14:paraId="7BABA9D0"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Suivi des campagnes, mise à jour et production permanente de données statistiques (contre saison froide, contre saison chaude et hivernage) </w:t>
            </w:r>
          </w:p>
          <w:p w14:paraId="039E97D0"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institutionnel à la DHORT</w:t>
            </w:r>
          </w:p>
        </w:tc>
      </w:tr>
      <w:tr w:rsidR="00E43FD2" w:rsidRPr="00E01239" w14:paraId="34CBE163" w14:textId="77777777" w:rsidTr="000C38B8">
        <w:trPr>
          <w:trHeight w:val="1124"/>
          <w:jc w:val="center"/>
        </w:trPr>
        <w:tc>
          <w:tcPr>
            <w:tcW w:w="820" w:type="pct"/>
            <w:vMerge/>
            <w:vAlign w:val="center"/>
          </w:tcPr>
          <w:p w14:paraId="124EAC5C"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6F370C60" w14:textId="77777777" w:rsidR="00E43FD2" w:rsidRPr="00E01239" w:rsidRDefault="00E43FD2" w:rsidP="000C38B8">
            <w:pPr>
              <w:rPr>
                <w:rFonts w:asciiTheme="minorHAnsi" w:hAnsiTheme="minorHAnsi" w:cstheme="minorHAnsi"/>
                <w:sz w:val="20"/>
                <w:szCs w:val="20"/>
              </w:rPr>
            </w:pPr>
          </w:p>
        </w:tc>
        <w:tc>
          <w:tcPr>
            <w:tcW w:w="3175" w:type="pct"/>
            <w:vAlign w:val="center"/>
          </w:tcPr>
          <w:p w14:paraId="2DE2BF9A"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Financement de sous-projets économiques dans les différents maillons des chaines de valeur animales</w:t>
            </w:r>
          </w:p>
          <w:p w14:paraId="6EDD532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Sous-projets de petite taille (y compris ceux porteurs d'innovation) </w:t>
            </w:r>
          </w:p>
          <w:p w14:paraId="3BCCFC8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Sous-projets de moyenne taille (y compris ceux porteurs d'innovation) </w:t>
            </w:r>
          </w:p>
          <w:p w14:paraId="42019C57"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Sous-projets de grande taille </w:t>
            </w:r>
          </w:p>
          <w:p w14:paraId="52D79DC1"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Assistance technique</w:t>
            </w:r>
          </w:p>
        </w:tc>
      </w:tr>
      <w:tr w:rsidR="00E43FD2" w:rsidRPr="00E01239" w14:paraId="42959E81" w14:textId="77777777" w:rsidTr="000C38B8">
        <w:trPr>
          <w:trHeight w:val="1124"/>
          <w:jc w:val="center"/>
        </w:trPr>
        <w:tc>
          <w:tcPr>
            <w:tcW w:w="820" w:type="pct"/>
            <w:vMerge/>
            <w:vAlign w:val="center"/>
          </w:tcPr>
          <w:p w14:paraId="0C925880"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6559EF8E" w14:textId="77777777" w:rsidR="00E43FD2" w:rsidRPr="00E01239" w:rsidRDefault="00E43FD2" w:rsidP="000C38B8">
            <w:pPr>
              <w:rPr>
                <w:rFonts w:asciiTheme="minorHAnsi" w:hAnsiTheme="minorHAnsi" w:cstheme="minorHAnsi"/>
                <w:sz w:val="20"/>
                <w:szCs w:val="20"/>
              </w:rPr>
            </w:pPr>
          </w:p>
        </w:tc>
        <w:tc>
          <w:tcPr>
            <w:tcW w:w="3175" w:type="pct"/>
            <w:vAlign w:val="center"/>
          </w:tcPr>
          <w:p w14:paraId="4647F83F"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Appui à la structuration des organisations professionnelles du secteur de l’élevage </w:t>
            </w:r>
          </w:p>
          <w:p w14:paraId="520B64AC"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Appui à la structuration de la filière bétail viande </w:t>
            </w:r>
          </w:p>
          <w:p w14:paraId="1A2207E2"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Appui à la mise en place de l'interprofession lait </w:t>
            </w:r>
          </w:p>
          <w:p w14:paraId="26952412"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de l'interprofession avicole</w:t>
            </w:r>
          </w:p>
        </w:tc>
      </w:tr>
      <w:tr w:rsidR="00E43FD2" w:rsidRPr="00E01239" w14:paraId="4E382F69" w14:textId="77777777" w:rsidTr="00A1305E">
        <w:trPr>
          <w:trHeight w:val="558"/>
          <w:jc w:val="center"/>
        </w:trPr>
        <w:tc>
          <w:tcPr>
            <w:tcW w:w="820" w:type="pct"/>
            <w:vMerge/>
            <w:vAlign w:val="center"/>
          </w:tcPr>
          <w:p w14:paraId="00EE9E26"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5D35BEC4" w14:textId="77777777" w:rsidR="00E43FD2" w:rsidRPr="00E01239" w:rsidRDefault="00E43FD2" w:rsidP="000C38B8">
            <w:pPr>
              <w:rPr>
                <w:rFonts w:asciiTheme="minorHAnsi" w:hAnsiTheme="minorHAnsi" w:cstheme="minorHAnsi"/>
                <w:sz w:val="20"/>
                <w:szCs w:val="20"/>
              </w:rPr>
            </w:pPr>
          </w:p>
        </w:tc>
        <w:tc>
          <w:tcPr>
            <w:tcW w:w="3175" w:type="pct"/>
            <w:vAlign w:val="center"/>
          </w:tcPr>
          <w:p w14:paraId="71E4506D"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Renforcement des capacités techniques des acteurs des filières de l’élevage</w:t>
            </w:r>
          </w:p>
          <w:p w14:paraId="5EEE4820"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des techniciens d'appui-conseils publics et privés sur la santé animale et l'insémination artificielle</w:t>
            </w:r>
          </w:p>
          <w:p w14:paraId="7651EE6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des producteurs sur les cultures fourragères, l'alimentation et la gestion de reproduction</w:t>
            </w:r>
          </w:p>
          <w:p w14:paraId="4034E700"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sur les bonnes pratiques de transformation laitière et de diversification des produits laitiers</w:t>
            </w:r>
          </w:p>
          <w:p w14:paraId="488EBA59"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des bouchers sur les bonnes pratiques d'hygiène dans la transformation et la distribution des viandes</w:t>
            </w:r>
          </w:p>
          <w:p w14:paraId="268FCFE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lastRenderedPageBreak/>
              <w:t>Formation des aviculteurs/</w:t>
            </w:r>
            <w:proofErr w:type="spellStart"/>
            <w:r w:rsidRPr="00E01239">
              <w:rPr>
                <w:rFonts w:asciiTheme="minorHAnsi" w:hAnsiTheme="minorHAnsi" w:cstheme="minorHAnsi"/>
                <w:iCs/>
                <w:sz w:val="20"/>
                <w:szCs w:val="20"/>
              </w:rPr>
              <w:t>trices</w:t>
            </w:r>
            <w:proofErr w:type="spellEnd"/>
            <w:r w:rsidRPr="00E01239">
              <w:rPr>
                <w:rFonts w:asciiTheme="minorHAnsi" w:hAnsiTheme="minorHAnsi" w:cstheme="minorHAnsi"/>
                <w:iCs/>
                <w:sz w:val="20"/>
                <w:szCs w:val="20"/>
              </w:rPr>
              <w:t xml:space="preserve"> sur les bonnes pratiques d'élevage et sur la fabrication des aliments</w:t>
            </w:r>
          </w:p>
          <w:p w14:paraId="7626EBFD" w14:textId="57384530"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Formation des pisciculteurs sur les bonnes pratiques de production et sur la fabrication d'aliments</w:t>
            </w:r>
          </w:p>
        </w:tc>
      </w:tr>
      <w:tr w:rsidR="00E43FD2" w:rsidRPr="00E01239" w14:paraId="2ADB4BF2" w14:textId="77777777" w:rsidTr="000C38B8">
        <w:trPr>
          <w:trHeight w:val="855"/>
          <w:jc w:val="center"/>
        </w:trPr>
        <w:tc>
          <w:tcPr>
            <w:tcW w:w="820" w:type="pct"/>
            <w:vMerge/>
            <w:vAlign w:val="center"/>
          </w:tcPr>
          <w:p w14:paraId="5C7FBB90"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2B4B7D26" w14:textId="77777777" w:rsidR="00E43FD2" w:rsidRPr="00E01239" w:rsidRDefault="00E43FD2" w:rsidP="000C38B8">
            <w:pPr>
              <w:rPr>
                <w:rFonts w:asciiTheme="minorHAnsi" w:hAnsiTheme="minorHAnsi" w:cstheme="minorHAnsi"/>
                <w:sz w:val="20"/>
                <w:szCs w:val="20"/>
              </w:rPr>
            </w:pPr>
          </w:p>
        </w:tc>
        <w:tc>
          <w:tcPr>
            <w:tcW w:w="3175" w:type="pct"/>
            <w:vAlign w:val="center"/>
          </w:tcPr>
          <w:p w14:paraId="0A0CDB9F"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Renforcement de la fourniture de services de vaccination (MEPA)</w:t>
            </w:r>
          </w:p>
          <w:p w14:paraId="2A521ACF"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Construction de 100 parcs à vaccination dans différentes localités à préciser ultérieurement.</w:t>
            </w:r>
          </w:p>
        </w:tc>
      </w:tr>
      <w:tr w:rsidR="00E43FD2" w:rsidRPr="00E01239" w14:paraId="58290168" w14:textId="77777777" w:rsidTr="000C38B8">
        <w:trPr>
          <w:trHeight w:val="1124"/>
          <w:jc w:val="center"/>
        </w:trPr>
        <w:tc>
          <w:tcPr>
            <w:tcW w:w="820" w:type="pct"/>
            <w:vMerge/>
            <w:vAlign w:val="center"/>
          </w:tcPr>
          <w:p w14:paraId="39FD4719"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449D6F29" w14:textId="77777777" w:rsidR="00E43FD2" w:rsidRPr="00E01239" w:rsidRDefault="00E43FD2" w:rsidP="000C38B8">
            <w:pPr>
              <w:rPr>
                <w:rFonts w:asciiTheme="minorHAnsi" w:hAnsiTheme="minorHAnsi" w:cstheme="minorHAnsi"/>
                <w:sz w:val="20"/>
                <w:szCs w:val="20"/>
              </w:rPr>
            </w:pPr>
          </w:p>
        </w:tc>
        <w:tc>
          <w:tcPr>
            <w:tcW w:w="3175" w:type="pct"/>
            <w:vAlign w:val="center"/>
          </w:tcPr>
          <w:p w14:paraId="66BE5301"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Renforcement des capacités de contrôle des DAOA et des aliments pour animaux</w:t>
            </w:r>
          </w:p>
          <w:p w14:paraId="2E8348C6"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Revue des textes réglementaires sur les DAOA et aliments pour animaux</w:t>
            </w:r>
          </w:p>
          <w:p w14:paraId="7D8B8D9F"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Renforcement des capacités d’inspection des viandes </w:t>
            </w:r>
          </w:p>
          <w:p w14:paraId="6DC507B7"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Mise à jour des outils et procédures de contrôle aux abattoirs  </w:t>
            </w:r>
          </w:p>
          <w:p w14:paraId="3AC5FA88"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du contrôle des aliments pour animaux</w:t>
            </w:r>
          </w:p>
        </w:tc>
      </w:tr>
      <w:tr w:rsidR="00E43FD2" w:rsidRPr="00E01239" w14:paraId="38E6BD31" w14:textId="77777777" w:rsidTr="000C38B8">
        <w:trPr>
          <w:trHeight w:val="1357"/>
          <w:jc w:val="center"/>
        </w:trPr>
        <w:tc>
          <w:tcPr>
            <w:tcW w:w="820" w:type="pct"/>
            <w:vMerge/>
            <w:vAlign w:val="center"/>
          </w:tcPr>
          <w:p w14:paraId="3827CFFE"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6A631B9D" w14:textId="77777777" w:rsidR="00E43FD2" w:rsidRPr="00E01239" w:rsidRDefault="00E43FD2" w:rsidP="000C38B8">
            <w:pPr>
              <w:rPr>
                <w:rFonts w:asciiTheme="minorHAnsi" w:hAnsiTheme="minorHAnsi" w:cstheme="minorHAnsi"/>
                <w:sz w:val="20"/>
                <w:szCs w:val="20"/>
              </w:rPr>
            </w:pPr>
          </w:p>
        </w:tc>
        <w:tc>
          <w:tcPr>
            <w:tcW w:w="3175" w:type="pct"/>
            <w:vAlign w:val="center"/>
          </w:tcPr>
          <w:p w14:paraId="772735CA"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Mise aux normes de qualité et de biosécurité des locaux de production de vaccins (MEPA)</w:t>
            </w:r>
          </w:p>
          <w:p w14:paraId="36478BD5"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Installation d'une salle blanche de 30 m2</w:t>
            </w:r>
          </w:p>
          <w:p w14:paraId="71CC312F"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Travaux de réaménagement des locaux</w:t>
            </w:r>
          </w:p>
          <w:p w14:paraId="4187CADD"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Installation d'une unité de contrôle de qualité interne des vaccins </w:t>
            </w:r>
          </w:p>
          <w:p w14:paraId="117E649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Unité de conditionnement de vaccins</w:t>
            </w:r>
          </w:p>
        </w:tc>
      </w:tr>
      <w:tr w:rsidR="00E43FD2" w:rsidRPr="00E01239" w14:paraId="2C5FCADE" w14:textId="77777777" w:rsidTr="000C38B8">
        <w:trPr>
          <w:trHeight w:val="651"/>
          <w:jc w:val="center"/>
        </w:trPr>
        <w:tc>
          <w:tcPr>
            <w:tcW w:w="820" w:type="pct"/>
            <w:vMerge/>
            <w:vAlign w:val="center"/>
          </w:tcPr>
          <w:p w14:paraId="06F4D8B2"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7A29DA9C" w14:textId="77777777" w:rsidR="00E43FD2" w:rsidRPr="00E01239" w:rsidRDefault="00E43FD2" w:rsidP="000C38B8">
            <w:pPr>
              <w:rPr>
                <w:rFonts w:asciiTheme="minorHAnsi" w:hAnsiTheme="minorHAnsi" w:cstheme="minorHAnsi"/>
                <w:sz w:val="20"/>
                <w:szCs w:val="20"/>
              </w:rPr>
            </w:pPr>
          </w:p>
        </w:tc>
        <w:tc>
          <w:tcPr>
            <w:tcW w:w="3175" w:type="pct"/>
            <w:vAlign w:val="center"/>
          </w:tcPr>
          <w:p w14:paraId="32B48A7C"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Aménagement et restauration des territoires pastoraux (MEPA)</w:t>
            </w:r>
          </w:p>
          <w:p w14:paraId="53317B9B"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Création d’aires de mise en défens (2000 ha) dans les départements de Podor, Linguère, Koumpentoum.</w:t>
            </w:r>
          </w:p>
        </w:tc>
      </w:tr>
      <w:tr w:rsidR="00E43FD2" w:rsidRPr="00E01239" w14:paraId="691BA4FA" w14:textId="77777777" w:rsidTr="000C38B8">
        <w:trPr>
          <w:jc w:val="center"/>
        </w:trPr>
        <w:tc>
          <w:tcPr>
            <w:tcW w:w="820" w:type="pct"/>
            <w:vMerge/>
            <w:vAlign w:val="center"/>
          </w:tcPr>
          <w:p w14:paraId="71F66D27"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15C66E73" w14:textId="77777777" w:rsidR="00E43FD2" w:rsidRPr="00E01239" w:rsidRDefault="00E43FD2" w:rsidP="000C38B8">
            <w:pPr>
              <w:rPr>
                <w:rFonts w:asciiTheme="minorHAnsi" w:hAnsiTheme="minorHAnsi" w:cstheme="minorHAnsi"/>
                <w:sz w:val="20"/>
                <w:szCs w:val="20"/>
              </w:rPr>
            </w:pPr>
          </w:p>
        </w:tc>
        <w:tc>
          <w:tcPr>
            <w:tcW w:w="3175" w:type="pct"/>
            <w:vAlign w:val="center"/>
          </w:tcPr>
          <w:p w14:paraId="78880039"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Construction de deux (2) plateformes d’engraissement intensif de bovins dans </w:t>
            </w:r>
            <w:r w:rsidRPr="00E01239">
              <w:rPr>
                <w:rFonts w:asciiTheme="minorHAnsi" w:hAnsiTheme="minorHAnsi" w:cstheme="minorHAnsi"/>
                <w:sz w:val="20"/>
                <w:szCs w:val="20"/>
              </w:rPr>
              <w:t xml:space="preserve">les localités de Diourbel et </w:t>
            </w:r>
            <w:proofErr w:type="spellStart"/>
            <w:r w:rsidRPr="00E01239">
              <w:rPr>
                <w:rFonts w:asciiTheme="minorHAnsi" w:hAnsiTheme="minorHAnsi" w:cstheme="minorHAnsi"/>
                <w:sz w:val="20"/>
                <w:szCs w:val="20"/>
              </w:rPr>
              <w:t>Mékhé</w:t>
            </w:r>
            <w:proofErr w:type="spellEnd"/>
            <w:r w:rsidRPr="00E01239">
              <w:rPr>
                <w:rFonts w:asciiTheme="minorHAnsi" w:hAnsiTheme="minorHAnsi" w:cstheme="minorHAnsi"/>
                <w:sz w:val="20"/>
                <w:szCs w:val="20"/>
              </w:rPr>
              <w:t> </w:t>
            </w:r>
            <w:r w:rsidRPr="00E01239">
              <w:rPr>
                <w:rFonts w:asciiTheme="minorHAnsi" w:hAnsiTheme="minorHAnsi" w:cstheme="minorHAnsi"/>
                <w:iCs/>
                <w:sz w:val="20"/>
                <w:szCs w:val="20"/>
              </w:rPr>
              <w:t>(MEPA</w:t>
            </w:r>
            <w:proofErr w:type="gramStart"/>
            <w:r w:rsidRPr="00E01239">
              <w:rPr>
                <w:rFonts w:asciiTheme="minorHAnsi" w:hAnsiTheme="minorHAnsi" w:cstheme="minorHAnsi"/>
                <w:iCs/>
                <w:sz w:val="20"/>
                <w:szCs w:val="20"/>
              </w:rPr>
              <w:t>)</w:t>
            </w:r>
            <w:r w:rsidRPr="00E01239">
              <w:rPr>
                <w:rFonts w:asciiTheme="minorHAnsi" w:hAnsiTheme="minorHAnsi" w:cstheme="minorHAnsi"/>
                <w:sz w:val="20"/>
                <w:szCs w:val="20"/>
              </w:rPr>
              <w:t>:</w:t>
            </w:r>
            <w:proofErr w:type="gramEnd"/>
          </w:p>
          <w:p w14:paraId="147D91BB"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Aménagement et clôture du site (1 ha)</w:t>
            </w:r>
          </w:p>
          <w:p w14:paraId="304C72B3"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Construction d'étables, de magasin, de hangar et de locaux de service et gardiennage </w:t>
            </w:r>
          </w:p>
          <w:p w14:paraId="7FD9069A"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Equipement d'exploitation</w:t>
            </w:r>
          </w:p>
          <w:p w14:paraId="43DF5062"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Construction de mini-forage</w:t>
            </w:r>
          </w:p>
        </w:tc>
      </w:tr>
      <w:tr w:rsidR="00E43FD2" w:rsidRPr="00E01239" w14:paraId="767BA8E8" w14:textId="77777777" w:rsidTr="000C38B8">
        <w:trPr>
          <w:jc w:val="center"/>
        </w:trPr>
        <w:tc>
          <w:tcPr>
            <w:tcW w:w="820" w:type="pct"/>
            <w:vMerge/>
            <w:vAlign w:val="center"/>
          </w:tcPr>
          <w:p w14:paraId="649501CE"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437326C2" w14:textId="77777777" w:rsidR="00E43FD2" w:rsidRPr="00E01239" w:rsidRDefault="00E43FD2" w:rsidP="000C38B8">
            <w:pPr>
              <w:rPr>
                <w:rFonts w:asciiTheme="minorHAnsi" w:hAnsiTheme="minorHAnsi" w:cstheme="minorHAnsi"/>
                <w:sz w:val="20"/>
                <w:szCs w:val="20"/>
              </w:rPr>
            </w:pPr>
          </w:p>
        </w:tc>
        <w:tc>
          <w:tcPr>
            <w:tcW w:w="3175" w:type="pct"/>
            <w:vAlign w:val="center"/>
          </w:tcPr>
          <w:p w14:paraId="33A2C209"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Construction de trois (3) plateformes de production de porcs </w:t>
            </w:r>
            <w:r w:rsidRPr="00E01239">
              <w:rPr>
                <w:rFonts w:asciiTheme="minorHAnsi" w:hAnsiTheme="minorHAnsi" w:cstheme="minorHAnsi"/>
                <w:bCs/>
                <w:iCs/>
                <w:sz w:val="20"/>
                <w:szCs w:val="20"/>
              </w:rPr>
              <w:t xml:space="preserve">dans les départements de Ziguinchor, Mbour, et Fatick </w:t>
            </w:r>
            <w:r w:rsidRPr="00E01239">
              <w:rPr>
                <w:rFonts w:asciiTheme="minorHAnsi" w:hAnsiTheme="minorHAnsi" w:cstheme="minorHAnsi"/>
                <w:iCs/>
                <w:sz w:val="20"/>
                <w:szCs w:val="20"/>
              </w:rPr>
              <w:t>(MEPA)</w:t>
            </w:r>
          </w:p>
          <w:p w14:paraId="05FA99C8"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Aménagement et clôture du site (2500 m²)</w:t>
            </w:r>
          </w:p>
          <w:p w14:paraId="79EA3E35"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Construction de porcheries et de local de gardiennage </w:t>
            </w:r>
          </w:p>
          <w:p w14:paraId="2A616C12"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Equipement d'exploitation</w:t>
            </w:r>
          </w:p>
        </w:tc>
      </w:tr>
      <w:tr w:rsidR="00E43FD2" w:rsidRPr="00E01239" w14:paraId="1D23B836" w14:textId="77777777" w:rsidTr="000C38B8">
        <w:trPr>
          <w:jc w:val="center"/>
        </w:trPr>
        <w:tc>
          <w:tcPr>
            <w:tcW w:w="820" w:type="pct"/>
            <w:vMerge/>
            <w:vAlign w:val="center"/>
          </w:tcPr>
          <w:p w14:paraId="010BB93B"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39CDC41B" w14:textId="77777777" w:rsidR="00E43FD2" w:rsidRPr="00E01239" w:rsidRDefault="00E43FD2" w:rsidP="000C38B8">
            <w:pPr>
              <w:rPr>
                <w:rFonts w:asciiTheme="minorHAnsi" w:hAnsiTheme="minorHAnsi" w:cstheme="minorHAnsi"/>
                <w:sz w:val="20"/>
                <w:szCs w:val="20"/>
              </w:rPr>
            </w:pPr>
          </w:p>
        </w:tc>
        <w:tc>
          <w:tcPr>
            <w:tcW w:w="3175" w:type="pct"/>
            <w:vAlign w:val="center"/>
          </w:tcPr>
          <w:p w14:paraId="25E91814"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Renforcement des capacités d’intervention du MEPA</w:t>
            </w:r>
          </w:p>
          <w:p w14:paraId="7A4D7527"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lastRenderedPageBreak/>
              <w:t>Construction de 20 postes vétérinaires dans différentes localités à préciser ultérieurement.</w:t>
            </w:r>
          </w:p>
          <w:p w14:paraId="08945AB9"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Construction de 2 postes d'inspection frontaliers à </w:t>
            </w:r>
            <w:proofErr w:type="spellStart"/>
            <w:r w:rsidRPr="00E01239">
              <w:rPr>
                <w:rFonts w:asciiTheme="minorHAnsi" w:hAnsiTheme="minorHAnsi" w:cstheme="minorHAnsi"/>
                <w:iCs/>
                <w:sz w:val="20"/>
                <w:szCs w:val="20"/>
              </w:rPr>
              <w:t>Karang</w:t>
            </w:r>
            <w:proofErr w:type="spellEnd"/>
            <w:r w:rsidRPr="00E01239">
              <w:rPr>
                <w:rFonts w:asciiTheme="minorHAnsi" w:hAnsiTheme="minorHAnsi" w:cstheme="minorHAnsi"/>
                <w:iCs/>
                <w:sz w:val="20"/>
                <w:szCs w:val="20"/>
              </w:rPr>
              <w:t xml:space="preserve"> (frontière avec la Gambie) et Kidira (frontière avec le Mali)</w:t>
            </w:r>
          </w:p>
          <w:p w14:paraId="3E6920E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Acquisition de véhicules pick-up</w:t>
            </w:r>
          </w:p>
          <w:p w14:paraId="62212D5D"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Acquisition de motos</w:t>
            </w:r>
          </w:p>
          <w:p w14:paraId="2DD63FFF"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Renforcement moyens informatiques et bureautiques</w:t>
            </w:r>
          </w:p>
          <w:p w14:paraId="0F61F31B"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Renforcement du système de suivi évaluation </w:t>
            </w:r>
          </w:p>
          <w:p w14:paraId="3BB801A4"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Appui à la mise en œuvre du programme de formation du MEPA</w:t>
            </w:r>
          </w:p>
        </w:tc>
      </w:tr>
      <w:tr w:rsidR="00E43FD2" w:rsidRPr="00E01239" w14:paraId="3845F791" w14:textId="77777777" w:rsidTr="000C38B8">
        <w:trPr>
          <w:jc w:val="center"/>
        </w:trPr>
        <w:tc>
          <w:tcPr>
            <w:tcW w:w="820" w:type="pct"/>
            <w:vMerge/>
            <w:vAlign w:val="center"/>
          </w:tcPr>
          <w:p w14:paraId="7E5EBBF7"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135DF675" w14:textId="77777777" w:rsidR="00E43FD2" w:rsidRPr="00E01239" w:rsidRDefault="00E43FD2" w:rsidP="000C38B8">
            <w:pPr>
              <w:rPr>
                <w:rFonts w:asciiTheme="minorHAnsi" w:hAnsiTheme="minorHAnsi" w:cstheme="minorHAnsi"/>
                <w:sz w:val="20"/>
                <w:szCs w:val="20"/>
              </w:rPr>
            </w:pPr>
          </w:p>
        </w:tc>
        <w:tc>
          <w:tcPr>
            <w:tcW w:w="3175" w:type="pct"/>
            <w:vAlign w:val="center"/>
          </w:tcPr>
          <w:p w14:paraId="16C4A692"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Renforcement des capacités des </w:t>
            </w:r>
            <w:proofErr w:type="spellStart"/>
            <w:r w:rsidRPr="00E01239">
              <w:rPr>
                <w:rFonts w:asciiTheme="minorHAnsi" w:hAnsiTheme="minorHAnsi" w:cstheme="minorHAnsi"/>
                <w:iCs/>
                <w:sz w:val="20"/>
                <w:szCs w:val="20"/>
              </w:rPr>
              <w:t>CIMELs</w:t>
            </w:r>
            <w:proofErr w:type="spellEnd"/>
            <w:r w:rsidRPr="00E01239">
              <w:rPr>
                <w:rFonts w:asciiTheme="minorHAnsi" w:hAnsiTheme="minorHAnsi" w:cstheme="minorHAnsi"/>
                <w:iCs/>
                <w:sz w:val="20"/>
                <w:szCs w:val="20"/>
              </w:rPr>
              <w:t xml:space="preserve"> (MEPA)</w:t>
            </w:r>
          </w:p>
          <w:p w14:paraId="1136EE22"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Travaux de réhabilitation des 4 CIMELS (Mbao, </w:t>
            </w:r>
            <w:proofErr w:type="spellStart"/>
            <w:r w:rsidRPr="00E01239">
              <w:rPr>
                <w:rFonts w:asciiTheme="minorHAnsi" w:hAnsiTheme="minorHAnsi" w:cstheme="minorHAnsi"/>
                <w:iCs/>
                <w:sz w:val="20"/>
                <w:szCs w:val="20"/>
              </w:rPr>
              <w:t>Niakhar</w:t>
            </w:r>
            <w:proofErr w:type="spellEnd"/>
            <w:r w:rsidRPr="00E01239">
              <w:rPr>
                <w:rFonts w:asciiTheme="minorHAnsi" w:hAnsiTheme="minorHAnsi" w:cstheme="minorHAnsi"/>
                <w:iCs/>
                <w:sz w:val="20"/>
                <w:szCs w:val="20"/>
              </w:rPr>
              <w:t xml:space="preserve">, </w:t>
            </w:r>
            <w:proofErr w:type="spellStart"/>
            <w:r w:rsidRPr="00E01239">
              <w:rPr>
                <w:rFonts w:asciiTheme="minorHAnsi" w:hAnsiTheme="minorHAnsi" w:cstheme="minorHAnsi"/>
                <w:iCs/>
                <w:sz w:val="20"/>
                <w:szCs w:val="20"/>
              </w:rPr>
              <w:t>Makhana</w:t>
            </w:r>
            <w:proofErr w:type="spellEnd"/>
            <w:r w:rsidRPr="00E01239">
              <w:rPr>
                <w:rFonts w:asciiTheme="minorHAnsi" w:hAnsiTheme="minorHAnsi" w:cstheme="minorHAnsi"/>
                <w:iCs/>
                <w:sz w:val="20"/>
                <w:szCs w:val="20"/>
              </w:rPr>
              <w:t xml:space="preserve">, Dahra) </w:t>
            </w:r>
          </w:p>
          <w:p w14:paraId="035A3F95"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Equipement</w:t>
            </w:r>
          </w:p>
        </w:tc>
      </w:tr>
      <w:tr w:rsidR="00E43FD2" w:rsidRPr="00E01239" w14:paraId="4EF89F56" w14:textId="77777777" w:rsidTr="000C38B8">
        <w:trPr>
          <w:trHeight w:val="1408"/>
          <w:jc w:val="center"/>
        </w:trPr>
        <w:tc>
          <w:tcPr>
            <w:tcW w:w="820" w:type="pct"/>
            <w:vMerge/>
            <w:vAlign w:val="center"/>
          </w:tcPr>
          <w:p w14:paraId="6F37579B"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3928BEA9" w14:textId="77777777" w:rsidR="00E43FD2" w:rsidRPr="00E01239" w:rsidRDefault="00E43FD2" w:rsidP="000C38B8">
            <w:pPr>
              <w:rPr>
                <w:rFonts w:asciiTheme="minorHAnsi" w:hAnsiTheme="minorHAnsi" w:cstheme="minorHAnsi"/>
                <w:sz w:val="20"/>
                <w:szCs w:val="20"/>
              </w:rPr>
            </w:pPr>
          </w:p>
        </w:tc>
        <w:tc>
          <w:tcPr>
            <w:tcW w:w="3175" w:type="pct"/>
            <w:vAlign w:val="center"/>
          </w:tcPr>
          <w:p w14:paraId="6B271BDB"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Création d'un centre d'incubation pour la transformation et la valorisation des produits d’origine animale à Mbao, région de Dakar (MEPA).</w:t>
            </w:r>
          </w:p>
          <w:p w14:paraId="56647ED1"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Travaux d'aménagement </w:t>
            </w:r>
          </w:p>
          <w:p w14:paraId="6862053E"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 Equipement du centre </w:t>
            </w:r>
          </w:p>
          <w:p w14:paraId="13701C41" w14:textId="77777777" w:rsidR="00E43FD2" w:rsidRPr="00E01239" w:rsidRDefault="00E43FD2" w:rsidP="00027669">
            <w:pPr>
              <w:pStyle w:val="Paragraphedeliste"/>
              <w:numPr>
                <w:ilvl w:val="1"/>
                <w:numId w:val="109"/>
              </w:numPr>
              <w:rPr>
                <w:rFonts w:asciiTheme="minorHAnsi" w:hAnsiTheme="minorHAnsi" w:cstheme="minorHAnsi"/>
                <w:iCs/>
                <w:sz w:val="20"/>
                <w:szCs w:val="20"/>
              </w:rPr>
            </w:pPr>
            <w:r w:rsidRPr="00E01239">
              <w:rPr>
                <w:rFonts w:asciiTheme="minorHAnsi" w:hAnsiTheme="minorHAnsi" w:cstheme="minorHAnsi"/>
                <w:iCs/>
                <w:sz w:val="20"/>
                <w:szCs w:val="20"/>
              </w:rPr>
              <w:t xml:space="preserve"> Fonctionnement</w:t>
            </w:r>
          </w:p>
        </w:tc>
      </w:tr>
      <w:tr w:rsidR="00E43FD2" w:rsidRPr="00E01239" w14:paraId="3DBA0CB2" w14:textId="77777777" w:rsidTr="000C38B8">
        <w:trPr>
          <w:trHeight w:val="481"/>
          <w:jc w:val="center"/>
        </w:trPr>
        <w:tc>
          <w:tcPr>
            <w:tcW w:w="820" w:type="pct"/>
            <w:vMerge/>
            <w:vAlign w:val="center"/>
          </w:tcPr>
          <w:p w14:paraId="33058926" w14:textId="77777777" w:rsidR="00E43FD2" w:rsidRPr="00E01239" w:rsidRDefault="00E43FD2" w:rsidP="000C38B8">
            <w:pPr>
              <w:rPr>
                <w:rFonts w:asciiTheme="minorHAnsi" w:hAnsiTheme="minorHAnsi" w:cstheme="minorHAnsi"/>
                <w:sz w:val="20"/>
                <w:szCs w:val="20"/>
              </w:rPr>
            </w:pPr>
          </w:p>
        </w:tc>
        <w:tc>
          <w:tcPr>
            <w:tcW w:w="1005" w:type="pct"/>
            <w:vMerge/>
            <w:vAlign w:val="center"/>
          </w:tcPr>
          <w:p w14:paraId="766B47A6" w14:textId="77777777" w:rsidR="00E43FD2" w:rsidRPr="00E01239" w:rsidRDefault="00E43FD2" w:rsidP="000C38B8">
            <w:pPr>
              <w:rPr>
                <w:rFonts w:asciiTheme="minorHAnsi" w:hAnsiTheme="minorHAnsi" w:cstheme="minorHAnsi"/>
                <w:sz w:val="20"/>
                <w:szCs w:val="20"/>
              </w:rPr>
            </w:pPr>
          </w:p>
        </w:tc>
        <w:tc>
          <w:tcPr>
            <w:tcW w:w="3175" w:type="pct"/>
            <w:vAlign w:val="center"/>
          </w:tcPr>
          <w:p w14:paraId="0CA8AB23"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Mise en place d’un observatoire des produits animaux</w:t>
            </w:r>
          </w:p>
        </w:tc>
      </w:tr>
      <w:tr w:rsidR="00E43FD2" w:rsidRPr="00E01239" w14:paraId="2B149490" w14:textId="77777777" w:rsidTr="0021441C">
        <w:trPr>
          <w:trHeight w:val="285"/>
          <w:jc w:val="center"/>
        </w:trPr>
        <w:tc>
          <w:tcPr>
            <w:tcW w:w="820" w:type="pct"/>
            <w:vMerge/>
            <w:tcBorders>
              <w:bottom w:val="single" w:sz="4" w:space="0" w:color="808080" w:themeColor="background1" w:themeShade="80"/>
            </w:tcBorders>
            <w:vAlign w:val="center"/>
          </w:tcPr>
          <w:p w14:paraId="2585DE3C" w14:textId="77777777" w:rsidR="00E43FD2" w:rsidRPr="00E01239" w:rsidRDefault="00E43FD2" w:rsidP="000C38B8">
            <w:pPr>
              <w:rPr>
                <w:rFonts w:asciiTheme="minorHAnsi" w:hAnsiTheme="minorHAnsi" w:cstheme="minorHAnsi"/>
                <w:sz w:val="20"/>
                <w:szCs w:val="20"/>
              </w:rPr>
            </w:pPr>
          </w:p>
        </w:tc>
        <w:tc>
          <w:tcPr>
            <w:tcW w:w="1005" w:type="pct"/>
            <w:vMerge/>
            <w:tcBorders>
              <w:bottom w:val="single" w:sz="4" w:space="0" w:color="808080" w:themeColor="background1" w:themeShade="80"/>
            </w:tcBorders>
            <w:vAlign w:val="center"/>
          </w:tcPr>
          <w:p w14:paraId="1BAB67E9" w14:textId="77777777" w:rsidR="00E43FD2" w:rsidRPr="00E01239" w:rsidRDefault="00E43FD2" w:rsidP="000C38B8">
            <w:pPr>
              <w:rPr>
                <w:rFonts w:asciiTheme="minorHAnsi" w:hAnsiTheme="minorHAnsi" w:cstheme="minorHAnsi"/>
                <w:sz w:val="20"/>
                <w:szCs w:val="20"/>
              </w:rPr>
            </w:pPr>
          </w:p>
        </w:tc>
        <w:tc>
          <w:tcPr>
            <w:tcW w:w="3175" w:type="pct"/>
            <w:tcBorders>
              <w:bottom w:val="single" w:sz="4" w:space="0" w:color="808080" w:themeColor="background1" w:themeShade="80"/>
            </w:tcBorders>
            <w:vAlign w:val="center"/>
          </w:tcPr>
          <w:p w14:paraId="19BE0D65" w14:textId="77777777" w:rsidR="00E43FD2" w:rsidRPr="00E01239" w:rsidRDefault="00E43FD2" w:rsidP="00027669">
            <w:pPr>
              <w:pStyle w:val="Paragraphedeliste"/>
              <w:numPr>
                <w:ilvl w:val="0"/>
                <w:numId w:val="108"/>
              </w:numPr>
              <w:rPr>
                <w:rFonts w:asciiTheme="minorHAnsi" w:hAnsiTheme="minorHAnsi" w:cstheme="minorHAnsi"/>
                <w:iCs/>
                <w:sz w:val="20"/>
                <w:szCs w:val="20"/>
              </w:rPr>
            </w:pPr>
            <w:r w:rsidRPr="00E01239">
              <w:rPr>
                <w:rFonts w:asciiTheme="minorHAnsi" w:hAnsiTheme="minorHAnsi" w:cstheme="minorHAnsi"/>
                <w:iCs/>
                <w:sz w:val="20"/>
                <w:szCs w:val="20"/>
              </w:rPr>
              <w:t xml:space="preserve">Facilitation du dialogue public-privé  </w:t>
            </w:r>
          </w:p>
        </w:tc>
      </w:tr>
      <w:tr w:rsidR="00970EB7" w:rsidRPr="00E01239" w14:paraId="0E2AAFC7" w14:textId="77777777" w:rsidTr="00263B8A">
        <w:trPr>
          <w:trHeight w:val="165"/>
          <w:jc w:val="center"/>
        </w:trPr>
        <w:tc>
          <w:tcPr>
            <w:tcW w:w="820" w:type="pct"/>
            <w:shd w:val="clear" w:color="auto" w:fill="auto"/>
            <w:vAlign w:val="center"/>
          </w:tcPr>
          <w:p w14:paraId="6F84FC14" w14:textId="77777777" w:rsidR="00970EB7" w:rsidRPr="00E01239" w:rsidRDefault="00970EB7" w:rsidP="000C38B8">
            <w:pPr>
              <w:rPr>
                <w:rFonts w:asciiTheme="minorHAnsi" w:hAnsiTheme="minorHAnsi" w:cstheme="minorHAnsi"/>
                <w:sz w:val="20"/>
                <w:szCs w:val="20"/>
              </w:rPr>
            </w:pPr>
            <w:r w:rsidRPr="00E01239">
              <w:rPr>
                <w:rFonts w:asciiTheme="minorHAnsi" w:hAnsiTheme="minorHAnsi" w:cstheme="minorHAnsi"/>
                <w:sz w:val="20"/>
                <w:szCs w:val="20"/>
              </w:rPr>
              <w:t>Composante 4.</w:t>
            </w:r>
            <w:r w:rsidRPr="00E01239">
              <w:rPr>
                <w:rFonts w:asciiTheme="minorHAnsi" w:eastAsiaTheme="minorEastAsia" w:hAnsiTheme="minorHAnsi" w:cstheme="minorHAnsi"/>
                <w:kern w:val="24"/>
                <w:sz w:val="20"/>
                <w:szCs w:val="20"/>
              </w:rPr>
              <w:t xml:space="preserve"> </w:t>
            </w:r>
            <w:r w:rsidRPr="00E01239">
              <w:rPr>
                <w:rFonts w:asciiTheme="minorHAnsi" w:hAnsiTheme="minorHAnsi" w:cstheme="minorHAnsi"/>
                <w:sz w:val="20"/>
                <w:szCs w:val="20"/>
              </w:rPr>
              <w:t>Intervention d'urgence contingente (CERC)</w:t>
            </w:r>
          </w:p>
        </w:tc>
        <w:tc>
          <w:tcPr>
            <w:tcW w:w="4180" w:type="pct"/>
            <w:gridSpan w:val="2"/>
            <w:shd w:val="clear" w:color="auto" w:fill="auto"/>
            <w:vAlign w:val="center"/>
          </w:tcPr>
          <w:p w14:paraId="5BC776F0" w14:textId="77777777" w:rsidR="00970EB7" w:rsidRPr="00E01239" w:rsidRDefault="00970EB7" w:rsidP="000C38B8">
            <w:pPr>
              <w:jc w:val="center"/>
              <w:rPr>
                <w:rFonts w:asciiTheme="minorHAnsi" w:hAnsiTheme="minorHAnsi" w:cstheme="minorHAnsi"/>
                <w:iCs/>
                <w:sz w:val="20"/>
                <w:szCs w:val="20"/>
              </w:rPr>
            </w:pPr>
            <w:r w:rsidRPr="00E01239">
              <w:rPr>
                <w:rFonts w:asciiTheme="minorHAnsi" w:hAnsiTheme="minorHAnsi" w:cstheme="minorHAnsi"/>
                <w:iCs/>
                <w:sz w:val="20"/>
                <w:szCs w:val="20"/>
              </w:rPr>
              <w:t xml:space="preserve">Aucun activité et </w:t>
            </w:r>
            <w:r w:rsidRPr="00E01239">
              <w:rPr>
                <w:rFonts w:asciiTheme="minorHAnsi" w:hAnsiTheme="minorHAnsi" w:cstheme="minorHAnsi"/>
                <w:sz w:val="20"/>
                <w:szCs w:val="20"/>
              </w:rPr>
              <w:t>0 $US</w:t>
            </w:r>
          </w:p>
        </w:tc>
      </w:tr>
      <w:tr w:rsidR="000D6259" w:rsidRPr="00E01239" w14:paraId="5FC8F177" w14:textId="77777777" w:rsidTr="000C38B8">
        <w:trPr>
          <w:jc w:val="center"/>
        </w:trPr>
        <w:tc>
          <w:tcPr>
            <w:tcW w:w="1825" w:type="pct"/>
            <w:gridSpan w:val="2"/>
            <w:vMerge w:val="restart"/>
            <w:shd w:val="clear" w:color="auto" w:fill="auto"/>
            <w:vAlign w:val="center"/>
          </w:tcPr>
          <w:p w14:paraId="6529CB0D" w14:textId="05FC6CD5" w:rsidR="00072495" w:rsidRPr="00E01239" w:rsidRDefault="00072495" w:rsidP="000C38B8">
            <w:pPr>
              <w:rPr>
                <w:rFonts w:asciiTheme="minorHAnsi" w:hAnsiTheme="minorHAnsi" w:cstheme="minorHAnsi"/>
                <w:sz w:val="20"/>
                <w:szCs w:val="20"/>
              </w:rPr>
            </w:pPr>
            <w:r w:rsidRPr="00E01239">
              <w:rPr>
                <w:rFonts w:asciiTheme="minorHAnsi" w:hAnsiTheme="minorHAnsi" w:cstheme="minorHAnsi"/>
                <w:sz w:val="20"/>
                <w:szCs w:val="20"/>
              </w:rPr>
              <w:t>Composante 5. Gestion du programme</w:t>
            </w:r>
            <w:r w:rsidR="00135B43" w:rsidRPr="00E01239">
              <w:rPr>
                <w:rFonts w:asciiTheme="minorHAnsi" w:hAnsiTheme="minorHAnsi" w:cstheme="minorHAnsi"/>
                <w:sz w:val="20"/>
                <w:szCs w:val="20"/>
              </w:rPr>
              <w:t xml:space="preserve"> (16,45 millions USD)</w:t>
            </w:r>
          </w:p>
        </w:tc>
        <w:tc>
          <w:tcPr>
            <w:tcW w:w="3175" w:type="pct"/>
            <w:shd w:val="clear" w:color="auto" w:fill="auto"/>
            <w:vAlign w:val="center"/>
          </w:tcPr>
          <w:p w14:paraId="0F5F8DA0" w14:textId="77777777" w:rsidR="00072495" w:rsidRPr="00E01239" w:rsidRDefault="00072495" w:rsidP="000C38B8">
            <w:pPr>
              <w:rPr>
                <w:rFonts w:asciiTheme="minorHAnsi" w:hAnsiTheme="minorHAnsi" w:cstheme="minorHAnsi"/>
                <w:iCs/>
                <w:sz w:val="20"/>
                <w:szCs w:val="20"/>
              </w:rPr>
            </w:pPr>
            <w:r w:rsidRPr="00E01239">
              <w:rPr>
                <w:rFonts w:asciiTheme="minorHAnsi" w:hAnsiTheme="minorHAnsi" w:cstheme="minorHAnsi"/>
                <w:iCs/>
                <w:sz w:val="20"/>
                <w:szCs w:val="20"/>
              </w:rPr>
              <w:t>Coordination UCP MAERSA et UCP MEPA</w:t>
            </w:r>
          </w:p>
        </w:tc>
      </w:tr>
      <w:tr w:rsidR="000D6259" w:rsidRPr="00E01239" w14:paraId="50697A02" w14:textId="77777777" w:rsidTr="000C38B8">
        <w:trPr>
          <w:jc w:val="center"/>
        </w:trPr>
        <w:tc>
          <w:tcPr>
            <w:tcW w:w="1825" w:type="pct"/>
            <w:gridSpan w:val="2"/>
            <w:vMerge/>
            <w:shd w:val="clear" w:color="auto" w:fill="auto"/>
            <w:vAlign w:val="center"/>
          </w:tcPr>
          <w:p w14:paraId="3AE440DE" w14:textId="77777777" w:rsidR="00072495" w:rsidRPr="00E01239" w:rsidRDefault="00072495" w:rsidP="000C38B8">
            <w:pPr>
              <w:rPr>
                <w:rFonts w:asciiTheme="minorHAnsi" w:hAnsiTheme="minorHAnsi" w:cstheme="minorHAnsi"/>
                <w:sz w:val="20"/>
                <w:szCs w:val="20"/>
              </w:rPr>
            </w:pPr>
          </w:p>
        </w:tc>
        <w:tc>
          <w:tcPr>
            <w:tcW w:w="3175" w:type="pct"/>
            <w:shd w:val="clear" w:color="auto" w:fill="auto"/>
            <w:vAlign w:val="center"/>
          </w:tcPr>
          <w:p w14:paraId="619947EF" w14:textId="77777777" w:rsidR="00072495" w:rsidRPr="00E01239" w:rsidRDefault="00072495" w:rsidP="000C38B8">
            <w:pPr>
              <w:rPr>
                <w:rFonts w:asciiTheme="minorHAnsi" w:hAnsiTheme="minorHAnsi" w:cstheme="minorHAnsi"/>
                <w:iCs/>
                <w:sz w:val="20"/>
                <w:szCs w:val="20"/>
              </w:rPr>
            </w:pPr>
            <w:r w:rsidRPr="00E01239">
              <w:rPr>
                <w:rFonts w:asciiTheme="minorHAnsi" w:hAnsiTheme="minorHAnsi" w:cstheme="minorHAnsi"/>
                <w:iCs/>
                <w:sz w:val="20"/>
                <w:szCs w:val="20"/>
              </w:rPr>
              <w:t>Planification, mise en œuvre et supervision technique des activités du programme</w:t>
            </w:r>
          </w:p>
        </w:tc>
      </w:tr>
      <w:tr w:rsidR="000D6259" w:rsidRPr="00E01239" w14:paraId="7E9183C1" w14:textId="77777777" w:rsidTr="000C38B8">
        <w:trPr>
          <w:jc w:val="center"/>
        </w:trPr>
        <w:tc>
          <w:tcPr>
            <w:tcW w:w="1825" w:type="pct"/>
            <w:gridSpan w:val="2"/>
            <w:vMerge/>
            <w:shd w:val="clear" w:color="auto" w:fill="auto"/>
            <w:vAlign w:val="center"/>
          </w:tcPr>
          <w:p w14:paraId="797A84ED" w14:textId="77777777" w:rsidR="00072495" w:rsidRPr="00E01239" w:rsidRDefault="00072495" w:rsidP="000C38B8">
            <w:pPr>
              <w:rPr>
                <w:rFonts w:asciiTheme="minorHAnsi" w:hAnsiTheme="minorHAnsi" w:cstheme="minorHAnsi"/>
                <w:sz w:val="20"/>
                <w:szCs w:val="20"/>
              </w:rPr>
            </w:pPr>
          </w:p>
        </w:tc>
        <w:tc>
          <w:tcPr>
            <w:tcW w:w="3175" w:type="pct"/>
            <w:shd w:val="clear" w:color="auto" w:fill="auto"/>
            <w:vAlign w:val="center"/>
          </w:tcPr>
          <w:p w14:paraId="6C4A6F02" w14:textId="77777777" w:rsidR="00072495" w:rsidRPr="00E01239" w:rsidRDefault="00072495" w:rsidP="000C38B8">
            <w:pPr>
              <w:rPr>
                <w:rFonts w:asciiTheme="minorHAnsi" w:hAnsiTheme="minorHAnsi" w:cstheme="minorHAnsi"/>
                <w:iCs/>
                <w:sz w:val="20"/>
                <w:szCs w:val="20"/>
              </w:rPr>
            </w:pPr>
            <w:r w:rsidRPr="00E01239">
              <w:rPr>
                <w:rFonts w:asciiTheme="minorHAnsi" w:hAnsiTheme="minorHAnsi" w:cstheme="minorHAnsi"/>
                <w:iCs/>
                <w:sz w:val="20"/>
                <w:szCs w:val="20"/>
              </w:rPr>
              <w:t>Gestion efficace des risques sociaux et environnementaux</w:t>
            </w:r>
          </w:p>
        </w:tc>
      </w:tr>
      <w:tr w:rsidR="000D6259" w:rsidRPr="00E01239" w14:paraId="2354C8C6" w14:textId="77777777" w:rsidTr="000C38B8">
        <w:trPr>
          <w:jc w:val="center"/>
        </w:trPr>
        <w:tc>
          <w:tcPr>
            <w:tcW w:w="1825" w:type="pct"/>
            <w:gridSpan w:val="2"/>
            <w:vMerge/>
            <w:shd w:val="clear" w:color="auto" w:fill="auto"/>
            <w:vAlign w:val="center"/>
          </w:tcPr>
          <w:p w14:paraId="2F786FD6" w14:textId="77777777" w:rsidR="00072495" w:rsidRPr="00E01239" w:rsidRDefault="00072495" w:rsidP="000C38B8">
            <w:pPr>
              <w:rPr>
                <w:rFonts w:asciiTheme="minorHAnsi" w:hAnsiTheme="minorHAnsi" w:cstheme="minorHAnsi"/>
                <w:sz w:val="20"/>
                <w:szCs w:val="20"/>
              </w:rPr>
            </w:pPr>
          </w:p>
        </w:tc>
        <w:tc>
          <w:tcPr>
            <w:tcW w:w="3175" w:type="pct"/>
            <w:shd w:val="clear" w:color="auto" w:fill="auto"/>
            <w:vAlign w:val="center"/>
          </w:tcPr>
          <w:p w14:paraId="3A672DCC" w14:textId="77777777" w:rsidR="00072495" w:rsidRPr="00E01239" w:rsidRDefault="00072495" w:rsidP="000C38B8">
            <w:pPr>
              <w:rPr>
                <w:rFonts w:asciiTheme="minorHAnsi" w:hAnsiTheme="minorHAnsi" w:cstheme="minorHAnsi"/>
                <w:iCs/>
                <w:sz w:val="20"/>
                <w:szCs w:val="20"/>
              </w:rPr>
            </w:pPr>
            <w:r w:rsidRPr="00E01239">
              <w:rPr>
                <w:rFonts w:asciiTheme="minorHAnsi" w:hAnsiTheme="minorHAnsi" w:cstheme="minorHAnsi"/>
                <w:iCs/>
                <w:sz w:val="20"/>
                <w:szCs w:val="20"/>
              </w:rPr>
              <w:t>Genre et inclusion sociale</w:t>
            </w:r>
          </w:p>
        </w:tc>
      </w:tr>
      <w:tr w:rsidR="000D6259" w:rsidRPr="00E01239" w14:paraId="212FE6B1" w14:textId="77777777" w:rsidTr="000C38B8">
        <w:trPr>
          <w:jc w:val="center"/>
        </w:trPr>
        <w:tc>
          <w:tcPr>
            <w:tcW w:w="1825" w:type="pct"/>
            <w:gridSpan w:val="2"/>
            <w:vMerge/>
            <w:shd w:val="clear" w:color="auto" w:fill="auto"/>
            <w:vAlign w:val="center"/>
          </w:tcPr>
          <w:p w14:paraId="06A7095B" w14:textId="77777777" w:rsidR="00072495" w:rsidRPr="00E01239" w:rsidRDefault="00072495" w:rsidP="000C38B8">
            <w:pPr>
              <w:rPr>
                <w:rFonts w:asciiTheme="minorHAnsi" w:hAnsiTheme="minorHAnsi" w:cstheme="minorHAnsi"/>
                <w:sz w:val="20"/>
                <w:szCs w:val="20"/>
              </w:rPr>
            </w:pPr>
          </w:p>
        </w:tc>
        <w:tc>
          <w:tcPr>
            <w:tcW w:w="3175" w:type="pct"/>
            <w:shd w:val="clear" w:color="auto" w:fill="auto"/>
            <w:vAlign w:val="center"/>
          </w:tcPr>
          <w:p w14:paraId="511EAF17" w14:textId="77777777" w:rsidR="00072495" w:rsidRPr="00E01239" w:rsidRDefault="00072495" w:rsidP="000C38B8">
            <w:pPr>
              <w:rPr>
                <w:rFonts w:asciiTheme="minorHAnsi" w:hAnsiTheme="minorHAnsi" w:cstheme="minorHAnsi"/>
                <w:iCs/>
                <w:sz w:val="20"/>
                <w:szCs w:val="20"/>
              </w:rPr>
            </w:pPr>
            <w:r w:rsidRPr="00E01239">
              <w:rPr>
                <w:rFonts w:asciiTheme="minorHAnsi" w:hAnsiTheme="minorHAnsi" w:cstheme="minorHAnsi"/>
                <w:iCs/>
                <w:sz w:val="20"/>
                <w:szCs w:val="20"/>
              </w:rPr>
              <w:t>Gestion financière</w:t>
            </w:r>
          </w:p>
        </w:tc>
      </w:tr>
      <w:tr w:rsidR="000D6259" w:rsidRPr="00E01239" w14:paraId="7A80FBDA" w14:textId="77777777" w:rsidTr="000C38B8">
        <w:trPr>
          <w:jc w:val="center"/>
        </w:trPr>
        <w:tc>
          <w:tcPr>
            <w:tcW w:w="1825" w:type="pct"/>
            <w:gridSpan w:val="2"/>
            <w:vMerge/>
            <w:shd w:val="clear" w:color="auto" w:fill="auto"/>
            <w:vAlign w:val="center"/>
          </w:tcPr>
          <w:p w14:paraId="45B1C5E7" w14:textId="77777777" w:rsidR="00072495" w:rsidRPr="00E01239" w:rsidRDefault="00072495" w:rsidP="000C38B8">
            <w:pPr>
              <w:rPr>
                <w:rFonts w:asciiTheme="minorHAnsi" w:hAnsiTheme="minorHAnsi" w:cstheme="minorHAnsi"/>
                <w:sz w:val="20"/>
                <w:szCs w:val="20"/>
              </w:rPr>
            </w:pPr>
          </w:p>
        </w:tc>
        <w:tc>
          <w:tcPr>
            <w:tcW w:w="3175" w:type="pct"/>
            <w:shd w:val="clear" w:color="auto" w:fill="auto"/>
            <w:vAlign w:val="center"/>
          </w:tcPr>
          <w:p w14:paraId="50021233" w14:textId="77777777" w:rsidR="00072495" w:rsidRPr="00E01239" w:rsidRDefault="00072495" w:rsidP="000C38B8">
            <w:pPr>
              <w:rPr>
                <w:rFonts w:asciiTheme="minorHAnsi" w:hAnsiTheme="minorHAnsi" w:cstheme="minorHAnsi"/>
                <w:iCs/>
                <w:sz w:val="20"/>
                <w:szCs w:val="20"/>
              </w:rPr>
            </w:pPr>
            <w:r w:rsidRPr="00E01239">
              <w:rPr>
                <w:rFonts w:asciiTheme="minorHAnsi" w:hAnsiTheme="minorHAnsi" w:cstheme="minorHAnsi"/>
                <w:iCs/>
                <w:sz w:val="20"/>
                <w:szCs w:val="20"/>
              </w:rPr>
              <w:t>Passation de marchés</w:t>
            </w:r>
          </w:p>
        </w:tc>
      </w:tr>
      <w:tr w:rsidR="000D6259" w:rsidRPr="00E01239" w14:paraId="2FF06372" w14:textId="77777777" w:rsidTr="000C38B8">
        <w:trPr>
          <w:jc w:val="center"/>
        </w:trPr>
        <w:tc>
          <w:tcPr>
            <w:tcW w:w="1825" w:type="pct"/>
            <w:gridSpan w:val="2"/>
            <w:vMerge/>
            <w:shd w:val="clear" w:color="auto" w:fill="auto"/>
            <w:vAlign w:val="center"/>
          </w:tcPr>
          <w:p w14:paraId="414AC56B" w14:textId="77777777" w:rsidR="00072495" w:rsidRPr="00E01239" w:rsidRDefault="00072495" w:rsidP="000C38B8">
            <w:pPr>
              <w:rPr>
                <w:rFonts w:asciiTheme="minorHAnsi" w:hAnsiTheme="minorHAnsi" w:cstheme="minorHAnsi"/>
                <w:sz w:val="20"/>
                <w:szCs w:val="20"/>
              </w:rPr>
            </w:pPr>
          </w:p>
        </w:tc>
        <w:tc>
          <w:tcPr>
            <w:tcW w:w="3175" w:type="pct"/>
            <w:shd w:val="clear" w:color="auto" w:fill="auto"/>
            <w:vAlign w:val="center"/>
          </w:tcPr>
          <w:p w14:paraId="6C847103" w14:textId="77777777" w:rsidR="00072495" w:rsidRPr="00E01239" w:rsidRDefault="00072495" w:rsidP="000C38B8">
            <w:pPr>
              <w:rPr>
                <w:rFonts w:asciiTheme="minorHAnsi" w:hAnsiTheme="minorHAnsi" w:cstheme="minorHAnsi"/>
                <w:iCs/>
                <w:sz w:val="20"/>
                <w:szCs w:val="20"/>
              </w:rPr>
            </w:pPr>
            <w:r w:rsidRPr="00E01239">
              <w:rPr>
                <w:rFonts w:asciiTheme="minorHAnsi" w:hAnsiTheme="minorHAnsi" w:cstheme="minorHAnsi"/>
                <w:iCs/>
                <w:sz w:val="20"/>
                <w:szCs w:val="20"/>
              </w:rPr>
              <w:t>Suivi-évaluation</w:t>
            </w:r>
          </w:p>
        </w:tc>
      </w:tr>
      <w:tr w:rsidR="000D6259" w:rsidRPr="00E01239" w14:paraId="52B38AC8" w14:textId="77777777" w:rsidTr="000C38B8">
        <w:trPr>
          <w:jc w:val="center"/>
        </w:trPr>
        <w:tc>
          <w:tcPr>
            <w:tcW w:w="1825" w:type="pct"/>
            <w:gridSpan w:val="2"/>
            <w:vMerge/>
            <w:shd w:val="clear" w:color="auto" w:fill="auto"/>
            <w:vAlign w:val="center"/>
          </w:tcPr>
          <w:p w14:paraId="3423E0DC" w14:textId="77777777" w:rsidR="00072495" w:rsidRPr="00E01239" w:rsidRDefault="00072495" w:rsidP="000C38B8">
            <w:pPr>
              <w:rPr>
                <w:rFonts w:asciiTheme="minorHAnsi" w:hAnsiTheme="minorHAnsi" w:cstheme="minorHAnsi"/>
                <w:sz w:val="20"/>
                <w:szCs w:val="20"/>
              </w:rPr>
            </w:pPr>
          </w:p>
        </w:tc>
        <w:tc>
          <w:tcPr>
            <w:tcW w:w="3175" w:type="pct"/>
            <w:shd w:val="clear" w:color="auto" w:fill="auto"/>
            <w:vAlign w:val="center"/>
          </w:tcPr>
          <w:p w14:paraId="5F762698" w14:textId="77777777" w:rsidR="00072495" w:rsidRPr="00E01239" w:rsidRDefault="00072495" w:rsidP="000C38B8">
            <w:pPr>
              <w:rPr>
                <w:rFonts w:asciiTheme="minorHAnsi" w:hAnsiTheme="minorHAnsi" w:cstheme="minorHAnsi"/>
                <w:iCs/>
                <w:sz w:val="20"/>
                <w:szCs w:val="20"/>
              </w:rPr>
            </w:pPr>
            <w:r w:rsidRPr="00E01239">
              <w:rPr>
                <w:rFonts w:asciiTheme="minorHAnsi" w:hAnsiTheme="minorHAnsi" w:cstheme="minorHAnsi"/>
                <w:sz w:val="20"/>
                <w:szCs w:val="20"/>
              </w:rPr>
              <w:t>Communication</w:t>
            </w:r>
          </w:p>
        </w:tc>
      </w:tr>
    </w:tbl>
    <w:p w14:paraId="3CB7974A" w14:textId="77777777" w:rsidR="00072495" w:rsidRPr="00E01239" w:rsidRDefault="00072495" w:rsidP="00FB4BA3">
      <w:pPr>
        <w:rPr>
          <w:rFonts w:asciiTheme="minorHAnsi" w:hAnsiTheme="minorHAnsi" w:cstheme="minorHAnsi"/>
          <w:sz w:val="22"/>
          <w:szCs w:val="22"/>
        </w:rPr>
      </w:pPr>
    </w:p>
    <w:p w14:paraId="09E33B9F" w14:textId="77777777" w:rsidR="00557597" w:rsidRPr="00E01239" w:rsidRDefault="00557597">
      <w:pPr>
        <w:rPr>
          <w:rFonts w:asciiTheme="minorHAnsi" w:hAnsiTheme="minorHAnsi" w:cstheme="minorHAnsi"/>
          <w:sz w:val="22"/>
          <w:szCs w:val="22"/>
        </w:rPr>
        <w:sectPr w:rsidR="00557597" w:rsidRPr="00E01239" w:rsidSect="00FB4BA3">
          <w:pgSz w:w="16840" w:h="11907" w:code="9"/>
          <w:pgMar w:top="1418" w:right="1418" w:bottom="1418" w:left="1418" w:header="720" w:footer="720" w:gutter="0"/>
          <w:cols w:space="60"/>
          <w:noEndnote/>
        </w:sectPr>
      </w:pPr>
    </w:p>
    <w:p w14:paraId="218582E4" w14:textId="77777777" w:rsidR="00557597" w:rsidRPr="00E01239" w:rsidRDefault="00557597" w:rsidP="00557597">
      <w:pPr>
        <w:spacing w:after="160" w:line="259" w:lineRule="auto"/>
        <w:jc w:val="both"/>
        <w:rPr>
          <w:rFonts w:asciiTheme="minorHAnsi" w:hAnsiTheme="minorHAnsi" w:cstheme="minorBidi"/>
          <w:sz w:val="22"/>
          <w:szCs w:val="22"/>
        </w:rPr>
      </w:pPr>
      <w:r w:rsidRPr="00E01239">
        <w:rPr>
          <w:rFonts w:asciiTheme="minorHAnsi" w:eastAsiaTheme="minorHAnsi" w:hAnsiTheme="minorHAnsi" w:cstheme="minorBidi"/>
          <w:sz w:val="22"/>
          <w:szCs w:val="22"/>
        </w:rPr>
        <w:lastRenderedPageBreak/>
        <w:t xml:space="preserve">En matière de génie civil, le FRSP-SN financera des constructions nouvelles (à savoir la construction du Centre d'Excellence de Conseil Agricole de l'ANCAR, des unités de surveillance de la Direction de la Protection des Végétaux, des postes vétérinaires), des travaux d'extension et/ou de rénovation (centres d'excellence, laboratoires, parcs technologiques) et la réhabilitation de 4 700 ha d'aménagements irrigués dans la vallée du fleuve Sénégal et de 1 500 ha du bassin du </w:t>
      </w:r>
      <w:proofErr w:type="spellStart"/>
      <w:r w:rsidRPr="00E01239">
        <w:rPr>
          <w:rFonts w:asciiTheme="minorHAnsi" w:eastAsiaTheme="minorHAnsi" w:hAnsiTheme="minorHAnsi" w:cstheme="minorBidi"/>
          <w:sz w:val="22"/>
          <w:szCs w:val="22"/>
        </w:rPr>
        <w:t>Dioulol</w:t>
      </w:r>
      <w:proofErr w:type="spellEnd"/>
      <w:r w:rsidRPr="00E01239">
        <w:rPr>
          <w:rFonts w:asciiTheme="minorHAnsi" w:eastAsiaTheme="minorHAnsi" w:hAnsiTheme="minorHAnsi" w:cstheme="minorBidi"/>
          <w:sz w:val="22"/>
          <w:szCs w:val="22"/>
        </w:rPr>
        <w:t>.</w:t>
      </w:r>
    </w:p>
    <w:tbl>
      <w:tblPr>
        <w:tblStyle w:val="Grilledutableau"/>
        <w:tblW w:w="0" w:type="auto"/>
        <w:shd w:val="clear" w:color="auto" w:fill="F2F2F2" w:themeFill="background1" w:themeFillShade="F2"/>
        <w:tblLook w:val="04A0" w:firstRow="1" w:lastRow="0" w:firstColumn="1" w:lastColumn="0" w:noHBand="0" w:noVBand="1"/>
      </w:tblPr>
      <w:tblGrid>
        <w:gridCol w:w="9060"/>
      </w:tblGrid>
      <w:tr w:rsidR="00557597" w:rsidRPr="00E01239" w14:paraId="38A3252B" w14:textId="77777777" w:rsidTr="003A04BD">
        <w:tc>
          <w:tcPr>
            <w:tcW w:w="9060" w:type="dxa"/>
            <w:shd w:val="clear" w:color="auto" w:fill="F2F2F2" w:themeFill="background1" w:themeFillShade="F2"/>
          </w:tcPr>
          <w:p w14:paraId="19FB2592" w14:textId="1914A941" w:rsidR="00557597" w:rsidRPr="00E01239" w:rsidRDefault="00557597" w:rsidP="003A04BD">
            <w:pPr>
              <w:spacing w:after="160" w:line="259" w:lineRule="auto"/>
              <w:jc w:val="both"/>
              <w:rPr>
                <w:rFonts w:asciiTheme="minorHAnsi" w:hAnsiTheme="minorHAnsi" w:cstheme="minorHAnsi"/>
                <w:sz w:val="22"/>
                <w:szCs w:val="22"/>
              </w:rPr>
            </w:pPr>
            <w:r w:rsidRPr="00E01239">
              <w:rPr>
                <w:rFonts w:asciiTheme="minorHAnsi" w:hAnsiTheme="minorHAnsi" w:cstheme="minorHAnsi"/>
                <w:sz w:val="22"/>
                <w:szCs w:val="22"/>
              </w:rPr>
              <w:t>Travaux propos</w:t>
            </w:r>
            <w:r w:rsidRPr="00E01239">
              <w:rPr>
                <w:rFonts w:asciiTheme="minorHAnsi" w:hAnsiTheme="minorHAnsi" w:cstheme="minorHAnsi"/>
                <w:sz w:val="22"/>
                <w:szCs w:val="22"/>
                <w:lang w:val="fr-SN"/>
              </w:rPr>
              <w:t>é</w:t>
            </w:r>
            <w:r w:rsidRPr="00E01239">
              <w:rPr>
                <w:rFonts w:asciiTheme="minorHAnsi" w:hAnsiTheme="minorHAnsi" w:cstheme="minorHAnsi"/>
                <w:sz w:val="22"/>
                <w:szCs w:val="22"/>
              </w:rPr>
              <w:t xml:space="preserve">s </w:t>
            </w:r>
            <w:r w:rsidR="00E73F6E">
              <w:rPr>
                <w:rFonts w:asciiTheme="minorHAnsi" w:hAnsiTheme="minorHAnsi" w:cstheme="minorHAnsi"/>
                <w:sz w:val="22"/>
                <w:szCs w:val="22"/>
              </w:rPr>
              <w:t>au financement</w:t>
            </w:r>
            <w:r w:rsidRPr="00E01239">
              <w:rPr>
                <w:rFonts w:asciiTheme="minorHAnsi" w:hAnsiTheme="minorHAnsi" w:cstheme="minorHAnsi"/>
                <w:sz w:val="22"/>
                <w:szCs w:val="22"/>
              </w:rPr>
              <w:t xml:space="preserve"> par le FRSP-SN : </w:t>
            </w:r>
          </w:p>
          <w:p w14:paraId="52DD031E"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Construction et réhabilitation de bases de surveillance de la DPV </w:t>
            </w:r>
          </w:p>
          <w:p w14:paraId="03CD6EC4" w14:textId="48ADE320"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R</w:t>
            </w:r>
            <w:r w:rsidR="00D4413D">
              <w:rPr>
                <w:rFonts w:asciiTheme="minorHAnsi" w:hAnsiTheme="minorHAnsi" w:cstheme="minorHAnsi"/>
                <w:color w:val="000000"/>
                <w:sz w:val="22"/>
                <w:szCs w:val="22"/>
              </w:rPr>
              <w:t>é</w:t>
            </w:r>
            <w:r w:rsidRPr="00E01239">
              <w:rPr>
                <w:rFonts w:asciiTheme="minorHAnsi" w:hAnsiTheme="minorHAnsi" w:cstheme="minorHAnsi"/>
                <w:color w:val="000000"/>
                <w:sz w:val="22"/>
                <w:szCs w:val="22"/>
              </w:rPr>
              <w:t>habilitation et extension des infrastructures (appui au centre régional d’excellence sur les céréales sèches</w:t>
            </w:r>
            <w:proofErr w:type="gramStart"/>
            <w:r w:rsidRPr="00E01239">
              <w:rPr>
                <w:rFonts w:asciiTheme="minorHAnsi" w:hAnsiTheme="minorHAnsi" w:cstheme="minorHAnsi"/>
                <w:color w:val="000000"/>
                <w:sz w:val="22"/>
                <w:szCs w:val="22"/>
              </w:rPr>
              <w:t>):</w:t>
            </w:r>
            <w:proofErr w:type="gramEnd"/>
          </w:p>
          <w:p w14:paraId="7B1F1903"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Réfection et rééquipement du Centre d’Application des Techniques d’Elevage (CATE)</w:t>
            </w:r>
          </w:p>
          <w:p w14:paraId="730F70B0"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Renforcement (extension, construction ou réhabilitation) des infrastructures /e (Appui au Laboratoire National de l'Élevage)</w:t>
            </w:r>
          </w:p>
          <w:p w14:paraId="3262FFA8"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Réhabilitation/Construction de locaux /f (Appui à l'École Inter-États des Sciences et Médicines Vétérinaires)</w:t>
            </w:r>
          </w:p>
          <w:p w14:paraId="1AF6A347"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Travaux de construction (Mise en place d'un centre d'excellence de conseil agricole et rural /r)</w:t>
            </w:r>
          </w:p>
          <w:p w14:paraId="02E2AD11"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Réhabilitation de parcs technologiques au niveau de : Keur </w:t>
            </w:r>
            <w:proofErr w:type="spellStart"/>
            <w:r w:rsidRPr="00E01239">
              <w:rPr>
                <w:rFonts w:asciiTheme="minorHAnsi" w:hAnsiTheme="minorHAnsi" w:cstheme="minorHAnsi"/>
                <w:color w:val="000000"/>
                <w:sz w:val="22"/>
                <w:szCs w:val="22"/>
              </w:rPr>
              <w:t>Momar</w:t>
            </w:r>
            <w:proofErr w:type="spellEnd"/>
            <w:r w:rsidRPr="00E01239">
              <w:rPr>
                <w:rFonts w:asciiTheme="minorHAnsi" w:hAnsiTheme="minorHAnsi" w:cstheme="minorHAnsi"/>
                <w:color w:val="000000"/>
                <w:sz w:val="22"/>
                <w:szCs w:val="22"/>
              </w:rPr>
              <w:t xml:space="preserve"> </w:t>
            </w:r>
            <w:proofErr w:type="spellStart"/>
            <w:r w:rsidRPr="00E01239">
              <w:rPr>
                <w:rFonts w:asciiTheme="minorHAnsi" w:hAnsiTheme="minorHAnsi" w:cstheme="minorHAnsi"/>
                <w:color w:val="000000"/>
                <w:sz w:val="22"/>
                <w:szCs w:val="22"/>
              </w:rPr>
              <w:t>Sarr</w:t>
            </w:r>
            <w:proofErr w:type="spellEnd"/>
            <w:r w:rsidRPr="00E01239">
              <w:rPr>
                <w:rFonts w:asciiTheme="minorHAnsi" w:hAnsiTheme="minorHAnsi" w:cstheme="minorHAnsi"/>
                <w:color w:val="000000"/>
                <w:sz w:val="22"/>
                <w:szCs w:val="22"/>
              </w:rPr>
              <w:t xml:space="preserve"> et </w:t>
            </w:r>
            <w:proofErr w:type="gramStart"/>
            <w:r w:rsidRPr="00E01239">
              <w:rPr>
                <w:rFonts w:asciiTheme="minorHAnsi" w:hAnsiTheme="minorHAnsi" w:cstheme="minorHAnsi"/>
                <w:color w:val="000000"/>
                <w:sz w:val="22"/>
                <w:szCs w:val="22"/>
              </w:rPr>
              <w:t>Sokone:</w:t>
            </w:r>
            <w:proofErr w:type="gramEnd"/>
          </w:p>
          <w:p w14:paraId="4D162996"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Aménagements du site pilote de Bushra </w:t>
            </w:r>
          </w:p>
          <w:p w14:paraId="6646331D"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Réhabilitation du périmètre maraîcher du CPFP de </w:t>
            </w:r>
            <w:proofErr w:type="spellStart"/>
            <w:r w:rsidRPr="00E01239">
              <w:rPr>
                <w:rFonts w:asciiTheme="minorHAnsi" w:hAnsiTheme="minorHAnsi" w:cstheme="minorHAnsi"/>
                <w:color w:val="000000"/>
                <w:sz w:val="22"/>
                <w:szCs w:val="22"/>
              </w:rPr>
              <w:t>Koussanar</w:t>
            </w:r>
            <w:proofErr w:type="spellEnd"/>
          </w:p>
          <w:p w14:paraId="2E23C54A"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proofErr w:type="gramStart"/>
            <w:r w:rsidRPr="00E01239">
              <w:rPr>
                <w:rFonts w:asciiTheme="minorHAnsi" w:hAnsiTheme="minorHAnsi" w:cstheme="minorHAnsi"/>
                <w:color w:val="000000"/>
                <w:sz w:val="22"/>
                <w:szCs w:val="22"/>
              </w:rPr>
              <w:t>Revalorisation  de</w:t>
            </w:r>
            <w:proofErr w:type="gramEnd"/>
            <w:r w:rsidRPr="00E01239">
              <w:rPr>
                <w:rFonts w:asciiTheme="minorHAnsi" w:hAnsiTheme="minorHAnsi" w:cstheme="minorHAnsi"/>
                <w:color w:val="000000"/>
                <w:sz w:val="22"/>
                <w:szCs w:val="22"/>
              </w:rPr>
              <w:t xml:space="preserve"> la Vallée de </w:t>
            </w:r>
            <w:proofErr w:type="spellStart"/>
            <w:r w:rsidRPr="00E01239">
              <w:rPr>
                <w:rFonts w:asciiTheme="minorHAnsi" w:hAnsiTheme="minorHAnsi" w:cstheme="minorHAnsi"/>
                <w:color w:val="000000"/>
                <w:sz w:val="22"/>
                <w:szCs w:val="22"/>
              </w:rPr>
              <w:t>Diatock</w:t>
            </w:r>
            <w:proofErr w:type="spellEnd"/>
            <w:r w:rsidRPr="00E01239">
              <w:rPr>
                <w:rFonts w:asciiTheme="minorHAnsi" w:hAnsiTheme="minorHAnsi" w:cstheme="minorHAnsi"/>
                <w:color w:val="000000"/>
                <w:sz w:val="22"/>
                <w:szCs w:val="22"/>
              </w:rPr>
              <w:t xml:space="preserve"> (remembrement et construction de Vanne)</w:t>
            </w:r>
          </w:p>
          <w:p w14:paraId="2D5474FC"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Revalorisation de la vallée de </w:t>
            </w:r>
            <w:proofErr w:type="spellStart"/>
            <w:r w:rsidRPr="00E01239">
              <w:rPr>
                <w:rFonts w:asciiTheme="minorHAnsi" w:hAnsiTheme="minorHAnsi" w:cstheme="minorHAnsi"/>
                <w:color w:val="000000"/>
                <w:sz w:val="22"/>
                <w:szCs w:val="22"/>
              </w:rPr>
              <w:t>Djilacounda</w:t>
            </w:r>
            <w:proofErr w:type="spellEnd"/>
            <w:r w:rsidRPr="00E01239">
              <w:rPr>
                <w:rFonts w:asciiTheme="minorHAnsi" w:hAnsiTheme="minorHAnsi" w:cstheme="minorHAnsi"/>
                <w:color w:val="000000"/>
                <w:sz w:val="22"/>
                <w:szCs w:val="22"/>
              </w:rPr>
              <w:t xml:space="preserve"> </w:t>
            </w:r>
          </w:p>
          <w:p w14:paraId="1C18BDDE"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Réhabilitation de la Vallée de </w:t>
            </w:r>
            <w:proofErr w:type="spellStart"/>
            <w:r w:rsidRPr="00E01239">
              <w:rPr>
                <w:rFonts w:asciiTheme="minorHAnsi" w:hAnsiTheme="minorHAnsi" w:cstheme="minorHAnsi"/>
                <w:color w:val="000000"/>
                <w:sz w:val="22"/>
                <w:szCs w:val="22"/>
              </w:rPr>
              <w:t>Simal</w:t>
            </w:r>
            <w:proofErr w:type="spellEnd"/>
          </w:p>
          <w:p w14:paraId="7C38AAB6"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Mise en valeur des bas-fonds à </w:t>
            </w:r>
            <w:proofErr w:type="spellStart"/>
            <w:r w:rsidRPr="00E01239">
              <w:rPr>
                <w:rFonts w:asciiTheme="minorHAnsi" w:hAnsiTheme="minorHAnsi" w:cstheme="minorHAnsi"/>
                <w:color w:val="000000"/>
                <w:sz w:val="22"/>
                <w:szCs w:val="22"/>
              </w:rPr>
              <w:t>Notto</w:t>
            </w:r>
            <w:proofErr w:type="spellEnd"/>
            <w:r w:rsidRPr="00E01239">
              <w:rPr>
                <w:rFonts w:asciiTheme="minorHAnsi" w:hAnsiTheme="minorHAnsi" w:cstheme="minorHAnsi"/>
                <w:color w:val="000000"/>
                <w:sz w:val="22"/>
                <w:szCs w:val="22"/>
              </w:rPr>
              <w:t xml:space="preserve"> </w:t>
            </w:r>
            <w:proofErr w:type="spellStart"/>
            <w:r w:rsidRPr="00E01239">
              <w:rPr>
                <w:rFonts w:asciiTheme="minorHAnsi" w:hAnsiTheme="minorHAnsi" w:cstheme="minorHAnsi"/>
                <w:color w:val="000000"/>
                <w:sz w:val="22"/>
                <w:szCs w:val="22"/>
              </w:rPr>
              <w:t>Diobass</w:t>
            </w:r>
            <w:proofErr w:type="spellEnd"/>
            <w:r w:rsidRPr="00E01239">
              <w:rPr>
                <w:rFonts w:asciiTheme="minorHAnsi" w:hAnsiTheme="minorHAnsi" w:cstheme="minorHAnsi"/>
                <w:color w:val="000000"/>
                <w:sz w:val="22"/>
                <w:szCs w:val="22"/>
              </w:rPr>
              <w:t xml:space="preserve"> et </w:t>
            </w:r>
            <w:proofErr w:type="spellStart"/>
            <w:r w:rsidRPr="00E01239">
              <w:rPr>
                <w:rFonts w:asciiTheme="minorHAnsi" w:hAnsiTheme="minorHAnsi" w:cstheme="minorHAnsi"/>
                <w:color w:val="000000"/>
                <w:sz w:val="22"/>
                <w:szCs w:val="22"/>
              </w:rPr>
              <w:t>Toubatoul</w:t>
            </w:r>
            <w:proofErr w:type="spellEnd"/>
          </w:p>
          <w:p w14:paraId="24FA09BF"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Construction (ou réfection) et équipement des laboratoires régionaux de contrôle de semences</w:t>
            </w:r>
          </w:p>
          <w:p w14:paraId="2754A128"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Réfection et équipement du laboratoire national</w:t>
            </w:r>
          </w:p>
          <w:p w14:paraId="74B73AEB"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Construction de Parcs à vaccination</w:t>
            </w:r>
          </w:p>
          <w:p w14:paraId="345C3CD6"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Installation d'une salle blanche de 30 m2 pour la mise aux normes de qualité et de biosécurité des locaux de production de vaccins</w:t>
            </w:r>
          </w:p>
          <w:p w14:paraId="5196B422"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Extension des zones de production (Réaménagement des locaux)</w:t>
            </w:r>
          </w:p>
          <w:p w14:paraId="1D8966C1"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Mise en place de plateforme d’engraissement intensif de bovins</w:t>
            </w:r>
          </w:p>
          <w:p w14:paraId="3B37AAE4"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Construction de plateformes de </w:t>
            </w:r>
            <w:r w:rsidRPr="00E01239">
              <w:rPr>
                <w:rFonts w:asciiTheme="minorHAnsi" w:hAnsiTheme="minorHAnsi" w:cstheme="minorHAnsi"/>
                <w:sz w:val="22"/>
                <w:szCs w:val="22"/>
              </w:rPr>
              <w:t>production de porcs </w:t>
            </w:r>
            <w:r w:rsidRPr="00E01239">
              <w:rPr>
                <w:rFonts w:asciiTheme="minorHAnsi" w:hAnsiTheme="minorHAnsi" w:cstheme="minorHAnsi"/>
                <w:color w:val="000000"/>
                <w:sz w:val="22"/>
                <w:szCs w:val="22"/>
              </w:rPr>
              <w:t xml:space="preserve">: </w:t>
            </w:r>
          </w:p>
          <w:p w14:paraId="61A3D02E"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Construction de postes vétérinaires et de postes d’inspection frontaliers (PIF) en lots multiples</w:t>
            </w:r>
          </w:p>
          <w:p w14:paraId="64766F5E"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Travaux de réhabilitation de 4 CIMEL</w:t>
            </w:r>
          </w:p>
          <w:p w14:paraId="2E9B5040" w14:textId="77777777" w:rsidR="00557597" w:rsidRPr="00E01239" w:rsidRDefault="00557597" w:rsidP="00557597">
            <w:pPr>
              <w:pStyle w:val="Paragraphedeliste"/>
              <w:numPr>
                <w:ilvl w:val="0"/>
                <w:numId w:val="197"/>
              </w:numPr>
              <w:rPr>
                <w:rFonts w:asciiTheme="minorHAnsi" w:hAnsiTheme="minorHAnsi" w:cstheme="minorHAnsi"/>
                <w:color w:val="000000"/>
                <w:sz w:val="22"/>
                <w:szCs w:val="22"/>
              </w:rPr>
            </w:pPr>
            <w:r w:rsidRPr="00E01239">
              <w:rPr>
                <w:rFonts w:asciiTheme="minorHAnsi" w:hAnsiTheme="minorHAnsi" w:cstheme="minorHAnsi"/>
                <w:color w:val="000000"/>
                <w:sz w:val="22"/>
                <w:szCs w:val="22"/>
              </w:rPr>
              <w:t>Travaux d'aménagement d'un centre d'incubation pour la transformation et la valorisation des produits</w:t>
            </w:r>
          </w:p>
          <w:p w14:paraId="17627EB2" w14:textId="77777777" w:rsidR="00557597" w:rsidRPr="00E01239" w:rsidRDefault="00557597" w:rsidP="003A04BD">
            <w:pPr>
              <w:spacing w:after="160" w:line="259" w:lineRule="auto"/>
              <w:jc w:val="both"/>
              <w:rPr>
                <w:rFonts w:asciiTheme="minorHAnsi" w:hAnsiTheme="minorHAnsi" w:cstheme="minorHAnsi"/>
                <w:sz w:val="22"/>
                <w:szCs w:val="22"/>
              </w:rPr>
            </w:pPr>
          </w:p>
        </w:tc>
      </w:tr>
    </w:tbl>
    <w:p w14:paraId="65D5A66E" w14:textId="77777777" w:rsidR="00557597" w:rsidRPr="00E01239" w:rsidRDefault="00557597" w:rsidP="00557597">
      <w:pPr>
        <w:spacing w:after="160" w:line="259" w:lineRule="auto"/>
        <w:jc w:val="both"/>
        <w:rPr>
          <w:rFonts w:asciiTheme="minorHAnsi" w:hAnsiTheme="minorHAnsi" w:cstheme="minorHAnsi"/>
          <w:b/>
          <w:bCs/>
          <w:sz w:val="22"/>
          <w:szCs w:val="22"/>
        </w:rPr>
      </w:pPr>
    </w:p>
    <w:p w14:paraId="505EB28F" w14:textId="5F6598E8" w:rsidR="00557597" w:rsidRPr="00E01239" w:rsidRDefault="00557597" w:rsidP="00557597">
      <w:pPr>
        <w:spacing w:after="160" w:line="259" w:lineRule="auto"/>
        <w:jc w:val="both"/>
        <w:rPr>
          <w:rFonts w:asciiTheme="minorHAnsi" w:hAnsiTheme="minorHAnsi" w:cstheme="minorHAnsi"/>
          <w:sz w:val="22"/>
          <w:szCs w:val="22"/>
        </w:rPr>
      </w:pPr>
      <w:r w:rsidRPr="00E01239">
        <w:rPr>
          <w:rFonts w:asciiTheme="minorHAnsi" w:hAnsiTheme="minorHAnsi" w:cstheme="minorHAnsi"/>
          <w:b/>
          <w:bCs/>
          <w:sz w:val="22"/>
          <w:szCs w:val="22"/>
        </w:rPr>
        <w:lastRenderedPageBreak/>
        <w:t xml:space="preserve">Par ailleurs, </w:t>
      </w:r>
      <w:r w:rsidRPr="00E01239">
        <w:rPr>
          <w:rFonts w:asciiTheme="minorHAnsi" w:hAnsiTheme="minorHAnsi" w:cstheme="minorHAnsi"/>
          <w:b/>
          <w:bCs/>
          <w:sz w:val="22"/>
          <w:szCs w:val="22"/>
          <w:lang w:val="fr-SN"/>
        </w:rPr>
        <w:t>le programme FSRP-SN</w:t>
      </w:r>
      <w:r w:rsidRPr="00E01239">
        <w:rPr>
          <w:rFonts w:asciiTheme="minorHAnsi" w:hAnsiTheme="minorHAnsi" w:cstheme="minorHAnsi"/>
          <w:b/>
          <w:bCs/>
          <w:sz w:val="22"/>
          <w:szCs w:val="22"/>
        </w:rPr>
        <w:t xml:space="preserve"> de</w:t>
      </w:r>
      <w:r w:rsidRPr="00E01239">
        <w:rPr>
          <w:rFonts w:asciiTheme="minorHAnsi" w:hAnsiTheme="minorHAnsi" w:cstheme="minorHAnsi"/>
          <w:b/>
          <w:bCs/>
          <w:sz w:val="22"/>
          <w:szCs w:val="22"/>
          <w:lang w:val="fr-SN"/>
        </w:rPr>
        <w:t>s subventions de contrepartie (Matching Grant)</w:t>
      </w:r>
      <w:r w:rsidRPr="00E01239">
        <w:rPr>
          <w:rFonts w:asciiTheme="minorHAnsi" w:hAnsiTheme="minorHAnsi" w:cstheme="minorHAnsi"/>
          <w:sz w:val="22"/>
          <w:szCs w:val="22"/>
          <w:lang w:val="fr-SN"/>
        </w:rPr>
        <w:t xml:space="preserve"> incitatives au secteur privé soutien</w:t>
      </w:r>
      <w:r w:rsidR="001A0D1C">
        <w:rPr>
          <w:rFonts w:asciiTheme="minorHAnsi" w:hAnsiTheme="minorHAnsi" w:cstheme="minorHAnsi"/>
          <w:sz w:val="22"/>
          <w:szCs w:val="22"/>
          <w:lang w:val="fr-SN"/>
        </w:rPr>
        <w:t>t</w:t>
      </w:r>
      <w:r w:rsidRPr="00E01239">
        <w:rPr>
          <w:rFonts w:asciiTheme="minorHAnsi" w:hAnsiTheme="minorHAnsi" w:cstheme="minorHAnsi"/>
          <w:sz w:val="22"/>
          <w:szCs w:val="22"/>
          <w:lang w:val="fr-SN"/>
        </w:rPr>
        <w:t xml:space="preserve"> les projets permettant une amélioration des performance</w:t>
      </w:r>
      <w:r w:rsidR="00BB6AC2">
        <w:rPr>
          <w:rFonts w:asciiTheme="minorHAnsi" w:hAnsiTheme="minorHAnsi" w:cstheme="minorHAnsi"/>
          <w:sz w:val="22"/>
          <w:szCs w:val="22"/>
          <w:lang w:val="fr-SN"/>
        </w:rPr>
        <w:t>s</w:t>
      </w:r>
      <w:r w:rsidRPr="00E01239">
        <w:rPr>
          <w:rFonts w:asciiTheme="minorHAnsi" w:hAnsiTheme="minorHAnsi" w:cstheme="minorHAnsi"/>
          <w:sz w:val="22"/>
          <w:szCs w:val="22"/>
          <w:lang w:val="fr-SN"/>
        </w:rPr>
        <w:t xml:space="preserve"> économiques, sociales et environnementales. Le financement des sous-projets soutenus par le programme FSRP-SN se fera à travers la combinaison de plusieurs mécanismes que sont : (i) les ressources propres des porteurs de sous-projets ; (ii) la subvention de contrepartie (Matching Grant) fourni par le programme FRSP-SN ; et (iii) les apports en capitaux et investissements à moyen ou long terme et les crédits octroyés par les institutions de financement (banques et institutions de microfinance, avec l’appui éventuel des fonds de crédit). </w:t>
      </w:r>
    </w:p>
    <w:p w14:paraId="5BF507AA" w14:textId="5F15BAAE" w:rsidR="00557597" w:rsidRPr="00E01239" w:rsidRDefault="00557597" w:rsidP="00557597">
      <w:pPr>
        <w:jc w:val="both"/>
        <w:rPr>
          <w:rFonts w:asciiTheme="minorHAnsi" w:hAnsiTheme="minorHAnsi" w:cstheme="minorHAnsi"/>
          <w:sz w:val="22"/>
          <w:szCs w:val="22"/>
          <w:lang w:val="fr-SN"/>
        </w:rPr>
      </w:pPr>
      <w:r w:rsidRPr="00E01239">
        <w:rPr>
          <w:rFonts w:asciiTheme="minorHAnsi" w:hAnsiTheme="minorHAnsi" w:cstheme="minorHAnsi"/>
          <w:sz w:val="22"/>
          <w:szCs w:val="22"/>
          <w:lang w:val="fr-SN"/>
        </w:rPr>
        <w:t>La participation à ce programme de Matching Grant sera conditionnée à une évaluation qui montre les améliorations sociales et environnementales apportées par le projet. Les critères d’éligibilité et le processus de sélection ser</w:t>
      </w:r>
      <w:r w:rsidR="009E5BC4">
        <w:rPr>
          <w:rFonts w:asciiTheme="minorHAnsi" w:hAnsiTheme="minorHAnsi" w:cstheme="minorHAnsi"/>
          <w:sz w:val="22"/>
          <w:szCs w:val="22"/>
          <w:lang w:val="fr-SN"/>
        </w:rPr>
        <w:t>ont</w:t>
      </w:r>
      <w:r w:rsidRPr="00E01239">
        <w:rPr>
          <w:rFonts w:asciiTheme="minorHAnsi" w:hAnsiTheme="minorHAnsi" w:cstheme="minorHAnsi"/>
          <w:sz w:val="22"/>
          <w:szCs w:val="22"/>
          <w:lang w:val="fr-SN"/>
        </w:rPr>
        <w:t xml:space="preserve"> diffus</w:t>
      </w:r>
      <w:r w:rsidR="009E5BC4">
        <w:rPr>
          <w:rFonts w:asciiTheme="minorHAnsi" w:hAnsiTheme="minorHAnsi" w:cstheme="minorHAnsi"/>
          <w:sz w:val="22"/>
          <w:szCs w:val="22"/>
          <w:lang w:val="fr-SN"/>
        </w:rPr>
        <w:t>és</w:t>
      </w:r>
      <w:r w:rsidRPr="00E01239">
        <w:rPr>
          <w:rFonts w:asciiTheme="minorHAnsi" w:hAnsiTheme="minorHAnsi" w:cstheme="minorHAnsi"/>
          <w:sz w:val="22"/>
          <w:szCs w:val="22"/>
          <w:lang w:val="fr-SN"/>
        </w:rPr>
        <w:t xml:space="preserve"> de manière transparente auprès des bénéficiaires potentiels. </w:t>
      </w:r>
    </w:p>
    <w:p w14:paraId="6233FE4A" w14:textId="77777777" w:rsidR="00557597" w:rsidRPr="00E01239" w:rsidRDefault="00557597" w:rsidP="00557597">
      <w:pPr>
        <w:jc w:val="both"/>
        <w:rPr>
          <w:rFonts w:asciiTheme="minorHAnsi" w:hAnsiTheme="minorHAnsi" w:cstheme="minorHAnsi"/>
          <w:sz w:val="22"/>
          <w:szCs w:val="22"/>
          <w:lang w:val="fr-SN"/>
        </w:rPr>
      </w:pPr>
    </w:p>
    <w:tbl>
      <w:tblPr>
        <w:tblStyle w:val="Grilledutableau"/>
        <w:tblW w:w="0" w:type="auto"/>
        <w:shd w:val="clear" w:color="auto" w:fill="F2F2F2" w:themeFill="background1" w:themeFillShade="F2"/>
        <w:tblLook w:val="04A0" w:firstRow="1" w:lastRow="0" w:firstColumn="1" w:lastColumn="0" w:noHBand="0" w:noVBand="1"/>
      </w:tblPr>
      <w:tblGrid>
        <w:gridCol w:w="9060"/>
      </w:tblGrid>
      <w:tr w:rsidR="00557597" w:rsidRPr="00E01239" w14:paraId="7B12E7AA" w14:textId="77777777" w:rsidTr="7CB1727A">
        <w:tc>
          <w:tcPr>
            <w:tcW w:w="9060" w:type="dxa"/>
            <w:shd w:val="clear" w:color="auto" w:fill="F2F2F2" w:themeFill="background1" w:themeFillShade="F2"/>
          </w:tcPr>
          <w:p w14:paraId="7FAF4E8C" w14:textId="77777777" w:rsidR="00557597" w:rsidRPr="00E01239" w:rsidRDefault="00557597" w:rsidP="003A04BD">
            <w:pPr>
              <w:jc w:val="both"/>
              <w:rPr>
                <w:rFonts w:asciiTheme="minorHAnsi" w:hAnsiTheme="minorHAnsi" w:cstheme="minorHAnsi"/>
                <w:b/>
                <w:bCs/>
                <w:sz w:val="22"/>
                <w:szCs w:val="22"/>
                <w:lang w:val="fr-SN"/>
              </w:rPr>
            </w:pPr>
            <w:r w:rsidRPr="00E01239">
              <w:rPr>
                <w:rFonts w:asciiTheme="minorHAnsi" w:hAnsiTheme="minorHAnsi" w:cstheme="minorHAnsi"/>
                <w:b/>
                <w:bCs/>
                <w:sz w:val="22"/>
                <w:szCs w:val="22"/>
                <w:lang w:val="fr-SN"/>
              </w:rPr>
              <w:t>Programme de Matching Grant :</w:t>
            </w:r>
          </w:p>
          <w:p w14:paraId="03653FC2" w14:textId="77777777" w:rsidR="00557597" w:rsidRPr="00E01239" w:rsidRDefault="00557597" w:rsidP="003A04BD">
            <w:pPr>
              <w:jc w:val="both"/>
              <w:rPr>
                <w:rFonts w:asciiTheme="minorHAnsi" w:hAnsiTheme="minorHAnsi" w:cstheme="minorHAnsi"/>
                <w:sz w:val="22"/>
                <w:szCs w:val="22"/>
                <w:lang w:val="fr-SN"/>
              </w:rPr>
            </w:pPr>
            <w:r w:rsidRPr="00E01239">
              <w:rPr>
                <w:rFonts w:asciiTheme="minorHAnsi" w:hAnsiTheme="minorHAnsi" w:cstheme="minorHAnsi"/>
                <w:sz w:val="22"/>
                <w:szCs w:val="22"/>
                <w:lang w:val="fr-SN"/>
              </w:rPr>
              <w:t>La structuration et le schéma de financement est décrit dans le plan indicatif de financement des sous-projets comme suit :</w:t>
            </w:r>
          </w:p>
          <w:p w14:paraId="5E4BA25B" w14:textId="77777777" w:rsidR="00557597" w:rsidRPr="00E01239" w:rsidRDefault="00557597" w:rsidP="00557597">
            <w:pPr>
              <w:pStyle w:val="Paragraphedeliste"/>
              <w:widowControl w:val="0"/>
              <w:numPr>
                <w:ilvl w:val="0"/>
                <w:numId w:val="196"/>
              </w:numPr>
              <w:spacing w:before="60" w:after="60"/>
              <w:jc w:val="both"/>
              <w:rPr>
                <w:rFonts w:asciiTheme="minorHAnsi" w:hAnsiTheme="minorHAnsi" w:cstheme="minorHAnsi"/>
                <w:sz w:val="22"/>
                <w:szCs w:val="22"/>
                <w:lang w:val="fr-SN"/>
              </w:rPr>
            </w:pPr>
            <w:r w:rsidRPr="00E01239">
              <w:rPr>
                <w:rFonts w:asciiTheme="minorHAnsi" w:hAnsiTheme="minorHAnsi" w:cstheme="minorHAnsi"/>
                <w:sz w:val="22"/>
                <w:szCs w:val="22"/>
                <w:lang w:val="fr-SN"/>
              </w:rPr>
              <w:t xml:space="preserve">Une </w:t>
            </w:r>
            <w:r w:rsidRPr="00E01239">
              <w:rPr>
                <w:rFonts w:asciiTheme="minorHAnsi" w:hAnsiTheme="minorHAnsi" w:cstheme="minorHAnsi"/>
                <w:b/>
                <w:bCs/>
                <w:sz w:val="22"/>
                <w:szCs w:val="22"/>
                <w:lang w:val="fr-SN"/>
              </w:rPr>
              <w:t>première catégorie de sous-projets de petite taille,</w:t>
            </w:r>
            <w:r w:rsidRPr="00E01239">
              <w:rPr>
                <w:rFonts w:asciiTheme="minorHAnsi" w:hAnsiTheme="minorHAnsi" w:cstheme="minorHAnsi"/>
                <w:sz w:val="22"/>
                <w:szCs w:val="22"/>
                <w:lang w:val="fr-SN"/>
              </w:rPr>
              <w:t xml:space="preserve"> divisée en deux sous-catégories (amélioration de la chaîne de valeurs et amélioration combinée avec une innovation environnementale ou sociale). Seuls les groupements ou coopératives de producteurs et de transformateurs peuvent soumettre des sous-projets pour cette catégorie.</w:t>
            </w:r>
          </w:p>
          <w:p w14:paraId="16A075B2" w14:textId="77777777" w:rsidR="00557597" w:rsidRPr="00E01239" w:rsidRDefault="00557597" w:rsidP="00557597">
            <w:pPr>
              <w:pStyle w:val="Paragraphedeliste"/>
              <w:widowControl w:val="0"/>
              <w:numPr>
                <w:ilvl w:val="1"/>
                <w:numId w:val="196"/>
              </w:numPr>
              <w:spacing w:before="60" w:after="60"/>
              <w:ind w:left="1134"/>
              <w:jc w:val="both"/>
              <w:rPr>
                <w:rFonts w:asciiTheme="minorHAnsi" w:hAnsiTheme="minorHAnsi" w:cstheme="minorHAnsi"/>
                <w:sz w:val="22"/>
                <w:szCs w:val="22"/>
                <w:lang w:val="fr-SN"/>
              </w:rPr>
            </w:pPr>
            <w:proofErr w:type="gramStart"/>
            <w:r w:rsidRPr="00E01239">
              <w:rPr>
                <w:rFonts w:asciiTheme="minorHAnsi" w:hAnsiTheme="minorHAnsi" w:cstheme="minorHAnsi"/>
                <w:b/>
                <w:bCs/>
                <w:sz w:val="22"/>
                <w:szCs w:val="22"/>
                <w:lang w:val="fr-SN"/>
              </w:rPr>
              <w:t>sous</w:t>
            </w:r>
            <w:proofErr w:type="gramEnd"/>
            <w:r w:rsidRPr="00E01239">
              <w:rPr>
                <w:rFonts w:asciiTheme="minorHAnsi" w:hAnsiTheme="minorHAnsi" w:cstheme="minorHAnsi"/>
                <w:b/>
                <w:bCs/>
                <w:sz w:val="22"/>
                <w:szCs w:val="22"/>
                <w:lang w:val="fr-SN"/>
              </w:rPr>
              <w:t>-projets</w:t>
            </w:r>
            <w:r w:rsidRPr="00E01239">
              <w:rPr>
                <w:rFonts w:asciiTheme="minorHAnsi" w:hAnsiTheme="minorHAnsi" w:cstheme="minorHAnsi"/>
                <w:sz w:val="22"/>
                <w:szCs w:val="22"/>
                <w:lang w:val="fr-SN"/>
              </w:rPr>
              <w:t xml:space="preserve"> de petite taille d’un montant maximum de </w:t>
            </w:r>
            <w:r w:rsidRPr="00E01239">
              <w:rPr>
                <w:rFonts w:asciiTheme="minorHAnsi" w:hAnsiTheme="minorHAnsi" w:cstheme="minorHAnsi"/>
                <w:b/>
                <w:bCs/>
                <w:sz w:val="22"/>
                <w:szCs w:val="22"/>
                <w:lang w:val="fr-SN"/>
              </w:rPr>
              <w:t>US$ 10.000</w:t>
            </w:r>
            <w:r w:rsidRPr="00E01239">
              <w:rPr>
                <w:rFonts w:asciiTheme="minorHAnsi" w:hAnsiTheme="minorHAnsi" w:cstheme="minorHAnsi"/>
                <w:sz w:val="22"/>
                <w:szCs w:val="22"/>
                <w:lang w:val="fr-SN"/>
              </w:rPr>
              <w:t xml:space="preserve"> seront soutenus avec un MG d’un montant maximum de US$ 7.000, représentant </w:t>
            </w:r>
            <w:r w:rsidRPr="00E01239">
              <w:rPr>
                <w:rFonts w:asciiTheme="minorHAnsi" w:hAnsiTheme="minorHAnsi" w:cstheme="minorHAnsi"/>
                <w:b/>
                <w:bCs/>
                <w:sz w:val="22"/>
                <w:szCs w:val="22"/>
                <w:lang w:val="fr-SN"/>
              </w:rPr>
              <w:t>70 pourcent</w:t>
            </w:r>
            <w:r w:rsidRPr="00E01239">
              <w:rPr>
                <w:rFonts w:asciiTheme="minorHAnsi" w:hAnsiTheme="minorHAnsi" w:cstheme="minorHAnsi"/>
                <w:sz w:val="22"/>
                <w:szCs w:val="22"/>
                <w:lang w:val="fr-SN"/>
              </w:rPr>
              <w:t xml:space="preserve"> du coût du financement, avec un apport des porteurs et promoteurs du sous-projet de </w:t>
            </w:r>
            <w:r w:rsidRPr="00E01239">
              <w:rPr>
                <w:rFonts w:asciiTheme="minorHAnsi" w:hAnsiTheme="minorHAnsi" w:cstheme="minorHAnsi"/>
                <w:b/>
                <w:bCs/>
                <w:sz w:val="22"/>
                <w:szCs w:val="22"/>
                <w:lang w:val="fr-SN"/>
              </w:rPr>
              <w:t>10 pourcent</w:t>
            </w:r>
            <w:r w:rsidRPr="00E01239">
              <w:rPr>
                <w:rFonts w:asciiTheme="minorHAnsi" w:hAnsiTheme="minorHAnsi" w:cstheme="minorHAnsi"/>
                <w:sz w:val="22"/>
                <w:szCs w:val="22"/>
                <w:lang w:val="fr-SN"/>
              </w:rPr>
              <w:t xml:space="preserve">, combiné à un financement à crédit ou en capital de </w:t>
            </w:r>
            <w:r w:rsidRPr="00E01239">
              <w:rPr>
                <w:rFonts w:asciiTheme="minorHAnsi" w:hAnsiTheme="minorHAnsi" w:cstheme="minorHAnsi"/>
                <w:b/>
                <w:bCs/>
                <w:sz w:val="22"/>
                <w:szCs w:val="22"/>
                <w:lang w:val="fr-SN"/>
              </w:rPr>
              <w:t>20 pourcent</w:t>
            </w:r>
            <w:r w:rsidRPr="00E01239">
              <w:rPr>
                <w:rFonts w:asciiTheme="minorHAnsi" w:hAnsiTheme="minorHAnsi" w:cstheme="minorHAnsi"/>
                <w:sz w:val="22"/>
                <w:szCs w:val="22"/>
                <w:lang w:val="fr-SN"/>
              </w:rPr>
              <w:t xml:space="preserve"> par une banque, une institution de microfinance ou un investisseur.</w:t>
            </w:r>
          </w:p>
          <w:p w14:paraId="24CFF213" w14:textId="5FA78604" w:rsidR="00557597" w:rsidRPr="00E01239" w:rsidRDefault="00557597" w:rsidP="00557597">
            <w:pPr>
              <w:pStyle w:val="Paragraphedeliste"/>
              <w:widowControl w:val="0"/>
              <w:numPr>
                <w:ilvl w:val="1"/>
                <w:numId w:val="196"/>
              </w:numPr>
              <w:spacing w:before="60" w:after="60"/>
              <w:ind w:left="1134"/>
              <w:jc w:val="both"/>
              <w:rPr>
                <w:rFonts w:asciiTheme="minorHAnsi" w:hAnsiTheme="minorHAnsi" w:cstheme="minorHAnsi"/>
                <w:sz w:val="22"/>
                <w:szCs w:val="22"/>
                <w:lang w:val="fr-SN"/>
              </w:rPr>
            </w:pPr>
            <w:proofErr w:type="gramStart"/>
            <w:r w:rsidRPr="00E01239">
              <w:rPr>
                <w:rFonts w:asciiTheme="minorHAnsi" w:hAnsiTheme="minorHAnsi" w:cstheme="minorHAnsi"/>
                <w:b/>
                <w:bCs/>
                <w:sz w:val="22"/>
                <w:szCs w:val="22"/>
                <w:lang w:val="fr-SN"/>
              </w:rPr>
              <w:t>sous</w:t>
            </w:r>
            <w:proofErr w:type="gramEnd"/>
            <w:r w:rsidRPr="00E01239">
              <w:rPr>
                <w:rFonts w:asciiTheme="minorHAnsi" w:hAnsiTheme="minorHAnsi" w:cstheme="minorHAnsi"/>
                <w:b/>
                <w:bCs/>
                <w:sz w:val="22"/>
                <w:szCs w:val="22"/>
                <w:lang w:val="fr-SN"/>
              </w:rPr>
              <w:t>-projets</w:t>
            </w:r>
            <w:r w:rsidRPr="00E01239">
              <w:rPr>
                <w:rFonts w:asciiTheme="minorHAnsi" w:hAnsiTheme="minorHAnsi" w:cstheme="minorHAnsi"/>
                <w:sz w:val="22"/>
                <w:szCs w:val="22"/>
                <w:lang w:val="fr-SN"/>
              </w:rPr>
              <w:t xml:space="preserve"> de petite taille, </w:t>
            </w:r>
            <w:r w:rsidRPr="00E01239">
              <w:rPr>
                <w:rFonts w:asciiTheme="minorHAnsi" w:hAnsiTheme="minorHAnsi" w:cstheme="minorHAnsi"/>
                <w:i/>
                <w:iCs/>
                <w:sz w:val="22"/>
                <w:szCs w:val="22"/>
                <w:lang w:val="fr-SN"/>
              </w:rPr>
              <w:t>port</w:t>
            </w:r>
            <w:r w:rsidR="00BB5DFE">
              <w:rPr>
                <w:rFonts w:asciiTheme="minorHAnsi" w:hAnsiTheme="minorHAnsi" w:cstheme="minorHAnsi"/>
                <w:i/>
                <w:iCs/>
                <w:sz w:val="22"/>
                <w:szCs w:val="22"/>
                <w:lang w:val="fr-SN"/>
              </w:rPr>
              <w:t>é</w:t>
            </w:r>
            <w:r w:rsidRPr="00E01239">
              <w:rPr>
                <w:rFonts w:asciiTheme="minorHAnsi" w:hAnsiTheme="minorHAnsi" w:cstheme="minorHAnsi"/>
                <w:i/>
                <w:iCs/>
                <w:sz w:val="22"/>
                <w:szCs w:val="22"/>
                <w:lang w:val="fr-SN"/>
              </w:rPr>
              <w:t>s par des jeunes (moins de 35 ans) ou des femmes</w:t>
            </w:r>
            <w:r w:rsidRPr="00E01239">
              <w:rPr>
                <w:rFonts w:asciiTheme="minorHAnsi" w:hAnsiTheme="minorHAnsi" w:cstheme="minorHAnsi"/>
                <w:sz w:val="22"/>
                <w:szCs w:val="22"/>
                <w:lang w:val="fr-SN"/>
              </w:rPr>
              <w:t xml:space="preserve">, d’un montant maximum de </w:t>
            </w:r>
            <w:r w:rsidRPr="00E01239">
              <w:rPr>
                <w:rFonts w:asciiTheme="minorHAnsi" w:hAnsiTheme="minorHAnsi" w:cstheme="minorHAnsi"/>
                <w:b/>
                <w:bCs/>
                <w:sz w:val="22"/>
                <w:szCs w:val="22"/>
                <w:lang w:val="fr-SN"/>
              </w:rPr>
              <w:t>US$ 10.000</w:t>
            </w:r>
            <w:r w:rsidRPr="00E01239">
              <w:rPr>
                <w:rFonts w:asciiTheme="minorHAnsi" w:hAnsiTheme="minorHAnsi" w:cstheme="minorHAnsi"/>
                <w:sz w:val="22"/>
                <w:szCs w:val="22"/>
                <w:lang w:val="fr-SN"/>
              </w:rPr>
              <w:t xml:space="preserve"> seront soutenus avec un MG d’un montant maximum de US$ 8.000, représentant </w:t>
            </w:r>
            <w:r w:rsidRPr="00E01239">
              <w:rPr>
                <w:rFonts w:asciiTheme="minorHAnsi" w:hAnsiTheme="minorHAnsi" w:cstheme="minorHAnsi"/>
                <w:b/>
                <w:bCs/>
                <w:i/>
                <w:iCs/>
                <w:sz w:val="22"/>
                <w:szCs w:val="22"/>
                <w:lang w:val="fr-SN"/>
              </w:rPr>
              <w:t>70 pourcent</w:t>
            </w:r>
            <w:r w:rsidRPr="00E01239">
              <w:rPr>
                <w:rFonts w:asciiTheme="minorHAnsi" w:hAnsiTheme="minorHAnsi" w:cstheme="minorHAnsi"/>
                <w:sz w:val="22"/>
                <w:szCs w:val="22"/>
                <w:lang w:val="fr-SN"/>
              </w:rPr>
              <w:t xml:space="preserve"> du coût du financement auquel s’ajoute une bonification de </w:t>
            </w:r>
            <w:r w:rsidRPr="00E01239">
              <w:rPr>
                <w:rFonts w:asciiTheme="minorHAnsi" w:hAnsiTheme="minorHAnsi" w:cstheme="minorHAnsi"/>
                <w:b/>
                <w:bCs/>
                <w:i/>
                <w:iCs/>
                <w:sz w:val="22"/>
                <w:szCs w:val="22"/>
                <w:lang w:val="fr-SN"/>
              </w:rPr>
              <w:t>10 pourcent</w:t>
            </w:r>
            <w:r w:rsidRPr="00E01239">
              <w:rPr>
                <w:rFonts w:asciiTheme="minorHAnsi" w:hAnsiTheme="minorHAnsi" w:cstheme="minorHAnsi"/>
                <w:sz w:val="22"/>
                <w:szCs w:val="22"/>
                <w:lang w:val="fr-SN"/>
              </w:rPr>
              <w:t xml:space="preserve">, avec un apport des porteurs et promoteurs du sous-projet de </w:t>
            </w:r>
            <w:r w:rsidRPr="00E01239">
              <w:rPr>
                <w:rFonts w:asciiTheme="minorHAnsi" w:hAnsiTheme="minorHAnsi" w:cstheme="minorHAnsi"/>
                <w:b/>
                <w:bCs/>
                <w:i/>
                <w:iCs/>
                <w:sz w:val="22"/>
                <w:szCs w:val="22"/>
                <w:lang w:val="fr-SN"/>
              </w:rPr>
              <w:t>10 pourcent</w:t>
            </w:r>
            <w:r w:rsidRPr="00E01239">
              <w:rPr>
                <w:rFonts w:asciiTheme="minorHAnsi" w:hAnsiTheme="minorHAnsi" w:cstheme="minorHAnsi"/>
                <w:sz w:val="22"/>
                <w:szCs w:val="22"/>
                <w:lang w:val="fr-SN"/>
              </w:rPr>
              <w:t xml:space="preserve">, combiné à un financement à crédit ou en capital de </w:t>
            </w:r>
            <w:r w:rsidRPr="00E01239">
              <w:rPr>
                <w:rFonts w:asciiTheme="minorHAnsi" w:hAnsiTheme="minorHAnsi" w:cstheme="minorHAnsi"/>
                <w:b/>
                <w:bCs/>
                <w:i/>
                <w:iCs/>
                <w:sz w:val="22"/>
                <w:szCs w:val="22"/>
                <w:lang w:val="fr-SN"/>
              </w:rPr>
              <w:t>10 pourcent</w:t>
            </w:r>
            <w:r w:rsidRPr="00E01239">
              <w:rPr>
                <w:rFonts w:asciiTheme="minorHAnsi" w:hAnsiTheme="minorHAnsi" w:cstheme="minorHAnsi"/>
                <w:sz w:val="22"/>
                <w:szCs w:val="22"/>
                <w:lang w:val="fr-SN"/>
              </w:rPr>
              <w:t xml:space="preserve"> par une banque, une institution de microfinance ou un investisseur.</w:t>
            </w:r>
          </w:p>
          <w:p w14:paraId="58869685" w14:textId="77777777" w:rsidR="00557597" w:rsidRPr="00E01239" w:rsidRDefault="00557597" w:rsidP="00557597">
            <w:pPr>
              <w:pStyle w:val="Paragraphedeliste"/>
              <w:widowControl w:val="0"/>
              <w:numPr>
                <w:ilvl w:val="0"/>
                <w:numId w:val="196"/>
              </w:numPr>
              <w:spacing w:before="60" w:after="60"/>
              <w:jc w:val="both"/>
              <w:rPr>
                <w:rFonts w:asciiTheme="minorHAnsi" w:hAnsiTheme="minorHAnsi" w:cstheme="minorHAnsi"/>
                <w:sz w:val="22"/>
                <w:szCs w:val="22"/>
                <w:lang w:val="fr-SN"/>
              </w:rPr>
            </w:pPr>
            <w:proofErr w:type="gramStart"/>
            <w:r w:rsidRPr="00E01239">
              <w:rPr>
                <w:rFonts w:asciiTheme="minorHAnsi" w:hAnsiTheme="minorHAnsi" w:cstheme="minorHAnsi"/>
                <w:b/>
                <w:bCs/>
                <w:sz w:val="22"/>
                <w:szCs w:val="22"/>
                <w:lang w:val="fr-SN"/>
              </w:rPr>
              <w:t>sous</w:t>
            </w:r>
            <w:proofErr w:type="gramEnd"/>
            <w:r w:rsidRPr="00E01239">
              <w:rPr>
                <w:rFonts w:asciiTheme="minorHAnsi" w:hAnsiTheme="minorHAnsi" w:cstheme="minorHAnsi"/>
                <w:b/>
                <w:bCs/>
                <w:sz w:val="22"/>
                <w:szCs w:val="22"/>
                <w:lang w:val="fr-SN"/>
              </w:rPr>
              <w:t>-projets de taille moyenne</w:t>
            </w:r>
            <w:r w:rsidRPr="00E01239">
              <w:rPr>
                <w:rFonts w:asciiTheme="minorHAnsi" w:hAnsiTheme="minorHAnsi" w:cstheme="minorHAnsi"/>
                <w:sz w:val="22"/>
                <w:szCs w:val="22"/>
                <w:lang w:val="fr-SN"/>
              </w:rPr>
              <w:t xml:space="preserve"> pour laquelle environ </w:t>
            </w:r>
            <w:r w:rsidRPr="00E01239">
              <w:rPr>
                <w:rFonts w:asciiTheme="minorHAnsi" w:hAnsiTheme="minorHAnsi" w:cstheme="minorHAnsi"/>
                <w:b/>
                <w:bCs/>
                <w:sz w:val="22"/>
                <w:szCs w:val="22"/>
                <w:lang w:val="fr-SN"/>
              </w:rPr>
              <w:t>1.000 sous-projets</w:t>
            </w:r>
            <w:r w:rsidRPr="00E01239">
              <w:rPr>
                <w:rFonts w:asciiTheme="minorHAnsi" w:hAnsiTheme="minorHAnsi" w:cstheme="minorHAnsi"/>
                <w:sz w:val="22"/>
                <w:szCs w:val="22"/>
                <w:lang w:val="fr-SN"/>
              </w:rPr>
              <w:t xml:space="preserve"> de taille moyenne, d’un montant maximum de US$ 50.000 seront soutenus avec un MG d’un montant maximum de US$ 25.000, représentant </w:t>
            </w:r>
            <w:r w:rsidRPr="00E01239">
              <w:rPr>
                <w:rFonts w:asciiTheme="minorHAnsi" w:hAnsiTheme="minorHAnsi" w:cstheme="minorHAnsi"/>
                <w:b/>
                <w:bCs/>
                <w:i/>
                <w:iCs/>
                <w:sz w:val="22"/>
                <w:szCs w:val="22"/>
                <w:lang w:val="fr-SN"/>
              </w:rPr>
              <w:t>50 pourcent</w:t>
            </w:r>
            <w:r w:rsidRPr="00E01239">
              <w:rPr>
                <w:rFonts w:asciiTheme="minorHAnsi" w:hAnsiTheme="minorHAnsi" w:cstheme="minorHAnsi"/>
                <w:sz w:val="22"/>
                <w:szCs w:val="22"/>
                <w:lang w:val="fr-SN"/>
              </w:rPr>
              <w:t xml:space="preserve"> du coût du financement, avec un apport des porteurs et promoteurs du sous-projet de </w:t>
            </w:r>
            <w:r w:rsidRPr="00E01239">
              <w:rPr>
                <w:rFonts w:asciiTheme="minorHAnsi" w:hAnsiTheme="minorHAnsi" w:cstheme="minorHAnsi"/>
                <w:b/>
                <w:bCs/>
                <w:i/>
                <w:iCs/>
                <w:sz w:val="22"/>
                <w:szCs w:val="22"/>
                <w:lang w:val="fr-SN"/>
              </w:rPr>
              <w:t>20 pourcent</w:t>
            </w:r>
            <w:r w:rsidRPr="00E01239">
              <w:rPr>
                <w:rFonts w:asciiTheme="minorHAnsi" w:hAnsiTheme="minorHAnsi" w:cstheme="minorHAnsi"/>
                <w:sz w:val="22"/>
                <w:szCs w:val="22"/>
                <w:lang w:val="fr-SN"/>
              </w:rPr>
              <w:t xml:space="preserve">, combiné à un financement à crédit ou en capital de </w:t>
            </w:r>
            <w:r w:rsidRPr="00E01239">
              <w:rPr>
                <w:rFonts w:asciiTheme="minorHAnsi" w:hAnsiTheme="minorHAnsi" w:cstheme="minorHAnsi"/>
                <w:b/>
                <w:bCs/>
                <w:i/>
                <w:iCs/>
                <w:sz w:val="22"/>
                <w:szCs w:val="22"/>
                <w:lang w:val="fr-SN"/>
              </w:rPr>
              <w:t>30 pourcent</w:t>
            </w:r>
            <w:r w:rsidRPr="00E01239">
              <w:rPr>
                <w:rFonts w:asciiTheme="minorHAnsi" w:hAnsiTheme="minorHAnsi" w:cstheme="minorHAnsi"/>
                <w:sz w:val="22"/>
                <w:szCs w:val="22"/>
                <w:lang w:val="fr-SN"/>
              </w:rPr>
              <w:t xml:space="preserve"> par une banque, une institution de microfinance ou un investisseur.</w:t>
            </w:r>
          </w:p>
          <w:p w14:paraId="202B8F21" w14:textId="77777777" w:rsidR="00557597" w:rsidRPr="00E01239" w:rsidRDefault="00557597" w:rsidP="00557597">
            <w:pPr>
              <w:pStyle w:val="Paragraphedeliste"/>
              <w:widowControl w:val="0"/>
              <w:numPr>
                <w:ilvl w:val="0"/>
                <w:numId w:val="196"/>
              </w:numPr>
              <w:spacing w:before="60" w:after="60"/>
              <w:jc w:val="both"/>
              <w:rPr>
                <w:rFonts w:asciiTheme="minorHAnsi" w:hAnsiTheme="minorHAnsi" w:cstheme="minorHAnsi"/>
                <w:sz w:val="22"/>
                <w:szCs w:val="22"/>
                <w:lang w:val="fr-SN"/>
              </w:rPr>
            </w:pPr>
            <w:proofErr w:type="gramStart"/>
            <w:r w:rsidRPr="00E01239">
              <w:rPr>
                <w:rFonts w:asciiTheme="minorHAnsi" w:hAnsiTheme="minorHAnsi" w:cstheme="minorHAnsi"/>
                <w:b/>
                <w:bCs/>
                <w:sz w:val="22"/>
                <w:szCs w:val="22"/>
                <w:lang w:val="fr-SN"/>
              </w:rPr>
              <w:t>sous</w:t>
            </w:r>
            <w:proofErr w:type="gramEnd"/>
            <w:r w:rsidRPr="00E01239">
              <w:rPr>
                <w:rFonts w:asciiTheme="minorHAnsi" w:hAnsiTheme="minorHAnsi" w:cstheme="minorHAnsi"/>
                <w:b/>
                <w:bCs/>
                <w:sz w:val="22"/>
                <w:szCs w:val="22"/>
                <w:lang w:val="fr-SN"/>
              </w:rPr>
              <w:t>-projets de grande taille</w:t>
            </w:r>
            <w:r w:rsidRPr="00E01239">
              <w:rPr>
                <w:rFonts w:asciiTheme="minorHAnsi" w:hAnsiTheme="minorHAnsi" w:cstheme="minorHAnsi"/>
                <w:sz w:val="22"/>
                <w:szCs w:val="22"/>
                <w:lang w:val="fr-SN"/>
              </w:rPr>
              <w:t xml:space="preserve"> pour laquelle environ </w:t>
            </w:r>
            <w:r w:rsidRPr="00E01239">
              <w:rPr>
                <w:rFonts w:asciiTheme="minorHAnsi" w:hAnsiTheme="minorHAnsi" w:cstheme="minorHAnsi"/>
                <w:b/>
                <w:bCs/>
                <w:sz w:val="22"/>
                <w:szCs w:val="22"/>
                <w:lang w:val="fr-SN"/>
              </w:rPr>
              <w:t>50 sous-projets</w:t>
            </w:r>
            <w:r w:rsidRPr="00E01239">
              <w:rPr>
                <w:rFonts w:asciiTheme="minorHAnsi" w:hAnsiTheme="minorHAnsi" w:cstheme="minorHAnsi"/>
                <w:sz w:val="22"/>
                <w:szCs w:val="22"/>
                <w:lang w:val="fr-SN"/>
              </w:rPr>
              <w:t xml:space="preserve"> de grande taille, d’un montant maximum de </w:t>
            </w:r>
            <w:r w:rsidRPr="00E01239">
              <w:rPr>
                <w:rFonts w:asciiTheme="minorHAnsi" w:hAnsiTheme="minorHAnsi" w:cstheme="minorHAnsi"/>
                <w:b/>
                <w:bCs/>
                <w:sz w:val="22"/>
                <w:szCs w:val="22"/>
                <w:lang w:val="fr-SN"/>
              </w:rPr>
              <w:t>US$ 1.000.000</w:t>
            </w:r>
            <w:r w:rsidRPr="00E01239">
              <w:rPr>
                <w:rFonts w:asciiTheme="minorHAnsi" w:hAnsiTheme="minorHAnsi" w:cstheme="minorHAnsi"/>
                <w:sz w:val="22"/>
                <w:szCs w:val="22"/>
                <w:lang w:val="fr-SN"/>
              </w:rPr>
              <w:t xml:space="preserve"> seront soutenus avec un MG d’un montant maximum de </w:t>
            </w:r>
            <w:r w:rsidRPr="00E01239">
              <w:rPr>
                <w:rFonts w:asciiTheme="minorHAnsi" w:hAnsiTheme="minorHAnsi" w:cstheme="minorHAnsi"/>
                <w:b/>
                <w:bCs/>
                <w:sz w:val="22"/>
                <w:szCs w:val="22"/>
                <w:lang w:val="fr-SN"/>
              </w:rPr>
              <w:t>US$ 300.000</w:t>
            </w:r>
            <w:r w:rsidRPr="00E01239">
              <w:rPr>
                <w:rFonts w:asciiTheme="minorHAnsi" w:hAnsiTheme="minorHAnsi" w:cstheme="minorHAnsi"/>
                <w:sz w:val="22"/>
                <w:szCs w:val="22"/>
                <w:lang w:val="fr-SN"/>
              </w:rPr>
              <w:t xml:space="preserve">, représentant </w:t>
            </w:r>
            <w:r w:rsidRPr="00E01239">
              <w:rPr>
                <w:rFonts w:asciiTheme="minorHAnsi" w:hAnsiTheme="minorHAnsi" w:cstheme="minorHAnsi"/>
                <w:b/>
                <w:bCs/>
                <w:i/>
                <w:iCs/>
                <w:sz w:val="22"/>
                <w:szCs w:val="22"/>
                <w:lang w:val="fr-SN"/>
              </w:rPr>
              <w:t>30 pourcent</w:t>
            </w:r>
            <w:r w:rsidRPr="00E01239">
              <w:rPr>
                <w:rFonts w:asciiTheme="minorHAnsi" w:hAnsiTheme="minorHAnsi" w:cstheme="minorHAnsi"/>
                <w:sz w:val="22"/>
                <w:szCs w:val="22"/>
                <w:lang w:val="fr-SN"/>
              </w:rPr>
              <w:t xml:space="preserve"> du coût du financement, avec un apport des porteurs et promoteurs du sous-projet de </w:t>
            </w:r>
            <w:r w:rsidRPr="00E01239">
              <w:rPr>
                <w:rFonts w:asciiTheme="minorHAnsi" w:hAnsiTheme="minorHAnsi" w:cstheme="minorHAnsi"/>
                <w:b/>
                <w:bCs/>
                <w:i/>
                <w:iCs/>
                <w:sz w:val="22"/>
                <w:szCs w:val="22"/>
                <w:lang w:val="fr-SN"/>
              </w:rPr>
              <w:t>30 pourcent</w:t>
            </w:r>
            <w:r w:rsidRPr="00E01239">
              <w:rPr>
                <w:rFonts w:asciiTheme="minorHAnsi" w:hAnsiTheme="minorHAnsi" w:cstheme="minorHAnsi"/>
                <w:sz w:val="22"/>
                <w:szCs w:val="22"/>
                <w:lang w:val="fr-SN"/>
              </w:rPr>
              <w:t xml:space="preserve">, combiné à un financement à crédit ou en capital de </w:t>
            </w:r>
            <w:r w:rsidRPr="00E01239">
              <w:rPr>
                <w:rFonts w:asciiTheme="minorHAnsi" w:hAnsiTheme="minorHAnsi" w:cstheme="minorHAnsi"/>
                <w:b/>
                <w:bCs/>
                <w:i/>
                <w:iCs/>
                <w:sz w:val="22"/>
                <w:szCs w:val="22"/>
                <w:lang w:val="fr-SN"/>
              </w:rPr>
              <w:t>40 pourcent</w:t>
            </w:r>
            <w:r w:rsidRPr="00E01239">
              <w:rPr>
                <w:rFonts w:asciiTheme="minorHAnsi" w:hAnsiTheme="minorHAnsi" w:cstheme="minorHAnsi"/>
                <w:sz w:val="22"/>
                <w:szCs w:val="22"/>
                <w:lang w:val="fr-SN"/>
              </w:rPr>
              <w:t xml:space="preserve"> par une banque, une institution de microfinance ou un </w:t>
            </w:r>
            <w:r w:rsidRPr="00E01239">
              <w:rPr>
                <w:rFonts w:asciiTheme="minorHAnsi" w:hAnsiTheme="minorHAnsi" w:cstheme="minorHAnsi"/>
                <w:sz w:val="22"/>
                <w:szCs w:val="22"/>
                <w:lang w:val="fr-SN"/>
              </w:rPr>
              <w:lastRenderedPageBreak/>
              <w:t>investisseur.</w:t>
            </w:r>
          </w:p>
          <w:p w14:paraId="421EBA7B" w14:textId="77777777" w:rsidR="00557597" w:rsidRPr="00E01239" w:rsidRDefault="00557597" w:rsidP="003A04BD">
            <w:pPr>
              <w:jc w:val="both"/>
              <w:rPr>
                <w:rFonts w:asciiTheme="minorHAnsi" w:hAnsiTheme="minorHAnsi" w:cstheme="minorHAnsi"/>
                <w:b/>
                <w:bCs/>
                <w:sz w:val="22"/>
                <w:szCs w:val="22"/>
                <w:lang w:val="fr-SN"/>
              </w:rPr>
            </w:pPr>
          </w:p>
          <w:p w14:paraId="2FE4E431" w14:textId="26BED995" w:rsidR="00557597" w:rsidRPr="00E01239" w:rsidRDefault="5784C1DC" w:rsidP="7CB1727A">
            <w:pPr>
              <w:jc w:val="both"/>
              <w:rPr>
                <w:rFonts w:asciiTheme="minorHAnsi" w:hAnsiTheme="minorHAnsi" w:cstheme="minorBidi"/>
                <w:sz w:val="22"/>
                <w:szCs w:val="22"/>
                <w:lang w:val="fr-SN"/>
              </w:rPr>
            </w:pPr>
            <w:r w:rsidRPr="00E01239">
              <w:rPr>
                <w:rFonts w:asciiTheme="minorHAnsi" w:hAnsiTheme="minorHAnsi" w:cstheme="minorBidi"/>
                <w:b/>
                <w:bCs/>
                <w:sz w:val="22"/>
                <w:szCs w:val="22"/>
                <w:lang w:val="fr-SN"/>
              </w:rPr>
              <w:t xml:space="preserve">Pour faire fonctionner ce dispositif une assistance technique des porteurs de projet économiques sera mise en </w:t>
            </w:r>
            <w:proofErr w:type="gramStart"/>
            <w:r w:rsidRPr="00E01239">
              <w:rPr>
                <w:rFonts w:asciiTheme="minorHAnsi" w:hAnsiTheme="minorHAnsi" w:cstheme="minorBidi"/>
                <w:b/>
                <w:bCs/>
                <w:sz w:val="22"/>
                <w:szCs w:val="22"/>
                <w:lang w:val="fr-SN"/>
              </w:rPr>
              <w:t>place:</w:t>
            </w:r>
            <w:proofErr w:type="gramEnd"/>
            <w:r w:rsidRPr="00E01239">
              <w:rPr>
                <w:rFonts w:asciiTheme="minorHAnsi" w:hAnsiTheme="minorHAnsi" w:cstheme="minorBidi"/>
                <w:b/>
                <w:bCs/>
                <w:sz w:val="22"/>
                <w:szCs w:val="22"/>
                <w:lang w:val="fr-SN"/>
              </w:rPr>
              <w:t xml:space="preserve"> un operateur par zone géographique sera </w:t>
            </w:r>
            <w:r w:rsidR="63180870" w:rsidRPr="00E01239">
              <w:rPr>
                <w:rFonts w:asciiTheme="minorHAnsi" w:hAnsiTheme="minorHAnsi" w:cstheme="minorBidi"/>
                <w:b/>
                <w:bCs/>
                <w:sz w:val="22"/>
                <w:szCs w:val="22"/>
                <w:lang w:val="fr-SN"/>
              </w:rPr>
              <w:t>chargé</w:t>
            </w:r>
            <w:r w:rsidRPr="00E01239">
              <w:rPr>
                <w:rFonts w:asciiTheme="minorHAnsi" w:hAnsiTheme="minorHAnsi" w:cstheme="minorBidi"/>
                <w:b/>
                <w:bCs/>
                <w:sz w:val="22"/>
                <w:szCs w:val="22"/>
                <w:lang w:val="fr-SN"/>
              </w:rPr>
              <w:t xml:space="preserve"> d’accompagner les porteurs de projet. </w:t>
            </w:r>
            <w:r w:rsidRPr="00E01239">
              <w:rPr>
                <w:rFonts w:asciiTheme="minorHAnsi" w:hAnsiTheme="minorHAnsi" w:cstheme="minorBidi"/>
                <w:sz w:val="22"/>
                <w:szCs w:val="22"/>
                <w:lang w:val="fr-SN"/>
              </w:rPr>
              <w:t>Il aura pour mission de les aider dans la construction de leur projet, en identifiant les progrès économiques, sociaux et environnementaux (conditions d’entrée dans le dispositif) et de préparer la demande de crédit).</w:t>
            </w:r>
          </w:p>
        </w:tc>
      </w:tr>
    </w:tbl>
    <w:p w14:paraId="1F4E69FC" w14:textId="77777777" w:rsidR="00557597" w:rsidRPr="00E01239" w:rsidRDefault="00557597" w:rsidP="00557597">
      <w:pPr>
        <w:jc w:val="both"/>
        <w:rPr>
          <w:rFonts w:asciiTheme="minorHAnsi" w:eastAsiaTheme="minorHAnsi" w:hAnsiTheme="minorHAnsi" w:cstheme="minorHAnsi"/>
          <w:b/>
          <w:bCs/>
          <w:sz w:val="22"/>
          <w:szCs w:val="22"/>
          <w:lang w:val="fr-SN"/>
        </w:rPr>
      </w:pPr>
    </w:p>
    <w:p w14:paraId="1E449A87" w14:textId="77777777" w:rsidR="00557597" w:rsidRPr="00E01239" w:rsidRDefault="00557597" w:rsidP="00557597">
      <w:pPr>
        <w:spacing w:before="120" w:line="360" w:lineRule="exact"/>
        <w:jc w:val="both"/>
        <w:rPr>
          <w:rFonts w:asciiTheme="minorHAnsi" w:eastAsiaTheme="minorHAnsi" w:hAnsiTheme="minorHAnsi" w:cstheme="minorHAnsi"/>
          <w:bCs/>
          <w:caps/>
          <w:sz w:val="22"/>
        </w:rPr>
      </w:pPr>
    </w:p>
    <w:p w14:paraId="0C7DB2E9" w14:textId="38CD3B5E" w:rsidR="00557597" w:rsidRPr="00E01239" w:rsidRDefault="00557597" w:rsidP="00557597">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projet </w:t>
      </w:r>
      <w:r w:rsidR="00DF7E41">
        <w:rPr>
          <w:rFonts w:asciiTheme="minorHAnsi" w:hAnsiTheme="minorHAnsi" w:cstheme="minorHAnsi"/>
          <w:sz w:val="22"/>
          <w:szCs w:val="22"/>
        </w:rPr>
        <w:t>« financera</w:t>
      </w:r>
      <w:r w:rsidR="00DF7E41" w:rsidRPr="00E01239">
        <w:rPr>
          <w:rFonts w:asciiTheme="minorHAnsi" w:hAnsiTheme="minorHAnsi" w:cstheme="minorHAnsi"/>
          <w:sz w:val="22"/>
          <w:szCs w:val="22"/>
        </w:rPr>
        <w:t xml:space="preserve"> </w:t>
      </w:r>
      <w:r w:rsidRPr="00E01239">
        <w:rPr>
          <w:rFonts w:asciiTheme="minorHAnsi" w:hAnsiTheme="minorHAnsi" w:cstheme="minorHAnsi"/>
          <w:sz w:val="22"/>
          <w:szCs w:val="22"/>
        </w:rPr>
        <w:t>également les études pour la relocalisation de l’abattoir de Dakar-</w:t>
      </w:r>
      <w:proofErr w:type="spellStart"/>
      <w:r w:rsidRPr="00E01239">
        <w:rPr>
          <w:rFonts w:asciiTheme="minorHAnsi" w:hAnsiTheme="minorHAnsi" w:cstheme="minorHAnsi"/>
          <w:sz w:val="22"/>
          <w:szCs w:val="22"/>
        </w:rPr>
        <w:t>Thies</w:t>
      </w:r>
      <w:proofErr w:type="spellEnd"/>
      <w:r w:rsidRPr="00E01239">
        <w:rPr>
          <w:rFonts w:asciiTheme="minorHAnsi" w:hAnsiTheme="minorHAnsi" w:cstheme="minorHAnsi"/>
          <w:sz w:val="22"/>
          <w:szCs w:val="22"/>
        </w:rPr>
        <w:t xml:space="preserve">. </w:t>
      </w:r>
    </w:p>
    <w:p w14:paraId="7663C270" w14:textId="77777777" w:rsidR="00072495" w:rsidRPr="00E01239" w:rsidRDefault="00072495" w:rsidP="00FB4BA3">
      <w:pPr>
        <w:rPr>
          <w:rFonts w:asciiTheme="minorHAnsi" w:hAnsiTheme="minorHAnsi" w:cstheme="minorHAnsi"/>
          <w:sz w:val="22"/>
          <w:szCs w:val="22"/>
        </w:rPr>
        <w:sectPr w:rsidR="00072495" w:rsidRPr="00E01239" w:rsidSect="004B1D15">
          <w:pgSz w:w="11907" w:h="16840" w:orient="landscape" w:code="9"/>
          <w:pgMar w:top="2534" w:right="1411" w:bottom="2592" w:left="1411" w:header="720" w:footer="720" w:gutter="0"/>
          <w:cols w:space="60"/>
          <w:noEndnote/>
        </w:sectPr>
      </w:pPr>
    </w:p>
    <w:p w14:paraId="501110A0" w14:textId="77777777" w:rsidR="007E5627" w:rsidRPr="00E01239" w:rsidRDefault="007E5627" w:rsidP="00112918">
      <w:pPr>
        <w:pStyle w:val="Titre1"/>
        <w:keepNext w:val="0"/>
        <w:keepLines w:val="0"/>
        <w:numPr>
          <w:ilvl w:val="0"/>
          <w:numId w:val="1"/>
        </w:numPr>
        <w:pBdr>
          <w:top w:val="single" w:sz="12" w:space="1" w:color="auto"/>
          <w:bottom w:val="single" w:sz="12" w:space="1" w:color="auto"/>
        </w:pBdr>
        <w:shd w:val="clear" w:color="auto" w:fill="000000" w:themeFill="text1"/>
        <w:tabs>
          <w:tab w:val="left" w:pos="284"/>
        </w:tabs>
        <w:spacing w:before="0"/>
        <w:ind w:left="-1418" w:right="-1418" w:firstLine="1418"/>
        <w:rPr>
          <w:rFonts w:asciiTheme="minorHAnsi" w:hAnsiTheme="minorHAnsi" w:cstheme="minorHAnsi"/>
          <w:bCs w:val="0"/>
          <w:color w:val="auto"/>
          <w:lang w:eastAsia="x-none"/>
        </w:rPr>
      </w:pPr>
      <w:bookmarkStart w:id="91" w:name="_Toc26504945"/>
      <w:bookmarkStart w:id="92" w:name="_Toc70002901"/>
      <w:bookmarkStart w:id="93" w:name="_Toc130714063"/>
      <w:bookmarkStart w:id="94" w:name="_Toc142377745"/>
      <w:bookmarkStart w:id="95" w:name="_Toc144654059"/>
      <w:bookmarkStart w:id="96" w:name="_Toc26504942"/>
      <w:bookmarkEnd w:id="63"/>
      <w:bookmarkEnd w:id="64"/>
      <w:r w:rsidRPr="00E01239">
        <w:rPr>
          <w:rFonts w:asciiTheme="minorHAnsi" w:hAnsiTheme="minorHAnsi" w:cstheme="minorHAnsi"/>
          <w:bCs w:val="0"/>
          <w:color w:val="auto"/>
          <w:lang w:eastAsia="x-none"/>
        </w:rPr>
        <w:lastRenderedPageBreak/>
        <w:t xml:space="preserve">CADRE </w:t>
      </w:r>
      <w:r w:rsidR="00072CC3" w:rsidRPr="00E01239">
        <w:rPr>
          <w:rFonts w:asciiTheme="minorHAnsi" w:hAnsiTheme="minorHAnsi" w:cstheme="minorHAnsi"/>
          <w:bCs w:val="0"/>
          <w:color w:val="auto"/>
          <w:lang w:eastAsia="x-none"/>
        </w:rPr>
        <w:t xml:space="preserve">POLITIQUE, </w:t>
      </w:r>
      <w:r w:rsidRPr="00E01239">
        <w:rPr>
          <w:rFonts w:asciiTheme="minorHAnsi" w:hAnsiTheme="minorHAnsi" w:cstheme="minorHAnsi"/>
          <w:bCs w:val="0"/>
          <w:color w:val="auto"/>
          <w:lang w:eastAsia="x-none"/>
        </w:rPr>
        <w:t xml:space="preserve">REGLEMENTAIRE </w:t>
      </w:r>
      <w:bookmarkEnd w:id="91"/>
      <w:r w:rsidR="007412DA" w:rsidRPr="00E01239">
        <w:rPr>
          <w:rFonts w:asciiTheme="minorHAnsi" w:hAnsiTheme="minorHAnsi" w:cstheme="minorHAnsi"/>
          <w:bCs w:val="0"/>
          <w:color w:val="auto"/>
          <w:lang w:eastAsia="x-none"/>
        </w:rPr>
        <w:t>ET INSTITUTIONNEL</w:t>
      </w:r>
      <w:bookmarkEnd w:id="92"/>
      <w:bookmarkEnd w:id="93"/>
      <w:bookmarkEnd w:id="94"/>
      <w:bookmarkEnd w:id="95"/>
    </w:p>
    <w:p w14:paraId="4CD8EF72" w14:textId="346B5EEA" w:rsidR="008E4D64" w:rsidRPr="00E01239" w:rsidRDefault="21A48B5C" w:rsidP="7CB1727A">
      <w:pPr>
        <w:spacing w:before="120" w:line="280" w:lineRule="exact"/>
        <w:jc w:val="both"/>
        <w:rPr>
          <w:rFonts w:asciiTheme="minorHAnsi" w:hAnsiTheme="minorHAnsi" w:cstheme="minorBidi"/>
          <w:sz w:val="22"/>
          <w:szCs w:val="22"/>
        </w:rPr>
      </w:pPr>
      <w:r w:rsidRPr="00E01239">
        <w:rPr>
          <w:rFonts w:asciiTheme="minorHAnsi" w:hAnsiTheme="minorHAnsi" w:cstheme="minorBidi"/>
          <w:sz w:val="22"/>
          <w:szCs w:val="22"/>
        </w:rPr>
        <w:t xml:space="preserve">Le présent chapitre décrit et analyse d’une part, le cadre réglementaire national et institutionnel applicable au Projet y compris les </w:t>
      </w:r>
      <w:r w:rsidR="5D603FFE" w:rsidRPr="00E01239">
        <w:rPr>
          <w:rFonts w:asciiTheme="minorHAnsi" w:hAnsiTheme="minorHAnsi" w:cstheme="minorBidi"/>
          <w:sz w:val="22"/>
          <w:szCs w:val="22"/>
        </w:rPr>
        <w:t>normes environnementales et sociales</w:t>
      </w:r>
      <w:r w:rsidRPr="00E01239">
        <w:rPr>
          <w:rFonts w:asciiTheme="minorHAnsi" w:hAnsiTheme="minorHAnsi" w:cstheme="minorBidi"/>
          <w:sz w:val="22"/>
          <w:szCs w:val="22"/>
        </w:rPr>
        <w:t xml:space="preserve"> de la Banque mondiale et d’autre part, le dispositif institutionnel régissant la mise en œuvre des activités du Programme de Résilience du Système alimentaire en Afrique de l’Ouest (FSRP)– Sénégal.</w:t>
      </w:r>
    </w:p>
    <w:p w14:paraId="3966D3B6" w14:textId="77777777" w:rsidR="008E4D64" w:rsidRPr="00E01239" w:rsidRDefault="008E4D64" w:rsidP="008E4D64">
      <w:pPr>
        <w:autoSpaceDE w:val="0"/>
        <w:autoSpaceDN w:val="0"/>
        <w:adjustRightInd w:val="0"/>
        <w:rPr>
          <w:rFonts w:asciiTheme="minorHAnsi" w:eastAsia="Calibri" w:hAnsiTheme="minorHAnsi" w:cstheme="minorHAnsi"/>
          <w:b/>
          <w:bCs/>
          <w:sz w:val="22"/>
          <w:szCs w:val="22"/>
        </w:rPr>
      </w:pPr>
    </w:p>
    <w:p w14:paraId="64F9CE1D" w14:textId="6483843E" w:rsidR="008E4D64" w:rsidRPr="00E01239" w:rsidRDefault="00046FFD" w:rsidP="00202CE9">
      <w:pPr>
        <w:pStyle w:val="Titre2"/>
        <w:rPr>
          <w:rFonts w:asciiTheme="minorHAnsi" w:hAnsiTheme="minorHAnsi" w:cstheme="minorHAnsi"/>
          <w:color w:val="auto"/>
        </w:rPr>
      </w:pPr>
      <w:bookmarkStart w:id="97" w:name="_Toc26504946"/>
      <w:bookmarkStart w:id="98" w:name="_Toc63285546"/>
      <w:bookmarkStart w:id="99" w:name="_Toc118549321"/>
      <w:bookmarkStart w:id="100" w:name="_Toc144654060"/>
      <w:r w:rsidRPr="00E01239">
        <w:rPr>
          <w:rFonts w:asciiTheme="minorHAnsi" w:hAnsiTheme="minorHAnsi" w:cstheme="minorHAnsi"/>
          <w:color w:val="auto"/>
        </w:rPr>
        <w:t>DOCUMENTS DE POLITIQUE ENVIRONNEMENTALE ET SOCIALE</w:t>
      </w:r>
      <w:bookmarkEnd w:id="97"/>
      <w:bookmarkEnd w:id="98"/>
      <w:bookmarkEnd w:id="99"/>
      <w:bookmarkEnd w:id="100"/>
    </w:p>
    <w:p w14:paraId="5E6511BD"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revue des documents de politique environnementale et sociale fait ressortir les principaux instruments suivants :  </w:t>
      </w:r>
    </w:p>
    <w:p w14:paraId="66666C61" w14:textId="1CE6FB03" w:rsidR="008E4D64" w:rsidRPr="00E01239" w:rsidRDefault="00A465D3"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Le</w:t>
      </w:r>
      <w:r w:rsidR="008E4D64" w:rsidRPr="00E01239">
        <w:rPr>
          <w:rFonts w:asciiTheme="minorHAnsi" w:hAnsiTheme="minorHAnsi" w:cstheme="minorHAnsi"/>
          <w:color w:val="000000"/>
          <w:sz w:val="22"/>
          <w:szCs w:val="22"/>
        </w:rPr>
        <w:t xml:space="preserve"> </w:t>
      </w:r>
      <w:r w:rsidR="008E4D64" w:rsidRPr="00E01239">
        <w:rPr>
          <w:rFonts w:asciiTheme="minorHAnsi" w:hAnsiTheme="minorHAnsi" w:cstheme="minorHAnsi"/>
          <w:b/>
          <w:bCs/>
          <w:iCs/>
          <w:color w:val="000000"/>
          <w:sz w:val="22"/>
          <w:szCs w:val="22"/>
        </w:rPr>
        <w:t xml:space="preserve">Plan Sénégal </w:t>
      </w:r>
      <w:r w:rsidR="00AC4D19" w:rsidRPr="00E01239">
        <w:rPr>
          <w:rFonts w:asciiTheme="minorHAnsi" w:hAnsiTheme="minorHAnsi" w:cstheme="minorHAnsi"/>
          <w:b/>
          <w:bCs/>
          <w:iCs/>
          <w:color w:val="000000"/>
          <w:sz w:val="22"/>
          <w:szCs w:val="22"/>
        </w:rPr>
        <w:t>E</w:t>
      </w:r>
      <w:r w:rsidR="008E4D64" w:rsidRPr="00E01239">
        <w:rPr>
          <w:rFonts w:asciiTheme="minorHAnsi" w:hAnsiTheme="minorHAnsi" w:cstheme="minorHAnsi"/>
          <w:b/>
          <w:bCs/>
          <w:iCs/>
          <w:color w:val="000000"/>
          <w:sz w:val="22"/>
          <w:szCs w:val="22"/>
        </w:rPr>
        <w:t>mergent (PSE)</w:t>
      </w:r>
      <w:r w:rsidR="008E4D64" w:rsidRPr="00E01239">
        <w:rPr>
          <w:rFonts w:asciiTheme="minorHAnsi" w:hAnsiTheme="minorHAnsi" w:cstheme="minorHAnsi"/>
          <w:bCs/>
          <w:iCs/>
          <w:color w:val="000000"/>
          <w:sz w:val="22"/>
          <w:szCs w:val="22"/>
        </w:rPr>
        <w:t>,</w:t>
      </w:r>
      <w:r w:rsidR="008E4D64" w:rsidRPr="00E01239">
        <w:rPr>
          <w:rFonts w:asciiTheme="minorHAnsi" w:hAnsiTheme="minorHAnsi" w:cstheme="minorHAnsi"/>
          <w:b/>
          <w:bCs/>
          <w:iCs/>
          <w:color w:val="000000"/>
          <w:sz w:val="22"/>
          <w:szCs w:val="22"/>
        </w:rPr>
        <w:t xml:space="preserve"> </w:t>
      </w:r>
      <w:r w:rsidR="008E4D64" w:rsidRPr="00E01239">
        <w:rPr>
          <w:rFonts w:asciiTheme="minorHAnsi" w:hAnsiTheme="minorHAnsi" w:cstheme="minorHAnsi"/>
          <w:color w:val="000000"/>
          <w:sz w:val="22"/>
          <w:szCs w:val="22"/>
        </w:rPr>
        <w:t xml:space="preserve">le référentiel de la politique économique et sociale à moyen et </w:t>
      </w:r>
      <w:r w:rsidRPr="00E01239">
        <w:rPr>
          <w:rFonts w:asciiTheme="minorHAnsi" w:hAnsiTheme="minorHAnsi" w:cstheme="minorHAnsi"/>
          <w:color w:val="000000"/>
          <w:sz w:val="22"/>
          <w:szCs w:val="22"/>
        </w:rPr>
        <w:t>long terme</w:t>
      </w:r>
      <w:r w:rsidR="008E4D64" w:rsidRPr="00E01239">
        <w:rPr>
          <w:rFonts w:asciiTheme="minorHAnsi" w:hAnsiTheme="minorHAnsi" w:cstheme="minorHAnsi"/>
          <w:color w:val="000000"/>
          <w:sz w:val="22"/>
          <w:szCs w:val="22"/>
        </w:rPr>
        <w:t>. Ces actions visent notamment à relever durablement le potentiel de croissance et stimuler la créativité et l’initiative privée, dans la perspective d’une émergence à l’horizon 2035 ;</w:t>
      </w:r>
    </w:p>
    <w:p w14:paraId="0258B496" w14:textId="2EB3CEE2" w:rsidR="008E4D64" w:rsidRPr="00E01239" w:rsidRDefault="00A465D3"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color w:val="000000"/>
          <w:sz w:val="22"/>
          <w:szCs w:val="22"/>
        </w:rPr>
      </w:pPr>
      <w:r w:rsidRPr="00E01239">
        <w:rPr>
          <w:rFonts w:asciiTheme="minorHAnsi" w:hAnsiTheme="minorHAnsi" w:cstheme="minorHAnsi"/>
          <w:bCs/>
          <w:iCs/>
          <w:color w:val="000000"/>
          <w:sz w:val="22"/>
          <w:szCs w:val="22"/>
        </w:rPr>
        <w:t>La</w:t>
      </w:r>
      <w:r w:rsidR="008E4D64" w:rsidRPr="00E01239">
        <w:rPr>
          <w:rFonts w:asciiTheme="minorHAnsi" w:hAnsiTheme="minorHAnsi" w:cstheme="minorHAnsi"/>
          <w:b/>
          <w:bCs/>
          <w:iCs/>
          <w:color w:val="000000"/>
          <w:sz w:val="22"/>
          <w:szCs w:val="22"/>
        </w:rPr>
        <w:t xml:space="preserve"> Loi d’</w:t>
      </w:r>
      <w:r w:rsidR="00AC4D19" w:rsidRPr="00E01239">
        <w:rPr>
          <w:rFonts w:asciiTheme="minorHAnsi" w:hAnsiTheme="minorHAnsi" w:cstheme="minorHAnsi"/>
          <w:b/>
          <w:bCs/>
          <w:iCs/>
          <w:color w:val="000000"/>
          <w:sz w:val="22"/>
          <w:szCs w:val="22"/>
        </w:rPr>
        <w:t>O</w:t>
      </w:r>
      <w:r w:rsidR="008E4D64" w:rsidRPr="00E01239">
        <w:rPr>
          <w:rFonts w:asciiTheme="minorHAnsi" w:hAnsiTheme="minorHAnsi" w:cstheme="minorHAnsi"/>
          <w:b/>
          <w:bCs/>
          <w:iCs/>
          <w:color w:val="000000"/>
          <w:sz w:val="22"/>
          <w:szCs w:val="22"/>
        </w:rPr>
        <w:t xml:space="preserve">rientation </w:t>
      </w:r>
      <w:r w:rsidR="00DF7E41" w:rsidRPr="00E01239">
        <w:rPr>
          <w:rFonts w:asciiTheme="minorHAnsi" w:hAnsiTheme="minorHAnsi" w:cstheme="minorHAnsi"/>
          <w:b/>
          <w:bCs/>
          <w:iCs/>
          <w:color w:val="000000"/>
          <w:sz w:val="22"/>
          <w:szCs w:val="22"/>
        </w:rPr>
        <w:t>Agrosylvopastorale</w:t>
      </w:r>
      <w:r w:rsidR="008E4D64" w:rsidRPr="00E01239">
        <w:rPr>
          <w:rFonts w:asciiTheme="minorHAnsi" w:hAnsiTheme="minorHAnsi" w:cstheme="minorHAnsi"/>
          <w:b/>
          <w:bCs/>
          <w:iCs/>
          <w:color w:val="000000"/>
          <w:sz w:val="22"/>
          <w:szCs w:val="22"/>
        </w:rPr>
        <w:t xml:space="preserve"> (LOASP)</w:t>
      </w:r>
      <w:r w:rsidR="008E4D64" w:rsidRPr="00E01239">
        <w:rPr>
          <w:rFonts w:asciiTheme="minorHAnsi" w:hAnsiTheme="minorHAnsi" w:cstheme="minorHAnsi"/>
          <w:bCs/>
          <w:iCs/>
          <w:color w:val="000000"/>
          <w:sz w:val="22"/>
          <w:szCs w:val="22"/>
        </w:rPr>
        <w:t>,</w:t>
      </w:r>
      <w:r w:rsidR="008E4D64" w:rsidRPr="00E01239">
        <w:rPr>
          <w:rFonts w:asciiTheme="minorHAnsi" w:hAnsiTheme="minorHAnsi" w:cstheme="minorHAnsi"/>
          <w:b/>
          <w:bCs/>
          <w:iCs/>
          <w:color w:val="000000"/>
          <w:sz w:val="22"/>
          <w:szCs w:val="22"/>
        </w:rPr>
        <w:t xml:space="preserve"> </w:t>
      </w:r>
      <w:r w:rsidR="008E4D64" w:rsidRPr="00E01239">
        <w:rPr>
          <w:rFonts w:asciiTheme="minorHAnsi" w:hAnsiTheme="minorHAnsi" w:cstheme="minorHAnsi"/>
          <w:color w:val="000000"/>
          <w:sz w:val="22"/>
          <w:szCs w:val="22"/>
        </w:rPr>
        <w:t>une vision à long terme (20 ans) de la politique de développement agro-</w:t>
      </w:r>
      <w:proofErr w:type="spellStart"/>
      <w:r w:rsidR="008E4D64" w:rsidRPr="00E01239">
        <w:rPr>
          <w:rFonts w:asciiTheme="minorHAnsi" w:hAnsiTheme="minorHAnsi" w:cstheme="minorHAnsi"/>
          <w:color w:val="000000"/>
          <w:sz w:val="22"/>
          <w:szCs w:val="22"/>
        </w:rPr>
        <w:t>sylvo</w:t>
      </w:r>
      <w:proofErr w:type="spellEnd"/>
      <w:r w:rsidR="008E4D64" w:rsidRPr="00E01239">
        <w:rPr>
          <w:rFonts w:asciiTheme="minorHAnsi" w:hAnsiTheme="minorHAnsi" w:cstheme="minorHAnsi"/>
          <w:color w:val="000000"/>
          <w:sz w:val="22"/>
          <w:szCs w:val="22"/>
        </w:rPr>
        <w:t xml:space="preserve">-pastoral du Sénégal. Elle intègre la mise en œuvre de </w:t>
      </w:r>
      <w:r w:rsidR="008E4D64" w:rsidRPr="00E01239">
        <w:rPr>
          <w:rFonts w:asciiTheme="minorHAnsi" w:hAnsiTheme="minorHAnsi" w:cstheme="minorHAnsi"/>
          <w:sz w:val="22"/>
          <w:szCs w:val="22"/>
        </w:rPr>
        <w:t>programmes</w:t>
      </w:r>
      <w:r w:rsidR="008E4D64" w:rsidRPr="00E01239">
        <w:rPr>
          <w:rFonts w:asciiTheme="minorHAnsi" w:hAnsiTheme="minorHAnsi" w:cstheme="minorHAnsi"/>
          <w:color w:val="000000"/>
          <w:sz w:val="22"/>
          <w:szCs w:val="22"/>
        </w:rPr>
        <w:t xml:space="preserve"> opérationnels tels que le Programme National de Développement Agricole (PNDA), le Plan d’Action Forestier du Sénégal (PAFS) et le Plan National de Développement de l’Élevage (PNDE). Ces programmes constituent</w:t>
      </w:r>
      <w:r w:rsidR="008E4D64" w:rsidRPr="00E01239">
        <w:rPr>
          <w:rFonts w:asciiTheme="minorHAnsi" w:hAnsiTheme="minorHAnsi" w:cstheme="minorHAnsi"/>
        </w:rPr>
        <w:t xml:space="preserve"> </w:t>
      </w:r>
      <w:r w:rsidR="008E4D64" w:rsidRPr="00E01239">
        <w:rPr>
          <w:rFonts w:asciiTheme="minorHAnsi" w:hAnsiTheme="minorHAnsi" w:cstheme="minorHAnsi"/>
          <w:color w:val="000000"/>
          <w:sz w:val="22"/>
          <w:szCs w:val="22"/>
        </w:rPr>
        <w:t>des cadres de référence et de mise en cohérence des différentes interventions. Ils sont déclinés pour le moyen terme à travers des lettres de politique sectorielle, lesquelles sont opérationnalisées grâce à des documents de programmation pluriannuelle des dépenses (DPPD) ;</w:t>
      </w:r>
    </w:p>
    <w:p w14:paraId="20148ED3" w14:textId="7B5B449B" w:rsidR="008E4D64" w:rsidRPr="00E01239" w:rsidRDefault="00A465D3"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color w:val="000000"/>
          <w:sz w:val="22"/>
          <w:szCs w:val="22"/>
        </w:rPr>
      </w:pPr>
      <w:r w:rsidRPr="00E01239">
        <w:rPr>
          <w:rFonts w:asciiTheme="minorHAnsi" w:hAnsiTheme="minorHAnsi" w:cstheme="minorHAnsi"/>
          <w:bCs/>
          <w:sz w:val="22"/>
          <w:szCs w:val="22"/>
        </w:rPr>
        <w:t>La</w:t>
      </w:r>
      <w:r w:rsidR="008E4D64" w:rsidRPr="00E01239">
        <w:rPr>
          <w:rFonts w:asciiTheme="minorHAnsi" w:hAnsiTheme="minorHAnsi" w:cstheme="minorHAnsi"/>
          <w:bCs/>
          <w:sz w:val="22"/>
          <w:szCs w:val="22"/>
        </w:rPr>
        <w:t xml:space="preserve"> </w:t>
      </w:r>
      <w:r w:rsidR="008E4D64" w:rsidRPr="00E01239">
        <w:rPr>
          <w:rFonts w:asciiTheme="minorHAnsi" w:hAnsiTheme="minorHAnsi" w:cstheme="minorHAnsi"/>
          <w:b/>
          <w:bCs/>
          <w:sz w:val="22"/>
          <w:szCs w:val="22"/>
        </w:rPr>
        <w:t xml:space="preserve">Lettre de Politique </w:t>
      </w:r>
      <w:r w:rsidR="00AC4D19" w:rsidRPr="00E01239">
        <w:rPr>
          <w:rFonts w:asciiTheme="minorHAnsi" w:hAnsiTheme="minorHAnsi" w:cstheme="minorHAnsi"/>
          <w:b/>
          <w:bCs/>
          <w:sz w:val="22"/>
          <w:szCs w:val="22"/>
        </w:rPr>
        <w:t>S</w:t>
      </w:r>
      <w:r w:rsidR="008E4D64" w:rsidRPr="00E01239">
        <w:rPr>
          <w:rFonts w:asciiTheme="minorHAnsi" w:hAnsiTheme="minorHAnsi" w:cstheme="minorHAnsi"/>
          <w:b/>
          <w:bCs/>
          <w:sz w:val="22"/>
          <w:szCs w:val="22"/>
        </w:rPr>
        <w:t xml:space="preserve">ectorielle de Développement de l’Agriculture (LPSDA 2019-2023) </w:t>
      </w:r>
      <w:r w:rsidR="008E4D64" w:rsidRPr="00E01239">
        <w:rPr>
          <w:rFonts w:asciiTheme="minorHAnsi" w:hAnsiTheme="minorHAnsi" w:cstheme="minorHAnsi"/>
          <w:bCs/>
          <w:sz w:val="22"/>
          <w:szCs w:val="22"/>
        </w:rPr>
        <w:t xml:space="preserve">qui vise à </w:t>
      </w:r>
      <w:r w:rsidR="008E4D64" w:rsidRPr="00E01239">
        <w:rPr>
          <w:rFonts w:asciiTheme="minorHAnsi" w:hAnsiTheme="minorHAnsi" w:cstheme="minorHAnsi"/>
          <w:color w:val="000000"/>
          <w:sz w:val="22"/>
          <w:szCs w:val="22"/>
        </w:rPr>
        <w:t>rendre l’agriculture sénégalaise productive, compétitive, diversifiée et durable, pour procurer des revenus agricoles stables aux acteurs et impulser un développement économique et social.</w:t>
      </w:r>
      <w:r w:rsidR="008E4D64" w:rsidRPr="00E01239">
        <w:rPr>
          <w:rFonts w:asciiTheme="minorHAnsi" w:hAnsiTheme="minorHAnsi" w:cstheme="minorHAnsi"/>
        </w:rPr>
        <w:t xml:space="preserve"> </w:t>
      </w:r>
      <w:r w:rsidR="008E4D64" w:rsidRPr="00E01239">
        <w:rPr>
          <w:rFonts w:asciiTheme="minorHAnsi" w:hAnsiTheme="minorHAnsi" w:cstheme="minorHAnsi"/>
          <w:color w:val="000000"/>
          <w:sz w:val="22"/>
          <w:szCs w:val="22"/>
        </w:rPr>
        <w:t>De façon spécifique, il s’agit d’augmenter la production et la productivité agricoles, de diversifier les spéculations et les systèmes de productions agricoles, de renforcer les services agricoles et d’améliorer la gouvernance du secteur ;</w:t>
      </w:r>
    </w:p>
    <w:p w14:paraId="4FB7EE33" w14:textId="7763DDB9" w:rsidR="008E4D64" w:rsidRPr="00E01239" w:rsidRDefault="00A465D3"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bCs/>
          <w:sz w:val="22"/>
          <w:szCs w:val="22"/>
        </w:rPr>
      </w:pPr>
      <w:r w:rsidRPr="00E01239">
        <w:rPr>
          <w:rFonts w:asciiTheme="minorHAnsi" w:hAnsiTheme="minorHAnsi" w:cstheme="minorHAnsi"/>
          <w:bCs/>
          <w:sz w:val="22"/>
          <w:szCs w:val="22"/>
        </w:rPr>
        <w:t>La</w:t>
      </w:r>
      <w:r w:rsidR="008E4D64" w:rsidRPr="00E01239">
        <w:rPr>
          <w:rFonts w:asciiTheme="minorHAnsi" w:hAnsiTheme="minorHAnsi" w:cstheme="minorHAnsi"/>
          <w:bCs/>
          <w:sz w:val="22"/>
          <w:szCs w:val="22"/>
        </w:rPr>
        <w:t xml:space="preserve"> </w:t>
      </w:r>
      <w:r w:rsidR="008E4D64" w:rsidRPr="00E01239">
        <w:rPr>
          <w:rFonts w:asciiTheme="minorHAnsi" w:hAnsiTheme="minorHAnsi" w:cstheme="minorHAnsi"/>
          <w:b/>
          <w:bCs/>
          <w:sz w:val="22"/>
          <w:szCs w:val="22"/>
        </w:rPr>
        <w:t xml:space="preserve">Lettre de Politique de Développement de l’Elevage (LPDE 2017-2021) </w:t>
      </w:r>
      <w:r w:rsidR="008E4D64" w:rsidRPr="00E01239">
        <w:rPr>
          <w:rFonts w:asciiTheme="minorHAnsi" w:hAnsiTheme="minorHAnsi" w:cstheme="minorHAnsi"/>
          <w:bCs/>
          <w:sz w:val="22"/>
          <w:szCs w:val="22"/>
        </w:rPr>
        <w:t>dont l’objectif est de contribuer significativement à la sécurité alimentaire, à la nutrition et à la croissance de l’économie nationale. Les axes stratégiques s’articulent autour de l’accroissement de la productivité et des productions animales, de la création d’un environnement favorable au développement durable des systèmes d’élevage, de l’amélioration de la mise en marché des produits animaux et du renforcement du cadre institutionnel d’intervention ;</w:t>
      </w:r>
    </w:p>
    <w:p w14:paraId="5E39F830" w14:textId="02F35881" w:rsidR="008E4D64" w:rsidRPr="00E01239" w:rsidRDefault="00A465D3"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color w:val="000000"/>
          <w:sz w:val="22"/>
          <w:szCs w:val="22"/>
        </w:rPr>
      </w:pPr>
      <w:r w:rsidRPr="00E01239">
        <w:rPr>
          <w:rFonts w:asciiTheme="minorHAnsi" w:hAnsiTheme="minorHAnsi" w:cstheme="minorHAnsi"/>
          <w:bCs/>
          <w:iCs/>
          <w:color w:val="000000"/>
          <w:sz w:val="22"/>
          <w:szCs w:val="22"/>
        </w:rPr>
        <w:t>La</w:t>
      </w:r>
      <w:r w:rsidR="008E4D64" w:rsidRPr="00E01239">
        <w:rPr>
          <w:rFonts w:asciiTheme="minorHAnsi" w:hAnsiTheme="minorHAnsi" w:cstheme="minorHAnsi"/>
          <w:b/>
          <w:bCs/>
          <w:iCs/>
          <w:color w:val="000000"/>
          <w:sz w:val="22"/>
          <w:szCs w:val="22"/>
        </w:rPr>
        <w:t xml:space="preserve"> Lettre de Politique du </w:t>
      </w:r>
      <w:r w:rsidR="00AC4D19" w:rsidRPr="00E01239">
        <w:rPr>
          <w:rFonts w:asciiTheme="minorHAnsi" w:hAnsiTheme="minorHAnsi" w:cstheme="minorHAnsi"/>
          <w:b/>
          <w:bCs/>
          <w:iCs/>
          <w:color w:val="000000"/>
          <w:sz w:val="22"/>
          <w:szCs w:val="22"/>
        </w:rPr>
        <w:t>S</w:t>
      </w:r>
      <w:r w:rsidR="008E4D64" w:rsidRPr="00E01239">
        <w:rPr>
          <w:rFonts w:asciiTheme="minorHAnsi" w:hAnsiTheme="minorHAnsi" w:cstheme="minorHAnsi"/>
          <w:b/>
          <w:bCs/>
          <w:iCs/>
          <w:color w:val="000000"/>
          <w:sz w:val="22"/>
          <w:szCs w:val="22"/>
        </w:rPr>
        <w:t xml:space="preserve">ecteur de l’Environnement et du Développement </w:t>
      </w:r>
      <w:r w:rsidR="00AC4D19" w:rsidRPr="00E01239">
        <w:rPr>
          <w:rFonts w:asciiTheme="minorHAnsi" w:hAnsiTheme="minorHAnsi" w:cstheme="minorHAnsi"/>
          <w:b/>
          <w:bCs/>
          <w:iCs/>
          <w:color w:val="000000"/>
          <w:sz w:val="22"/>
          <w:szCs w:val="22"/>
        </w:rPr>
        <w:t>D</w:t>
      </w:r>
      <w:r w:rsidR="008E4D64" w:rsidRPr="00E01239">
        <w:rPr>
          <w:rFonts w:asciiTheme="minorHAnsi" w:hAnsiTheme="minorHAnsi" w:cstheme="minorHAnsi"/>
          <w:b/>
          <w:bCs/>
          <w:iCs/>
          <w:color w:val="000000"/>
          <w:sz w:val="22"/>
          <w:szCs w:val="22"/>
        </w:rPr>
        <w:t xml:space="preserve">urable </w:t>
      </w:r>
      <w:r w:rsidR="008E4D64" w:rsidRPr="00E01239">
        <w:rPr>
          <w:rFonts w:asciiTheme="minorHAnsi" w:hAnsiTheme="minorHAnsi" w:cstheme="minorHAnsi"/>
          <w:b/>
          <w:color w:val="000000"/>
          <w:sz w:val="22"/>
          <w:szCs w:val="22"/>
        </w:rPr>
        <w:t>(LPSEDD 2016-2020)</w:t>
      </w:r>
      <w:r w:rsidR="008E4D64" w:rsidRPr="00E01239">
        <w:rPr>
          <w:rFonts w:asciiTheme="minorHAnsi" w:hAnsiTheme="minorHAnsi" w:cstheme="minorHAnsi"/>
          <w:color w:val="000000"/>
          <w:sz w:val="22"/>
          <w:szCs w:val="22"/>
        </w:rPr>
        <w:t xml:space="preserve"> qui vise à créer une dynamique nationale pour l’amélioration de la gestion de l’environnement et des ressources naturelles, l’intégration des principes du développement durable dans les politiques et le renforcement de la résilience des populations aux changements climatiques ;</w:t>
      </w:r>
    </w:p>
    <w:p w14:paraId="07E221CC" w14:textId="77777777" w:rsidR="000A38BF" w:rsidRPr="00E01239" w:rsidRDefault="000A38BF" w:rsidP="000A38BF">
      <w:pPr>
        <w:pStyle w:val="Paragraphedeliste"/>
        <w:numPr>
          <w:ilvl w:val="0"/>
          <w:numId w:val="164"/>
        </w:numPr>
        <w:autoSpaceDE w:val="0"/>
        <w:autoSpaceDN w:val="0"/>
        <w:adjustRightInd w:val="0"/>
        <w:spacing w:before="120" w:line="280" w:lineRule="exact"/>
        <w:contextualSpacing w:val="0"/>
        <w:jc w:val="both"/>
        <w:rPr>
          <w:rFonts w:ascii="Calibri" w:hAnsi="Calibri" w:cs="Calibri"/>
          <w:color w:val="000000"/>
          <w:sz w:val="22"/>
          <w:szCs w:val="22"/>
        </w:rPr>
      </w:pPr>
      <w:r w:rsidRPr="00E01239">
        <w:rPr>
          <w:rFonts w:ascii="Calibri" w:hAnsi="Calibri" w:cs="Calibri"/>
          <w:b/>
          <w:bCs/>
          <w:iCs/>
          <w:color w:val="000000"/>
          <w:sz w:val="22"/>
          <w:szCs w:val="22"/>
        </w:rPr>
        <w:t>La Stratégie Nationale de Développement Durable (SNDD) :</w:t>
      </w:r>
      <w:r w:rsidRPr="00E01239">
        <w:rPr>
          <w:rFonts w:ascii="Calibri" w:hAnsi="Calibri" w:cs="Calibri"/>
          <w:color w:val="000000"/>
          <w:sz w:val="22"/>
          <w:szCs w:val="22"/>
        </w:rPr>
        <w:t xml:space="preserve"> Elle vient renforcer le cadre politique en matière d’environnement et de gestion des ressources naturelles. Dans sa version de 2015, elle propose une Vision à l’horizon 2020 qui indique que « les acteurs institutionnels, économiques et sociaux adoptent les principes du Développement durable et reflètent ce paradigme dans leurs modes d’action ». L’objectif du cadre stratégique proposé est de créer </w:t>
      </w:r>
      <w:r w:rsidRPr="00E01239">
        <w:rPr>
          <w:rFonts w:ascii="Calibri" w:hAnsi="Calibri" w:cs="Calibri"/>
          <w:color w:val="000000"/>
          <w:sz w:val="22"/>
          <w:szCs w:val="22"/>
        </w:rPr>
        <w:lastRenderedPageBreak/>
        <w:t>un environnement favorable à la conciliation entre l’exigence d’une croissance forte et soutenue et la préservation des équilibres écologiques, sociaux et territoriaux. La Stratégie propose différents axes, dont la Promotion d’un développement équilibré et harmonieux (Axe stratégique 3) ; le renforcement des mécanismes de coopération sous-régionale, régionale et internationale en matière de développement durable (Axe stratégique 4).</w:t>
      </w:r>
    </w:p>
    <w:p w14:paraId="70F32539" w14:textId="714DD1B7" w:rsidR="008E4D64" w:rsidRPr="00E01239" w:rsidRDefault="0A638BDF"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bCs/>
          <w:iCs/>
          <w:color w:val="000000"/>
          <w:sz w:val="22"/>
          <w:szCs w:val="22"/>
        </w:rPr>
      </w:pPr>
      <w:r w:rsidRPr="00E01239">
        <w:rPr>
          <w:rFonts w:asciiTheme="minorHAnsi" w:hAnsiTheme="minorHAnsi" w:cstheme="minorBidi"/>
          <w:color w:val="000000" w:themeColor="text1"/>
          <w:sz w:val="22"/>
          <w:szCs w:val="22"/>
        </w:rPr>
        <w:t>La</w:t>
      </w:r>
      <w:r w:rsidR="21A48B5C" w:rsidRPr="00E01239">
        <w:rPr>
          <w:rFonts w:asciiTheme="minorHAnsi" w:hAnsiTheme="minorHAnsi" w:cstheme="minorBidi"/>
          <w:color w:val="000000" w:themeColor="text1"/>
          <w:sz w:val="22"/>
          <w:szCs w:val="22"/>
        </w:rPr>
        <w:t xml:space="preserve"> </w:t>
      </w:r>
      <w:r w:rsidR="21A48B5C" w:rsidRPr="00E01239">
        <w:rPr>
          <w:rFonts w:asciiTheme="minorHAnsi" w:hAnsiTheme="minorHAnsi" w:cstheme="minorBidi"/>
          <w:b/>
          <w:bCs/>
          <w:color w:val="000000" w:themeColor="text1"/>
          <w:sz w:val="22"/>
          <w:szCs w:val="22"/>
        </w:rPr>
        <w:t xml:space="preserve">Politique </w:t>
      </w:r>
      <w:r w:rsidR="456AC418" w:rsidRPr="00E01239">
        <w:rPr>
          <w:rFonts w:asciiTheme="minorHAnsi" w:hAnsiTheme="minorHAnsi" w:cstheme="minorBidi"/>
          <w:b/>
          <w:bCs/>
          <w:color w:val="000000" w:themeColor="text1"/>
          <w:sz w:val="22"/>
          <w:szCs w:val="22"/>
        </w:rPr>
        <w:t>F</w:t>
      </w:r>
      <w:r w:rsidR="21A48B5C" w:rsidRPr="00E01239">
        <w:rPr>
          <w:rFonts w:asciiTheme="minorHAnsi" w:hAnsiTheme="minorHAnsi" w:cstheme="minorBidi"/>
          <w:b/>
          <w:bCs/>
          <w:color w:val="000000" w:themeColor="text1"/>
          <w:sz w:val="22"/>
          <w:szCs w:val="22"/>
        </w:rPr>
        <w:t xml:space="preserve">orestière du </w:t>
      </w:r>
      <w:r w:rsidR="456AC418" w:rsidRPr="00E01239">
        <w:rPr>
          <w:rFonts w:asciiTheme="minorHAnsi" w:hAnsiTheme="minorHAnsi" w:cstheme="minorBidi"/>
          <w:b/>
          <w:bCs/>
          <w:color w:val="000000" w:themeColor="text1"/>
          <w:sz w:val="22"/>
          <w:szCs w:val="22"/>
        </w:rPr>
        <w:t>S</w:t>
      </w:r>
      <w:r w:rsidR="21A48B5C" w:rsidRPr="00E01239">
        <w:rPr>
          <w:rFonts w:asciiTheme="minorHAnsi" w:hAnsiTheme="minorHAnsi" w:cstheme="minorBidi"/>
          <w:b/>
          <w:bCs/>
          <w:color w:val="000000" w:themeColor="text1"/>
          <w:sz w:val="22"/>
          <w:szCs w:val="22"/>
        </w:rPr>
        <w:t>énégal (2005-2025)</w:t>
      </w:r>
      <w:r w:rsidR="21A48B5C" w:rsidRPr="00E01239">
        <w:rPr>
          <w:rFonts w:asciiTheme="minorHAnsi" w:hAnsiTheme="minorHAnsi" w:cstheme="minorBidi"/>
          <w:color w:val="000000" w:themeColor="text1"/>
          <w:sz w:val="22"/>
          <w:szCs w:val="22"/>
        </w:rPr>
        <w:t> qui prévoit plusieurs actions parmi lesquelles, la création d’un cadre de coordination pour la gestion des ressources naturelles, la rationalisation de l’exploitation forestière et la responsabilisation des communautés locales en matière de gestion des ressources forestières locales ;</w:t>
      </w:r>
    </w:p>
    <w:p w14:paraId="3AE7E91A" w14:textId="140948FE" w:rsidR="008E4D64" w:rsidRPr="00E01239" w:rsidRDefault="0A638BDF"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color w:val="000000"/>
          <w:sz w:val="22"/>
          <w:szCs w:val="22"/>
        </w:rPr>
      </w:pPr>
      <w:r w:rsidRPr="00E01239">
        <w:rPr>
          <w:rFonts w:asciiTheme="minorHAnsi" w:hAnsiTheme="minorHAnsi" w:cstheme="minorBidi"/>
          <w:color w:val="000000" w:themeColor="text1"/>
          <w:sz w:val="22"/>
          <w:szCs w:val="22"/>
        </w:rPr>
        <w:t>Les</w:t>
      </w:r>
      <w:r w:rsidR="21A48B5C" w:rsidRPr="00E01239">
        <w:rPr>
          <w:rFonts w:asciiTheme="minorHAnsi" w:hAnsiTheme="minorHAnsi" w:cstheme="minorBidi"/>
          <w:b/>
          <w:bCs/>
          <w:color w:val="000000" w:themeColor="text1"/>
          <w:sz w:val="22"/>
          <w:szCs w:val="22"/>
        </w:rPr>
        <w:t xml:space="preserve"> Objectifs du Développement </w:t>
      </w:r>
      <w:r w:rsidR="456AC418" w:rsidRPr="00E01239">
        <w:rPr>
          <w:rFonts w:asciiTheme="minorHAnsi" w:hAnsiTheme="minorHAnsi" w:cstheme="minorBidi"/>
          <w:b/>
          <w:bCs/>
          <w:color w:val="000000" w:themeColor="text1"/>
          <w:sz w:val="22"/>
          <w:szCs w:val="22"/>
        </w:rPr>
        <w:t>D</w:t>
      </w:r>
      <w:r w:rsidR="21A48B5C" w:rsidRPr="00E01239">
        <w:rPr>
          <w:rFonts w:asciiTheme="minorHAnsi" w:hAnsiTheme="minorHAnsi" w:cstheme="minorBidi"/>
          <w:b/>
          <w:bCs/>
          <w:color w:val="000000" w:themeColor="text1"/>
          <w:sz w:val="22"/>
          <w:szCs w:val="22"/>
        </w:rPr>
        <w:t>urable</w:t>
      </w:r>
      <w:r w:rsidR="21A48B5C" w:rsidRPr="00E01239">
        <w:rPr>
          <w:rFonts w:asciiTheme="minorHAnsi" w:hAnsiTheme="minorHAnsi" w:cstheme="minorBidi"/>
          <w:color w:val="000000" w:themeColor="text1"/>
          <w:sz w:val="22"/>
          <w:szCs w:val="22"/>
        </w:rPr>
        <w:t> </w:t>
      </w:r>
      <w:r w:rsidR="21A48B5C" w:rsidRPr="00E01239">
        <w:rPr>
          <w:rFonts w:asciiTheme="minorHAnsi" w:hAnsiTheme="minorHAnsi" w:cstheme="minorBidi"/>
          <w:b/>
          <w:bCs/>
          <w:color w:val="000000" w:themeColor="text1"/>
          <w:sz w:val="22"/>
          <w:szCs w:val="22"/>
        </w:rPr>
        <w:t>(ODD)</w:t>
      </w:r>
      <w:r w:rsidR="21A48B5C" w:rsidRPr="00E01239">
        <w:rPr>
          <w:rFonts w:asciiTheme="minorHAnsi" w:hAnsiTheme="minorHAnsi" w:cstheme="minorBidi"/>
          <w:color w:val="000000" w:themeColor="text1"/>
          <w:sz w:val="22"/>
          <w:szCs w:val="22"/>
        </w:rPr>
        <w:t>,</w:t>
      </w:r>
      <w:r w:rsidR="21A48B5C" w:rsidRPr="00E01239">
        <w:rPr>
          <w:rFonts w:asciiTheme="minorHAnsi" w:hAnsiTheme="minorHAnsi" w:cstheme="minorBidi"/>
          <w:b/>
          <w:bCs/>
          <w:color w:val="000000" w:themeColor="text1"/>
          <w:sz w:val="22"/>
          <w:szCs w:val="22"/>
        </w:rPr>
        <w:t xml:space="preserve"> </w:t>
      </w:r>
      <w:r w:rsidR="21A48B5C" w:rsidRPr="00E01239">
        <w:rPr>
          <w:rFonts w:asciiTheme="minorHAnsi" w:hAnsiTheme="minorHAnsi" w:cstheme="minorBidi"/>
          <w:color w:val="000000" w:themeColor="text1"/>
          <w:sz w:val="22"/>
          <w:szCs w:val="22"/>
        </w:rPr>
        <w:t>adoptés en 2015 par les Nations Unies pour lutter contre la pauvreté, favoriser le bien-être de tous et protéger l'environnement d’ici à 2030. Au nombre de 17, ils concilient les trois dimensions du développement durable</w:t>
      </w:r>
      <w:r w:rsidRPr="00E01239">
        <w:rPr>
          <w:rFonts w:asciiTheme="minorHAnsi" w:hAnsiTheme="minorHAnsi" w:cstheme="minorBidi"/>
          <w:color w:val="000000" w:themeColor="text1"/>
          <w:sz w:val="22"/>
          <w:szCs w:val="22"/>
        </w:rPr>
        <w:t xml:space="preserve"> </w:t>
      </w:r>
      <w:r w:rsidR="21A48B5C" w:rsidRPr="00E01239">
        <w:rPr>
          <w:rFonts w:asciiTheme="minorHAnsi" w:hAnsiTheme="minorHAnsi" w:cstheme="minorBidi"/>
          <w:color w:val="000000" w:themeColor="text1"/>
          <w:sz w:val="22"/>
          <w:szCs w:val="22"/>
        </w:rPr>
        <w:t>: sociale, économique et environnementale. Les interventions concernant les secteurs de l’agriculture et de l’élevage sont principalement attendues dans la contribution aux ODD 2 « Eliminer la faim, assurer la sécurité alimentaire, améliorer la nutrition et promouvoir l’agriculture durable », 12 « Établir des modes de consommation et de production durables » et 13 « Prendre d’urgence des mesures pour lutter contre les changements climatiques et leurs répercussions » ;</w:t>
      </w:r>
    </w:p>
    <w:p w14:paraId="6DE66BC6" w14:textId="4341F8A3" w:rsidR="008E4D64" w:rsidRPr="00E01239" w:rsidRDefault="0A638BDF"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color w:val="000000"/>
          <w:sz w:val="22"/>
          <w:szCs w:val="22"/>
        </w:rPr>
      </w:pPr>
      <w:r w:rsidRPr="00E01239">
        <w:rPr>
          <w:rFonts w:asciiTheme="minorHAnsi" w:hAnsiTheme="minorHAnsi" w:cstheme="minorBidi"/>
          <w:color w:val="000000" w:themeColor="text1"/>
          <w:sz w:val="22"/>
          <w:szCs w:val="22"/>
        </w:rPr>
        <w:t>Le</w:t>
      </w:r>
      <w:r w:rsidR="21A48B5C" w:rsidRPr="00E01239">
        <w:rPr>
          <w:rFonts w:asciiTheme="minorHAnsi" w:hAnsiTheme="minorHAnsi" w:cstheme="minorBidi"/>
          <w:color w:val="000000" w:themeColor="text1"/>
          <w:sz w:val="22"/>
          <w:szCs w:val="22"/>
        </w:rPr>
        <w:t xml:space="preserve"> </w:t>
      </w:r>
      <w:r w:rsidR="21A48B5C" w:rsidRPr="00E01239">
        <w:rPr>
          <w:rFonts w:asciiTheme="minorHAnsi" w:hAnsiTheme="minorHAnsi" w:cstheme="minorBidi"/>
          <w:b/>
          <w:bCs/>
          <w:color w:val="000000" w:themeColor="text1"/>
          <w:sz w:val="22"/>
          <w:szCs w:val="22"/>
        </w:rPr>
        <w:t xml:space="preserve">Plan National d’Action pour l’Environnement (PNAE) </w:t>
      </w:r>
      <w:r w:rsidR="21A48B5C" w:rsidRPr="00E01239">
        <w:rPr>
          <w:rFonts w:asciiTheme="minorHAnsi" w:hAnsiTheme="minorHAnsi" w:cstheme="minorBidi"/>
          <w:color w:val="000000" w:themeColor="text1"/>
          <w:sz w:val="22"/>
          <w:szCs w:val="22"/>
        </w:rPr>
        <w:t>qui</w:t>
      </w:r>
      <w:r w:rsidR="21A48B5C" w:rsidRPr="00E01239">
        <w:rPr>
          <w:rFonts w:asciiTheme="minorHAnsi" w:hAnsiTheme="minorHAnsi" w:cstheme="minorBidi"/>
          <w:b/>
          <w:bCs/>
          <w:color w:val="000000" w:themeColor="text1"/>
          <w:sz w:val="22"/>
          <w:szCs w:val="22"/>
        </w:rPr>
        <w:t xml:space="preserve"> </w:t>
      </w:r>
      <w:r w:rsidR="21A48B5C" w:rsidRPr="00E01239">
        <w:rPr>
          <w:rFonts w:asciiTheme="minorHAnsi" w:hAnsiTheme="minorHAnsi" w:cstheme="minorBidi"/>
          <w:color w:val="000000" w:themeColor="text1"/>
          <w:sz w:val="22"/>
          <w:szCs w:val="22"/>
        </w:rPr>
        <w:t>constitue un cadre stratégique permettant à l’État sénégalais d’identifier les priorités environnementales et de définir les bases de systèmes efficaces de planification et de gestion des ressources naturelles et de l’environnement ;</w:t>
      </w:r>
    </w:p>
    <w:p w14:paraId="3BC18942" w14:textId="54EC602D" w:rsidR="008E4D64" w:rsidRPr="00E01239" w:rsidRDefault="0A638BDF"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color w:val="000000"/>
          <w:sz w:val="22"/>
          <w:szCs w:val="22"/>
        </w:rPr>
      </w:pPr>
      <w:r w:rsidRPr="00E01239">
        <w:rPr>
          <w:rFonts w:asciiTheme="minorHAnsi" w:hAnsiTheme="minorHAnsi" w:cstheme="minorBidi"/>
          <w:color w:val="000000" w:themeColor="text1"/>
          <w:sz w:val="22"/>
          <w:szCs w:val="22"/>
        </w:rPr>
        <w:t>La</w:t>
      </w:r>
      <w:r w:rsidR="21A48B5C" w:rsidRPr="00E01239">
        <w:rPr>
          <w:rFonts w:asciiTheme="minorHAnsi" w:hAnsiTheme="minorHAnsi" w:cstheme="minorBidi"/>
          <w:b/>
          <w:bCs/>
          <w:color w:val="000000" w:themeColor="text1"/>
          <w:sz w:val="22"/>
          <w:szCs w:val="22"/>
        </w:rPr>
        <w:t xml:space="preserve"> Stratégie et le Plan d’Action pour la Conservation de la Biodiversité</w:t>
      </w:r>
      <w:r w:rsidR="21A48B5C" w:rsidRPr="00E01239">
        <w:rPr>
          <w:rFonts w:asciiTheme="minorHAnsi" w:hAnsiTheme="minorHAnsi" w:cstheme="minorBidi"/>
          <w:color w:val="000000" w:themeColor="text1"/>
          <w:sz w:val="22"/>
          <w:szCs w:val="22"/>
        </w:rPr>
        <w:t xml:space="preserve">, mis en place dans le cadre de la mise en œuvre de la Convention de Rio sur la diversité biologique en 1999. La nouvelle stratégie nationale a été adoptée en 2015 avec pour vision : « A l’horizon 2030, la biodiversité́ est restaurée, conservée et valorisée pour fournir de manière durable des biens et services avec un partage équitable des bénéfices et avantages afin de contribuer au développement économique et social » ; </w:t>
      </w:r>
    </w:p>
    <w:p w14:paraId="0ABB8C69" w14:textId="0B328BD2" w:rsidR="008E4D64" w:rsidRPr="00E01239" w:rsidRDefault="00A465D3"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bCs/>
          <w:iCs/>
          <w:color w:val="000000"/>
          <w:sz w:val="22"/>
          <w:szCs w:val="22"/>
        </w:rPr>
      </w:pPr>
      <w:r w:rsidRPr="00E01239">
        <w:rPr>
          <w:rFonts w:asciiTheme="minorHAnsi" w:hAnsiTheme="minorHAnsi" w:cstheme="minorHAnsi"/>
          <w:bCs/>
          <w:iCs/>
          <w:color w:val="000000"/>
          <w:sz w:val="22"/>
          <w:szCs w:val="22"/>
        </w:rPr>
        <w:t>Le</w:t>
      </w:r>
      <w:r w:rsidR="008E4D64" w:rsidRPr="00E01239">
        <w:rPr>
          <w:rFonts w:asciiTheme="minorHAnsi" w:hAnsiTheme="minorHAnsi" w:cstheme="minorHAnsi"/>
          <w:bCs/>
          <w:iCs/>
          <w:color w:val="000000"/>
          <w:sz w:val="22"/>
          <w:szCs w:val="22"/>
        </w:rPr>
        <w:t xml:space="preserve"> </w:t>
      </w:r>
      <w:r w:rsidR="008E4D64" w:rsidRPr="00E01239">
        <w:rPr>
          <w:rFonts w:asciiTheme="minorHAnsi" w:hAnsiTheme="minorHAnsi" w:cstheme="minorHAnsi"/>
          <w:b/>
          <w:bCs/>
          <w:iCs/>
          <w:color w:val="000000"/>
          <w:sz w:val="22"/>
          <w:szCs w:val="22"/>
        </w:rPr>
        <w:t>Programme d’Action National de Lutte Contre la Désertification et la Gestion Durable des Terres</w:t>
      </w:r>
      <w:r w:rsidR="008E4D64" w:rsidRPr="00E01239">
        <w:rPr>
          <w:rFonts w:asciiTheme="minorHAnsi" w:hAnsiTheme="minorHAnsi" w:cstheme="minorHAnsi"/>
          <w:bCs/>
          <w:iCs/>
          <w:color w:val="000000"/>
          <w:sz w:val="22"/>
          <w:szCs w:val="22"/>
        </w:rPr>
        <w:t xml:space="preserve"> qui vise la restauration des bases productives et la lutte contre la dégradation des sols, l’accroissement et le soutien à la productivité agricole, la protection et la remise en état des fonctions et services écosystémiques dans les zones </w:t>
      </w:r>
      <w:proofErr w:type="spellStart"/>
      <w:r w:rsidR="008E4D64" w:rsidRPr="00E01239">
        <w:rPr>
          <w:rFonts w:asciiTheme="minorHAnsi" w:hAnsiTheme="minorHAnsi" w:cstheme="minorHAnsi"/>
          <w:bCs/>
          <w:iCs/>
          <w:color w:val="000000"/>
          <w:sz w:val="22"/>
          <w:szCs w:val="22"/>
        </w:rPr>
        <w:t>agro-écologiques</w:t>
      </w:r>
      <w:proofErr w:type="spellEnd"/>
      <w:r w:rsidR="008E4D64" w:rsidRPr="00E01239">
        <w:rPr>
          <w:rFonts w:asciiTheme="minorHAnsi" w:hAnsiTheme="minorHAnsi" w:cstheme="minorHAnsi"/>
          <w:bCs/>
          <w:iCs/>
          <w:color w:val="000000"/>
          <w:sz w:val="22"/>
          <w:szCs w:val="22"/>
        </w:rPr>
        <w:t xml:space="preserve"> prioritaires du Sénégal. Le PAN/LCD constitue l’un des piliers majeurs du PNAE, à travers le volet multisectoriel « lutte contre la désertification » ;</w:t>
      </w:r>
    </w:p>
    <w:p w14:paraId="2A34B74A" w14:textId="77777777" w:rsidR="009A16A4" w:rsidRPr="00E01239" w:rsidRDefault="009A16A4" w:rsidP="009A16A4">
      <w:pPr>
        <w:pStyle w:val="Paragraphedeliste"/>
        <w:numPr>
          <w:ilvl w:val="0"/>
          <w:numId w:val="164"/>
        </w:numPr>
        <w:autoSpaceDE w:val="0"/>
        <w:autoSpaceDN w:val="0"/>
        <w:adjustRightInd w:val="0"/>
        <w:spacing w:before="120" w:line="280" w:lineRule="exact"/>
        <w:contextualSpacing w:val="0"/>
        <w:jc w:val="both"/>
        <w:rPr>
          <w:rFonts w:ascii="Calibri" w:hAnsi="Calibri" w:cs="Calibri"/>
          <w:bCs/>
          <w:iCs/>
          <w:color w:val="000000"/>
          <w:sz w:val="22"/>
          <w:szCs w:val="22"/>
        </w:rPr>
      </w:pPr>
      <w:r w:rsidRPr="00E01239">
        <w:rPr>
          <w:rFonts w:ascii="Calibri" w:hAnsi="Calibri" w:cs="Calibri"/>
          <w:b/>
          <w:iCs/>
          <w:color w:val="000000"/>
          <w:sz w:val="22"/>
          <w:szCs w:val="22"/>
        </w:rPr>
        <w:t xml:space="preserve">La Stratégie Nationale de Développement Economique et Social (SNDES) </w:t>
      </w:r>
      <w:r w:rsidRPr="00E01239">
        <w:rPr>
          <w:rFonts w:ascii="Calibri" w:hAnsi="Calibri" w:cs="Calibri"/>
          <w:bCs/>
          <w:iCs/>
          <w:color w:val="000000"/>
          <w:sz w:val="22"/>
          <w:szCs w:val="22"/>
        </w:rPr>
        <w:t xml:space="preserve">La société sénégalaise s'est accordée sur une vision à long terme reposant sur la finalité d’une « émergence dans la solidarité intra et intergénérationnelle ». « L’émergence dans la solidarité » concilie la responsabilité et la liberté, l’efficacité et la justice et enfin, l’économique et le social. L’objectif de la SNDES est de mettre en cohérence les politiques, stratégies et programmes en cours d’exécution d’une part, et d’autre part, de favoriser une meilleure synergie entre les diverses actions conduites en tentant d’identifier et de faire prendre en charge les interfaces ou espaces de compétition ». La SNDES est constituée par les actions prioritaires urgentes et réalisables dans un délai raisonnable. Deux catégories d’action ont été retenues : celles qui apportent un appui à la mise en œuvre de la Stratégie Nationale et du Plan National d’Actions d’une part ; et d’autre part celles qui sont spécifiques aux principaux </w:t>
      </w:r>
      <w:r w:rsidRPr="00E01239">
        <w:rPr>
          <w:rFonts w:ascii="Calibri" w:hAnsi="Calibri" w:cs="Calibri"/>
          <w:bCs/>
          <w:iCs/>
          <w:color w:val="000000"/>
          <w:sz w:val="22"/>
          <w:szCs w:val="22"/>
        </w:rPr>
        <w:lastRenderedPageBreak/>
        <w:t xml:space="preserve">sites de biodiversité. La stratégie souligne avec force la nécessité de préserver les sites de biodiversité. </w:t>
      </w:r>
    </w:p>
    <w:p w14:paraId="43685C36" w14:textId="77777777" w:rsidR="009A16A4" w:rsidRPr="00E01239" w:rsidRDefault="009A16A4" w:rsidP="009A16A4">
      <w:pPr>
        <w:pStyle w:val="Paragraphedeliste"/>
        <w:numPr>
          <w:ilvl w:val="0"/>
          <w:numId w:val="164"/>
        </w:numPr>
        <w:autoSpaceDE w:val="0"/>
        <w:autoSpaceDN w:val="0"/>
        <w:adjustRightInd w:val="0"/>
        <w:spacing w:before="120" w:line="280" w:lineRule="exact"/>
        <w:contextualSpacing w:val="0"/>
        <w:jc w:val="both"/>
        <w:rPr>
          <w:rFonts w:ascii="Calibri" w:hAnsi="Calibri" w:cs="Calibri"/>
          <w:bCs/>
          <w:iCs/>
          <w:color w:val="000000"/>
          <w:sz w:val="22"/>
          <w:szCs w:val="22"/>
        </w:rPr>
      </w:pPr>
      <w:r w:rsidRPr="00E01239">
        <w:rPr>
          <w:rFonts w:ascii="Calibri" w:hAnsi="Calibri" w:cs="Calibri"/>
          <w:b/>
          <w:iCs/>
          <w:color w:val="000000"/>
          <w:sz w:val="22"/>
          <w:szCs w:val="22"/>
        </w:rPr>
        <w:t>La Stratégie Nationale pour l’Egalité et l’équité du Genre (SNEEG)</w:t>
      </w:r>
      <w:r w:rsidRPr="00E01239">
        <w:rPr>
          <w:rFonts w:ascii="Calibri" w:hAnsi="Calibri" w:cs="Calibri"/>
          <w:bCs/>
          <w:iCs/>
          <w:color w:val="000000"/>
          <w:sz w:val="22"/>
          <w:szCs w:val="22"/>
        </w:rPr>
        <w:t xml:space="preserve"> est un moyen pertinent de réalisation de l’égalité et de l’équité entre les femmes et les hommes et, par-delà cet acquis, comme un gage de sécurité à la réalisation d’un développement durable au Sénégal. Le constat fait par la SNEEG, c’est que malgré le fait que les femmes rurales constituent près de 70% de la force de travail et assurent plus de 80% de la production agricole notamment dans les cultures vivrières, elles restent confrontées à un accès limité aux moyens de production. Certaines normes sociales constituant un obstacle à l’accès correct des femmes à la terre.</w:t>
      </w:r>
    </w:p>
    <w:p w14:paraId="58064D0B" w14:textId="2BB929AA" w:rsidR="008E4D64" w:rsidRPr="00E01239" w:rsidRDefault="00A465D3"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bCs/>
          <w:iCs/>
          <w:color w:val="000000"/>
          <w:sz w:val="22"/>
          <w:szCs w:val="22"/>
        </w:rPr>
      </w:pPr>
      <w:r w:rsidRPr="00E01239">
        <w:rPr>
          <w:rFonts w:asciiTheme="minorHAnsi" w:hAnsiTheme="minorHAnsi" w:cstheme="minorHAnsi"/>
          <w:bCs/>
          <w:iCs/>
          <w:color w:val="000000"/>
          <w:sz w:val="22"/>
          <w:szCs w:val="22"/>
        </w:rPr>
        <w:t>La</w:t>
      </w:r>
      <w:r w:rsidR="008E4D64" w:rsidRPr="00E01239">
        <w:rPr>
          <w:rFonts w:asciiTheme="minorHAnsi" w:hAnsiTheme="minorHAnsi" w:cstheme="minorHAnsi"/>
          <w:b/>
          <w:bCs/>
          <w:iCs/>
          <w:color w:val="000000"/>
          <w:sz w:val="22"/>
          <w:szCs w:val="22"/>
        </w:rPr>
        <w:t xml:space="preserve"> Contribution </w:t>
      </w:r>
      <w:r w:rsidR="00AC4D19" w:rsidRPr="00E01239">
        <w:rPr>
          <w:rFonts w:asciiTheme="minorHAnsi" w:hAnsiTheme="minorHAnsi" w:cstheme="minorHAnsi"/>
          <w:b/>
          <w:bCs/>
          <w:iCs/>
          <w:color w:val="000000"/>
          <w:sz w:val="22"/>
          <w:szCs w:val="22"/>
        </w:rPr>
        <w:t>D</w:t>
      </w:r>
      <w:r w:rsidR="008E4D64" w:rsidRPr="00E01239">
        <w:rPr>
          <w:rFonts w:asciiTheme="minorHAnsi" w:hAnsiTheme="minorHAnsi" w:cstheme="minorHAnsi"/>
          <w:b/>
          <w:bCs/>
          <w:iCs/>
          <w:color w:val="000000"/>
          <w:sz w:val="22"/>
          <w:szCs w:val="22"/>
        </w:rPr>
        <w:t xml:space="preserve">éterminée </w:t>
      </w:r>
      <w:r w:rsidR="00AC4D19" w:rsidRPr="00E01239">
        <w:rPr>
          <w:rFonts w:asciiTheme="minorHAnsi" w:hAnsiTheme="minorHAnsi" w:cstheme="minorHAnsi"/>
          <w:b/>
          <w:bCs/>
          <w:iCs/>
          <w:color w:val="000000"/>
          <w:sz w:val="22"/>
          <w:szCs w:val="22"/>
        </w:rPr>
        <w:t>N</w:t>
      </w:r>
      <w:r w:rsidR="008E4D64" w:rsidRPr="00E01239">
        <w:rPr>
          <w:rFonts w:asciiTheme="minorHAnsi" w:hAnsiTheme="minorHAnsi" w:cstheme="minorHAnsi"/>
          <w:b/>
          <w:bCs/>
          <w:iCs/>
          <w:color w:val="000000"/>
          <w:sz w:val="22"/>
          <w:szCs w:val="22"/>
        </w:rPr>
        <w:t>ational</w:t>
      </w:r>
      <w:r w:rsidR="0091007E" w:rsidRPr="00E01239">
        <w:rPr>
          <w:rFonts w:asciiTheme="minorHAnsi" w:hAnsiTheme="minorHAnsi" w:cstheme="minorHAnsi"/>
          <w:b/>
          <w:bCs/>
          <w:iCs/>
          <w:color w:val="000000"/>
          <w:sz w:val="22"/>
          <w:szCs w:val="22"/>
        </w:rPr>
        <w:t>e</w:t>
      </w:r>
      <w:r w:rsidR="008E4D64" w:rsidRPr="00E01239">
        <w:rPr>
          <w:rFonts w:asciiTheme="minorHAnsi" w:hAnsiTheme="minorHAnsi" w:cstheme="minorHAnsi"/>
          <w:b/>
          <w:bCs/>
          <w:iCs/>
          <w:color w:val="000000"/>
          <w:sz w:val="22"/>
          <w:szCs w:val="22"/>
        </w:rPr>
        <w:t xml:space="preserve"> (CDN) du Sénégal</w:t>
      </w:r>
      <w:r w:rsidR="008E4D64" w:rsidRPr="00E01239">
        <w:rPr>
          <w:rFonts w:asciiTheme="minorHAnsi" w:hAnsiTheme="minorHAnsi" w:cstheme="minorHAnsi"/>
          <w:bCs/>
          <w:iCs/>
          <w:color w:val="000000"/>
          <w:sz w:val="22"/>
          <w:szCs w:val="22"/>
        </w:rPr>
        <w:t xml:space="preserve"> (2020), adoptée dans le cadre de la mise en œuvre de l'Accord de Paris. C’est un plan climatique national qui met l'accent sur les actions climatiques, avec les objectifs, les politiques et les mesures que le gouvernement prévoit de mettre en œuvre pour répondre au changement climatique et afin de contribuer à l'action climatique mondiale. La CDN identifie les volets d’atténuation et d’adaptation, mais aussi les secteurs sensibles portant, de façon prioritaire, les activités de maîtrise des impacts du changement climatique comme l’agriculture, la pêche, l’élevage, la santé, la biodiversité, entre autres ;</w:t>
      </w:r>
    </w:p>
    <w:p w14:paraId="0B85C998" w14:textId="43146E52" w:rsidR="009A16A4" w:rsidRPr="00E01239" w:rsidRDefault="009A16A4" w:rsidP="009A16A4">
      <w:pPr>
        <w:pStyle w:val="Paragraphedeliste"/>
        <w:numPr>
          <w:ilvl w:val="0"/>
          <w:numId w:val="164"/>
        </w:numPr>
        <w:autoSpaceDE w:val="0"/>
        <w:autoSpaceDN w:val="0"/>
        <w:adjustRightInd w:val="0"/>
        <w:spacing w:before="120" w:line="280" w:lineRule="exact"/>
        <w:contextualSpacing w:val="0"/>
        <w:jc w:val="both"/>
        <w:rPr>
          <w:rFonts w:ascii="Calibri" w:hAnsi="Calibri" w:cs="Calibri"/>
          <w:bCs/>
          <w:iCs/>
          <w:color w:val="000000"/>
          <w:sz w:val="22"/>
          <w:szCs w:val="22"/>
        </w:rPr>
      </w:pPr>
      <w:r w:rsidRPr="00E01239">
        <w:rPr>
          <w:rFonts w:ascii="Calibri" w:hAnsi="Calibri" w:cs="Calibri"/>
          <w:b/>
          <w:bCs/>
          <w:iCs/>
          <w:color w:val="000000"/>
          <w:sz w:val="22"/>
          <w:szCs w:val="22"/>
        </w:rPr>
        <w:t>Le Plan national pour l’adaptation aux changements climatiques (PANA)</w:t>
      </w:r>
      <w:r w:rsidRPr="00E01239">
        <w:t xml:space="preserve"> </w:t>
      </w:r>
      <w:r w:rsidRPr="00E01239">
        <w:rPr>
          <w:rFonts w:ascii="Calibri" w:hAnsi="Calibri" w:cs="Calibri"/>
          <w:bCs/>
          <w:iCs/>
          <w:color w:val="000000"/>
          <w:sz w:val="22"/>
          <w:szCs w:val="22"/>
        </w:rPr>
        <w:t xml:space="preserve">Le PANA </w:t>
      </w:r>
      <w:proofErr w:type="gramStart"/>
      <w:r w:rsidRPr="00E01239">
        <w:rPr>
          <w:rFonts w:ascii="Calibri" w:hAnsi="Calibri" w:cs="Calibri"/>
          <w:bCs/>
          <w:iCs/>
          <w:color w:val="000000"/>
          <w:sz w:val="22"/>
          <w:szCs w:val="22"/>
        </w:rPr>
        <w:t>adopté</w:t>
      </w:r>
      <w:proofErr w:type="gramEnd"/>
      <w:r w:rsidRPr="00E01239">
        <w:rPr>
          <w:rFonts w:ascii="Calibri" w:hAnsi="Calibri" w:cs="Calibri"/>
          <w:bCs/>
          <w:iCs/>
          <w:color w:val="000000"/>
          <w:sz w:val="22"/>
          <w:szCs w:val="22"/>
        </w:rPr>
        <w:t xml:space="preserve"> en 2006 et réactualisé en 2017 dresse l'état de la vulnérabilité au Sénégal, notamment celle touchant les zones côtières par exemple le delta du fleuve Sénégal. Plusieurs problèmes concernant les zones d’intervention du projet y ont été identifiés. Il s’agit notamment de la dégradation des mangroves ou encore la salinisation des eaux et des sols. </w:t>
      </w:r>
      <w:r w:rsidR="00CB04E0">
        <w:rPr>
          <w:rFonts w:ascii="Calibri" w:hAnsi="Calibri" w:cs="Calibri"/>
          <w:bCs/>
          <w:iCs/>
          <w:color w:val="000000"/>
          <w:sz w:val="22"/>
          <w:szCs w:val="22"/>
        </w:rPr>
        <w:t>É</w:t>
      </w:r>
      <w:r w:rsidRPr="00E01239">
        <w:rPr>
          <w:rFonts w:ascii="Calibri" w:hAnsi="Calibri" w:cs="Calibri"/>
          <w:bCs/>
          <w:iCs/>
          <w:color w:val="000000"/>
          <w:sz w:val="22"/>
          <w:szCs w:val="22"/>
        </w:rPr>
        <w:t>galement parmi les enjeux de cette zone figure la protection contre les inondations et submersion fluviale. Le Projet de la boucle du riz devra être en phase avec cet instrument de planification.</w:t>
      </w:r>
    </w:p>
    <w:p w14:paraId="26938B63" w14:textId="604EBBB8" w:rsidR="009A16A4" w:rsidRPr="00E01239" w:rsidRDefault="009A16A4" w:rsidP="009A16A4">
      <w:pPr>
        <w:pStyle w:val="Paragraphedeliste"/>
        <w:numPr>
          <w:ilvl w:val="0"/>
          <w:numId w:val="164"/>
        </w:numPr>
        <w:autoSpaceDE w:val="0"/>
        <w:autoSpaceDN w:val="0"/>
        <w:adjustRightInd w:val="0"/>
        <w:spacing w:before="120" w:line="280" w:lineRule="exact"/>
        <w:contextualSpacing w:val="0"/>
        <w:jc w:val="both"/>
        <w:rPr>
          <w:rFonts w:ascii="Calibri" w:hAnsi="Calibri" w:cs="Calibri"/>
          <w:bCs/>
          <w:iCs/>
          <w:color w:val="000000"/>
          <w:sz w:val="22"/>
          <w:szCs w:val="22"/>
        </w:rPr>
      </w:pPr>
      <w:r w:rsidRPr="00E01239">
        <w:rPr>
          <w:rFonts w:ascii="Calibri" w:hAnsi="Calibri" w:cs="Calibri"/>
          <w:b/>
          <w:bCs/>
          <w:iCs/>
          <w:color w:val="000000"/>
          <w:sz w:val="22"/>
          <w:szCs w:val="22"/>
        </w:rPr>
        <w:t>La Stratégie de mise en œuvre de la Convention Cadre des Nations Unies sur les Changements climatiques (SNMO)</w:t>
      </w:r>
      <w:r w:rsidRPr="00E01239">
        <w:t xml:space="preserve"> </w:t>
      </w:r>
      <w:r w:rsidRPr="00E01239">
        <w:rPr>
          <w:rFonts w:ascii="Calibri" w:hAnsi="Calibri" w:cs="Calibri"/>
          <w:bCs/>
          <w:iCs/>
          <w:color w:val="000000"/>
          <w:sz w:val="22"/>
          <w:szCs w:val="22"/>
        </w:rPr>
        <w:t>L’élaboration de la stratégie nationale d’adaptation aux changements climatiques (SNMO) s’inscrit dans le programme d’activités que le Sénégal a développé depuis la conférence de Rio de 1992. En effet, tenant compte des engagements de la Convention Cadre des Nations Unies sur les Changements Climatiques (CCNUCC), le pays a pris des initiatives importantes qui visent l’adaptation aux changements climatiques. La SNMO constitue ainsi un cadre de référence sur lequel l’ensemble des acteurs et institutions doit se référer pour, davantage, inscrire leurs actions dans des stratégies intégrées d’adaptation. Le secteur des transports qui est de manière générale est très vulnérable aux risques et variabilités climatiques est fortement concerné par la mise en œuvre de cette stratégie.</w:t>
      </w:r>
    </w:p>
    <w:p w14:paraId="05570D2A" w14:textId="2810FE7A" w:rsidR="009A16A4" w:rsidRPr="00E01239" w:rsidRDefault="009A16A4" w:rsidP="009A16A4">
      <w:pPr>
        <w:pStyle w:val="Paragraphedeliste"/>
        <w:numPr>
          <w:ilvl w:val="0"/>
          <w:numId w:val="164"/>
        </w:numPr>
        <w:autoSpaceDE w:val="0"/>
        <w:autoSpaceDN w:val="0"/>
        <w:adjustRightInd w:val="0"/>
        <w:spacing w:before="120" w:line="280" w:lineRule="exact"/>
        <w:contextualSpacing w:val="0"/>
        <w:jc w:val="both"/>
        <w:rPr>
          <w:rFonts w:ascii="Calibri" w:hAnsi="Calibri" w:cs="Calibri"/>
          <w:bCs/>
          <w:iCs/>
          <w:color w:val="000000"/>
          <w:sz w:val="22"/>
          <w:szCs w:val="22"/>
        </w:rPr>
      </w:pPr>
      <w:r w:rsidRPr="00E01239">
        <w:rPr>
          <w:rFonts w:ascii="Calibri" w:hAnsi="Calibri" w:cs="Calibri"/>
          <w:b/>
          <w:bCs/>
          <w:iCs/>
          <w:color w:val="000000"/>
          <w:sz w:val="22"/>
          <w:szCs w:val="22"/>
        </w:rPr>
        <w:t>Le Plan d’action de Gestion des ressources en eau (PAGIRE) </w:t>
      </w:r>
      <w:r w:rsidRPr="00E01239">
        <w:t xml:space="preserve">: </w:t>
      </w:r>
      <w:r w:rsidRPr="00E01239">
        <w:rPr>
          <w:rFonts w:ascii="Calibri" w:hAnsi="Calibri" w:cs="Calibri"/>
          <w:bCs/>
          <w:iCs/>
          <w:color w:val="000000"/>
          <w:sz w:val="22"/>
          <w:szCs w:val="22"/>
        </w:rPr>
        <w:t>Depuis 2004, le Sénégal s’est engagé dans l’élaboration d’un Plan d’action de Gestion des ressources en eau (PAGIRE). L’objectif principal visé est de « contribuer à la mise en œuvre d’une gestion intégrée des ressources en eau, adaptée au contexte national, conforme aux orientations définies par le Gouvernement Sénégalais pour la réduction de la pauvreté, l’atteinte des Objectifs du Développement Durable (ODD) et respectant les principes reconnus au plan international en matière de gestion durable et écologiquement rationnelle des ressources en eau ». Le nouveau PAGIRE 2017-2025 s’articule autour de cinq (05) enjeux et défis majeurs liés aux aspects i) Services d’eau et d’assainissement, ii) Gouvernance, iii) Financement, iv) Qualité de l’eau, v) Genre et Changement climatique. Le projet doit préserver la qualité des eaux.</w:t>
      </w:r>
    </w:p>
    <w:p w14:paraId="04C681FB" w14:textId="4E28887D" w:rsidR="008E4D64" w:rsidRPr="00E01239" w:rsidRDefault="0A638BDF"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color w:val="000000"/>
          <w:sz w:val="22"/>
          <w:szCs w:val="22"/>
        </w:rPr>
      </w:pPr>
      <w:r w:rsidRPr="00E01239">
        <w:rPr>
          <w:rFonts w:asciiTheme="minorHAnsi" w:hAnsiTheme="minorHAnsi" w:cstheme="minorBidi"/>
          <w:sz w:val="22"/>
          <w:szCs w:val="22"/>
        </w:rPr>
        <w:lastRenderedPageBreak/>
        <w:t>Le</w:t>
      </w:r>
      <w:r w:rsidR="21A48B5C" w:rsidRPr="00E01239">
        <w:rPr>
          <w:rFonts w:asciiTheme="minorHAnsi" w:hAnsiTheme="minorHAnsi" w:cstheme="minorBidi"/>
          <w:b/>
          <w:bCs/>
          <w:sz w:val="22"/>
          <w:szCs w:val="22"/>
        </w:rPr>
        <w:t xml:space="preserve"> Programme </w:t>
      </w:r>
      <w:r w:rsidR="456AC418" w:rsidRPr="00E01239">
        <w:rPr>
          <w:rFonts w:asciiTheme="minorHAnsi" w:hAnsiTheme="minorHAnsi" w:cstheme="minorBidi"/>
          <w:b/>
          <w:bCs/>
          <w:sz w:val="22"/>
          <w:szCs w:val="22"/>
        </w:rPr>
        <w:t>N</w:t>
      </w:r>
      <w:r w:rsidR="21A48B5C" w:rsidRPr="00E01239">
        <w:rPr>
          <w:rFonts w:asciiTheme="minorHAnsi" w:hAnsiTheme="minorHAnsi" w:cstheme="minorBidi"/>
          <w:b/>
          <w:bCs/>
          <w:sz w:val="22"/>
          <w:szCs w:val="22"/>
        </w:rPr>
        <w:t xml:space="preserve">ational de Prévention et Réduction des Risques </w:t>
      </w:r>
      <w:r w:rsidR="456AC418" w:rsidRPr="00E01239">
        <w:rPr>
          <w:rFonts w:asciiTheme="minorHAnsi" w:hAnsiTheme="minorHAnsi" w:cstheme="minorBidi"/>
          <w:b/>
          <w:bCs/>
          <w:sz w:val="22"/>
          <w:szCs w:val="22"/>
        </w:rPr>
        <w:t>M</w:t>
      </w:r>
      <w:r w:rsidR="21A48B5C" w:rsidRPr="00E01239">
        <w:rPr>
          <w:rFonts w:asciiTheme="minorHAnsi" w:hAnsiTheme="minorHAnsi" w:cstheme="minorBidi"/>
          <w:b/>
          <w:bCs/>
          <w:sz w:val="22"/>
          <w:szCs w:val="22"/>
        </w:rPr>
        <w:t xml:space="preserve">ajeurs et </w:t>
      </w:r>
      <w:r w:rsidR="21A48B5C" w:rsidRPr="00E01239">
        <w:rPr>
          <w:rFonts w:asciiTheme="minorHAnsi" w:hAnsiTheme="minorHAnsi" w:cstheme="minorBidi"/>
          <w:b/>
          <w:bCs/>
          <w:color w:val="000000" w:themeColor="text1"/>
          <w:sz w:val="22"/>
          <w:szCs w:val="22"/>
        </w:rPr>
        <w:t xml:space="preserve">de Gestion des Catastrophes </w:t>
      </w:r>
      <w:r w:rsidR="456AC418" w:rsidRPr="00E01239">
        <w:rPr>
          <w:rFonts w:asciiTheme="minorHAnsi" w:hAnsiTheme="minorHAnsi" w:cstheme="minorBidi"/>
          <w:b/>
          <w:bCs/>
          <w:color w:val="000000" w:themeColor="text1"/>
          <w:sz w:val="22"/>
          <w:szCs w:val="22"/>
        </w:rPr>
        <w:t>N</w:t>
      </w:r>
      <w:r w:rsidR="21A48B5C" w:rsidRPr="00E01239">
        <w:rPr>
          <w:rFonts w:asciiTheme="minorHAnsi" w:hAnsiTheme="minorHAnsi" w:cstheme="minorBidi"/>
          <w:b/>
          <w:bCs/>
          <w:color w:val="000000" w:themeColor="text1"/>
          <w:sz w:val="22"/>
          <w:szCs w:val="22"/>
        </w:rPr>
        <w:t>aturelles</w:t>
      </w:r>
      <w:r w:rsidR="21A48B5C" w:rsidRPr="00E01239">
        <w:rPr>
          <w:rFonts w:asciiTheme="minorHAnsi" w:hAnsiTheme="minorHAnsi" w:cstheme="minorBidi"/>
          <w:color w:val="000000" w:themeColor="text1"/>
          <w:sz w:val="22"/>
          <w:szCs w:val="22"/>
        </w:rPr>
        <w:t>,</w:t>
      </w:r>
      <w:r w:rsidR="21A48B5C" w:rsidRPr="00E01239">
        <w:rPr>
          <w:rFonts w:asciiTheme="minorHAnsi" w:hAnsiTheme="minorHAnsi" w:cstheme="minorBidi"/>
          <w:b/>
          <w:bCs/>
          <w:color w:val="000000" w:themeColor="text1"/>
          <w:sz w:val="22"/>
          <w:szCs w:val="22"/>
        </w:rPr>
        <w:t xml:space="preserve"> </w:t>
      </w:r>
      <w:r w:rsidR="21A48B5C" w:rsidRPr="00E01239">
        <w:rPr>
          <w:rFonts w:asciiTheme="minorHAnsi" w:hAnsiTheme="minorHAnsi" w:cstheme="minorBidi"/>
          <w:color w:val="000000" w:themeColor="text1"/>
          <w:sz w:val="22"/>
          <w:szCs w:val="22"/>
        </w:rPr>
        <w:t>cadre de coordination des actions en matière de risques et catastrophes et de suivi de la prévention et de la gestion des risques et catastrophes ;</w:t>
      </w:r>
    </w:p>
    <w:p w14:paraId="4E752BA3" w14:textId="6E865ADA" w:rsidR="008E4D64" w:rsidRPr="00E01239" w:rsidRDefault="0A638BDF"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color w:val="000000"/>
          <w:sz w:val="22"/>
          <w:szCs w:val="22"/>
        </w:rPr>
      </w:pPr>
      <w:r w:rsidRPr="00E01239">
        <w:rPr>
          <w:rFonts w:asciiTheme="minorHAnsi" w:hAnsiTheme="minorHAnsi" w:cstheme="minorBidi"/>
          <w:sz w:val="22"/>
          <w:szCs w:val="22"/>
        </w:rPr>
        <w:t>Le</w:t>
      </w:r>
      <w:r w:rsidR="21A48B5C" w:rsidRPr="00E01239">
        <w:rPr>
          <w:rFonts w:asciiTheme="minorHAnsi" w:hAnsiTheme="minorHAnsi" w:cstheme="minorBidi"/>
          <w:sz w:val="22"/>
          <w:szCs w:val="22"/>
        </w:rPr>
        <w:t xml:space="preserve"> </w:t>
      </w:r>
      <w:r w:rsidR="21A48B5C" w:rsidRPr="00E01239">
        <w:rPr>
          <w:rFonts w:asciiTheme="minorHAnsi" w:hAnsiTheme="minorHAnsi" w:cstheme="minorBidi"/>
          <w:b/>
          <w:bCs/>
          <w:sz w:val="22"/>
          <w:szCs w:val="22"/>
        </w:rPr>
        <w:t xml:space="preserve">Plan de Gestion des Déchets </w:t>
      </w:r>
      <w:r w:rsidR="456AC418" w:rsidRPr="00E01239">
        <w:rPr>
          <w:rFonts w:asciiTheme="minorHAnsi" w:hAnsiTheme="minorHAnsi" w:cstheme="minorBidi"/>
          <w:b/>
          <w:bCs/>
          <w:sz w:val="22"/>
          <w:szCs w:val="22"/>
        </w:rPr>
        <w:t>B</w:t>
      </w:r>
      <w:r w:rsidR="21A48B5C" w:rsidRPr="00E01239">
        <w:rPr>
          <w:rFonts w:asciiTheme="minorHAnsi" w:hAnsiTheme="minorHAnsi" w:cstheme="minorBidi"/>
          <w:b/>
          <w:bCs/>
          <w:sz w:val="22"/>
          <w:szCs w:val="22"/>
        </w:rPr>
        <w:t>iomédicaux</w:t>
      </w:r>
      <w:r w:rsidR="21A48B5C" w:rsidRPr="00E01239">
        <w:rPr>
          <w:rFonts w:asciiTheme="minorHAnsi" w:hAnsiTheme="minorHAnsi" w:cstheme="minorBidi"/>
          <w:sz w:val="22"/>
          <w:szCs w:val="22"/>
        </w:rPr>
        <w:t xml:space="preserve"> (DBM 2015-2020) dont l’objectif global est </w:t>
      </w:r>
      <w:r w:rsidR="21A48B5C" w:rsidRPr="00E01239">
        <w:rPr>
          <w:rFonts w:asciiTheme="minorHAnsi" w:hAnsiTheme="minorHAnsi" w:cstheme="minorBidi"/>
          <w:color w:val="000000" w:themeColor="text1"/>
          <w:sz w:val="22"/>
          <w:szCs w:val="22"/>
        </w:rPr>
        <w:t>de contribuer au bien-être des populations par une gestion durable des DBM dans les formations sanitaires</w:t>
      </w:r>
      <w:r w:rsidR="6B51CF76" w:rsidRPr="00E01239">
        <w:rPr>
          <w:rFonts w:asciiTheme="minorHAnsi" w:hAnsiTheme="minorHAnsi" w:cstheme="minorBidi"/>
          <w:color w:val="000000" w:themeColor="text1"/>
          <w:sz w:val="22"/>
          <w:szCs w:val="22"/>
        </w:rPr>
        <w:t xml:space="preserve"> et </w:t>
      </w:r>
      <w:r w:rsidR="6B51CF76" w:rsidRPr="00E01239">
        <w:rPr>
          <w:rFonts w:ascii="Calibri" w:hAnsi="Calibri" w:cs="Calibri"/>
          <w:color w:val="000000" w:themeColor="text1"/>
          <w:sz w:val="22"/>
          <w:szCs w:val="22"/>
        </w:rPr>
        <w:t>vétérinaires</w:t>
      </w:r>
      <w:r w:rsidR="21A48B5C" w:rsidRPr="00E01239">
        <w:rPr>
          <w:rFonts w:asciiTheme="minorHAnsi" w:hAnsiTheme="minorHAnsi" w:cstheme="minorBidi"/>
          <w:color w:val="000000" w:themeColor="text1"/>
          <w:sz w:val="22"/>
          <w:szCs w:val="22"/>
        </w:rPr>
        <w:t xml:space="preserve"> qui mettent en place des systèmes viables </w:t>
      </w:r>
      <w:r w:rsidRPr="00E01239">
        <w:rPr>
          <w:rFonts w:asciiTheme="minorHAnsi" w:hAnsiTheme="minorHAnsi" w:cstheme="minorBidi"/>
          <w:color w:val="000000" w:themeColor="text1"/>
          <w:sz w:val="22"/>
          <w:szCs w:val="22"/>
        </w:rPr>
        <w:t>sur le</w:t>
      </w:r>
      <w:r w:rsidR="21A48B5C" w:rsidRPr="00E01239">
        <w:rPr>
          <w:rFonts w:asciiTheme="minorHAnsi" w:hAnsiTheme="minorHAnsi" w:cstheme="minorBidi"/>
          <w:color w:val="000000" w:themeColor="text1"/>
          <w:sz w:val="22"/>
          <w:szCs w:val="22"/>
        </w:rPr>
        <w:t xml:space="preserve"> plan environnemental, techniquement faisable, socialement acceptable, susceptibles de garantir un environnement sain et salubre. Ce plan répond aux objectifs de santé de l’Etat et il devra être respecté dans la gestion de ces types de déchets, notamment en milieu rural </w:t>
      </w:r>
      <w:proofErr w:type="spellStart"/>
      <w:r w:rsidR="6B51CF76" w:rsidRPr="00E01239">
        <w:rPr>
          <w:rFonts w:ascii="Calibri" w:hAnsi="Calibri" w:cs="Calibri"/>
          <w:color w:val="000000" w:themeColor="text1"/>
          <w:sz w:val="22"/>
          <w:szCs w:val="22"/>
        </w:rPr>
        <w:t>rural</w:t>
      </w:r>
      <w:proofErr w:type="spellEnd"/>
      <w:r w:rsidR="6B51CF76" w:rsidRPr="00E01239">
        <w:rPr>
          <w:rFonts w:ascii="Calibri" w:hAnsi="Calibri" w:cs="Calibri"/>
          <w:color w:val="000000" w:themeColor="text1"/>
          <w:sz w:val="22"/>
          <w:szCs w:val="22"/>
        </w:rPr>
        <w:t xml:space="preserve"> et particulièrement pour les soins vétérinaires dans les parcs de vaccination </w:t>
      </w:r>
      <w:r w:rsidR="21A48B5C" w:rsidRPr="00E01239">
        <w:rPr>
          <w:rFonts w:asciiTheme="minorHAnsi" w:hAnsiTheme="minorHAnsi" w:cstheme="minorBidi"/>
          <w:color w:val="000000" w:themeColor="text1"/>
          <w:sz w:val="22"/>
          <w:szCs w:val="22"/>
        </w:rPr>
        <w:t>;</w:t>
      </w:r>
    </w:p>
    <w:p w14:paraId="0017E190" w14:textId="01D91ECD" w:rsidR="008E4D64" w:rsidRPr="00E01239" w:rsidRDefault="0A638BDF"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bCs/>
          <w:iCs/>
          <w:color w:val="000000"/>
          <w:sz w:val="22"/>
          <w:szCs w:val="22"/>
        </w:rPr>
      </w:pPr>
      <w:r w:rsidRPr="00E01239">
        <w:rPr>
          <w:rFonts w:asciiTheme="minorHAnsi" w:hAnsiTheme="minorHAnsi" w:cstheme="minorBidi"/>
          <w:color w:val="000000" w:themeColor="text1"/>
          <w:sz w:val="22"/>
          <w:szCs w:val="22"/>
        </w:rPr>
        <w:t>La</w:t>
      </w:r>
      <w:r w:rsidR="21A48B5C" w:rsidRPr="00E01239">
        <w:rPr>
          <w:rFonts w:asciiTheme="minorHAnsi" w:hAnsiTheme="minorHAnsi" w:cstheme="minorBidi"/>
          <w:color w:val="000000" w:themeColor="text1"/>
          <w:sz w:val="22"/>
          <w:szCs w:val="22"/>
        </w:rPr>
        <w:t xml:space="preserve"> </w:t>
      </w:r>
      <w:r w:rsidR="21A48B5C" w:rsidRPr="00E01239">
        <w:rPr>
          <w:rFonts w:asciiTheme="minorHAnsi" w:hAnsiTheme="minorHAnsi" w:cstheme="minorBidi"/>
          <w:b/>
          <w:bCs/>
          <w:color w:val="000000" w:themeColor="text1"/>
          <w:sz w:val="22"/>
          <w:szCs w:val="22"/>
        </w:rPr>
        <w:t xml:space="preserve">Politique </w:t>
      </w:r>
      <w:r w:rsidR="456AC418" w:rsidRPr="00E01239">
        <w:rPr>
          <w:rFonts w:asciiTheme="minorHAnsi" w:hAnsiTheme="minorHAnsi" w:cstheme="minorBidi"/>
          <w:b/>
          <w:bCs/>
          <w:color w:val="000000" w:themeColor="text1"/>
          <w:sz w:val="22"/>
          <w:szCs w:val="22"/>
        </w:rPr>
        <w:t>N</w:t>
      </w:r>
      <w:r w:rsidR="21A48B5C" w:rsidRPr="00E01239">
        <w:rPr>
          <w:rFonts w:asciiTheme="minorHAnsi" w:hAnsiTheme="minorHAnsi" w:cstheme="minorBidi"/>
          <w:b/>
          <w:bCs/>
          <w:color w:val="000000" w:themeColor="text1"/>
          <w:sz w:val="22"/>
          <w:szCs w:val="22"/>
        </w:rPr>
        <w:t>ationale de Gestion des Zones humides (PNZH)</w:t>
      </w:r>
      <w:r w:rsidR="21A48B5C" w:rsidRPr="00E01239">
        <w:rPr>
          <w:rFonts w:asciiTheme="minorHAnsi" w:hAnsiTheme="minorHAnsi" w:cstheme="minorBidi"/>
          <w:color w:val="000000" w:themeColor="text1"/>
          <w:sz w:val="22"/>
          <w:szCs w:val="22"/>
        </w:rPr>
        <w:t> qui ambitionne de contribuer à l’articulation des politiques d’aménagement du territoire, de conservation et de production dans une perspective de développement durable. Elle vise à ce qu</w:t>
      </w:r>
      <w:proofErr w:type="gramStart"/>
      <w:r w:rsidRPr="00E01239">
        <w:rPr>
          <w:rFonts w:asciiTheme="minorHAnsi" w:hAnsiTheme="minorHAnsi" w:cstheme="minorBidi"/>
          <w:color w:val="000000" w:themeColor="text1"/>
          <w:sz w:val="22"/>
          <w:szCs w:val="22"/>
        </w:rPr>
        <w:t>’«</w:t>
      </w:r>
      <w:proofErr w:type="gramEnd"/>
      <w:r w:rsidR="21A48B5C" w:rsidRPr="00E01239">
        <w:rPr>
          <w:rFonts w:asciiTheme="minorHAnsi" w:hAnsiTheme="minorHAnsi" w:cstheme="minorBidi"/>
          <w:color w:val="000000" w:themeColor="text1"/>
          <w:sz w:val="22"/>
          <w:szCs w:val="22"/>
        </w:rPr>
        <w:t xml:space="preserve"> à l’horizon 2025, les écosystèmes des zones humides et les ressources qui leurs sont associées, soient conservés, viables et utilisés durablement afin de fournir des biens, et services nécessaires à la lutte contre la pauvreté aux niveaux local et national et de contribuer à la conservation de la diversité biologique mondiale » ;</w:t>
      </w:r>
    </w:p>
    <w:p w14:paraId="2F350085" w14:textId="4F9755C1" w:rsidR="008E4D64" w:rsidRPr="00E01239" w:rsidRDefault="0A638BDF"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bCs/>
          <w:iCs/>
          <w:color w:val="000000"/>
          <w:sz w:val="22"/>
          <w:szCs w:val="22"/>
        </w:rPr>
      </w:pPr>
      <w:bookmarkStart w:id="101" w:name="_Hlk49418482"/>
      <w:r w:rsidRPr="00E01239">
        <w:rPr>
          <w:rFonts w:asciiTheme="minorHAnsi" w:hAnsiTheme="minorHAnsi" w:cstheme="minorBidi"/>
          <w:color w:val="000000" w:themeColor="text1"/>
          <w:sz w:val="22"/>
          <w:szCs w:val="22"/>
        </w:rPr>
        <w:t>La</w:t>
      </w:r>
      <w:r w:rsidR="21A48B5C" w:rsidRPr="00E01239">
        <w:rPr>
          <w:rFonts w:asciiTheme="minorHAnsi" w:hAnsiTheme="minorHAnsi" w:cstheme="minorBidi"/>
          <w:color w:val="000000" w:themeColor="text1"/>
          <w:sz w:val="22"/>
          <w:szCs w:val="22"/>
        </w:rPr>
        <w:t xml:space="preserve"> </w:t>
      </w:r>
      <w:r w:rsidR="21A48B5C" w:rsidRPr="00E01239">
        <w:rPr>
          <w:rFonts w:asciiTheme="minorHAnsi" w:hAnsiTheme="minorHAnsi" w:cstheme="minorBidi"/>
          <w:b/>
          <w:bCs/>
          <w:color w:val="000000" w:themeColor="text1"/>
          <w:sz w:val="22"/>
          <w:szCs w:val="22"/>
        </w:rPr>
        <w:t xml:space="preserve">Stratégie Nationale </w:t>
      </w:r>
      <w:r w:rsidR="5091ACF6" w:rsidRPr="00E01239">
        <w:rPr>
          <w:rFonts w:asciiTheme="minorHAnsi" w:hAnsiTheme="minorHAnsi" w:cstheme="minorBidi"/>
          <w:b/>
          <w:bCs/>
          <w:color w:val="000000" w:themeColor="text1"/>
          <w:sz w:val="22"/>
          <w:szCs w:val="22"/>
        </w:rPr>
        <w:t xml:space="preserve">des </w:t>
      </w:r>
      <w:r w:rsidR="21A48B5C" w:rsidRPr="00E01239">
        <w:rPr>
          <w:rFonts w:asciiTheme="minorHAnsi" w:hAnsiTheme="minorHAnsi" w:cstheme="minorBidi"/>
          <w:b/>
          <w:bCs/>
          <w:color w:val="000000" w:themeColor="text1"/>
          <w:sz w:val="22"/>
          <w:szCs w:val="22"/>
        </w:rPr>
        <w:t>Aires Protégées du Sénégal (SNAPS)</w:t>
      </w:r>
      <w:r w:rsidR="21A48B5C" w:rsidRPr="00E01239">
        <w:rPr>
          <w:rFonts w:asciiTheme="minorHAnsi" w:hAnsiTheme="minorHAnsi" w:cstheme="minorBidi"/>
          <w:color w:val="000000" w:themeColor="text1"/>
          <w:sz w:val="22"/>
          <w:szCs w:val="22"/>
        </w:rPr>
        <w:t> dont les axes majeurs concernent l’aménagement et la restauration des aires protégées, la contribution des aires protégées au développement national, l’amélioration de la gouvernance et renforcement de l’implication des différentes parties prenantes dans la gestion des aires protégées ;</w:t>
      </w:r>
    </w:p>
    <w:p w14:paraId="1F61B26E" w14:textId="68A90B2B" w:rsidR="008E4D64" w:rsidRPr="00E01239" w:rsidRDefault="21A48B5C"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bCs/>
          <w:iCs/>
          <w:color w:val="000000"/>
          <w:sz w:val="22"/>
          <w:szCs w:val="22"/>
        </w:rPr>
      </w:pPr>
      <w:r w:rsidRPr="00E01239">
        <w:rPr>
          <w:rFonts w:asciiTheme="minorHAnsi" w:hAnsiTheme="minorHAnsi" w:cstheme="minorBidi"/>
          <w:color w:val="000000" w:themeColor="text1"/>
          <w:sz w:val="22"/>
          <w:szCs w:val="22"/>
        </w:rPr>
        <w:t xml:space="preserve">Le </w:t>
      </w:r>
      <w:r w:rsidRPr="00E01239">
        <w:rPr>
          <w:rFonts w:asciiTheme="minorHAnsi" w:hAnsiTheme="minorHAnsi" w:cstheme="minorBidi"/>
          <w:b/>
          <w:bCs/>
          <w:color w:val="000000" w:themeColor="text1"/>
          <w:sz w:val="22"/>
          <w:szCs w:val="22"/>
        </w:rPr>
        <w:t xml:space="preserve">Plan </w:t>
      </w:r>
      <w:r w:rsidR="456AC418" w:rsidRPr="00E01239">
        <w:rPr>
          <w:rFonts w:asciiTheme="minorHAnsi" w:hAnsiTheme="minorHAnsi" w:cstheme="minorBidi"/>
          <w:b/>
          <w:bCs/>
          <w:color w:val="000000" w:themeColor="text1"/>
          <w:sz w:val="22"/>
          <w:szCs w:val="22"/>
        </w:rPr>
        <w:t>N</w:t>
      </w:r>
      <w:r w:rsidRPr="00E01239">
        <w:rPr>
          <w:rFonts w:asciiTheme="minorHAnsi" w:hAnsiTheme="minorHAnsi" w:cstheme="minorBidi"/>
          <w:b/>
          <w:bCs/>
          <w:color w:val="000000" w:themeColor="text1"/>
          <w:sz w:val="22"/>
          <w:szCs w:val="22"/>
        </w:rPr>
        <w:t xml:space="preserve">ational d’Aménagement et de </w:t>
      </w:r>
      <w:r w:rsidR="456AC418" w:rsidRPr="00E01239">
        <w:rPr>
          <w:rFonts w:asciiTheme="minorHAnsi" w:hAnsiTheme="minorHAnsi" w:cstheme="minorBidi"/>
          <w:b/>
          <w:bCs/>
          <w:color w:val="000000" w:themeColor="text1"/>
          <w:sz w:val="22"/>
          <w:szCs w:val="22"/>
        </w:rPr>
        <w:t>D</w:t>
      </w:r>
      <w:r w:rsidRPr="00E01239">
        <w:rPr>
          <w:rFonts w:asciiTheme="minorHAnsi" w:hAnsiTheme="minorHAnsi" w:cstheme="minorBidi"/>
          <w:b/>
          <w:bCs/>
          <w:color w:val="000000" w:themeColor="text1"/>
          <w:sz w:val="22"/>
          <w:szCs w:val="22"/>
        </w:rPr>
        <w:t xml:space="preserve">éveloppement </w:t>
      </w:r>
      <w:r w:rsidR="456AC418" w:rsidRPr="00E01239">
        <w:rPr>
          <w:rFonts w:asciiTheme="minorHAnsi" w:hAnsiTheme="minorHAnsi" w:cstheme="minorBidi"/>
          <w:b/>
          <w:bCs/>
          <w:color w:val="000000" w:themeColor="text1"/>
          <w:sz w:val="22"/>
          <w:szCs w:val="22"/>
        </w:rPr>
        <w:t>T</w:t>
      </w:r>
      <w:r w:rsidRPr="00E01239">
        <w:rPr>
          <w:rFonts w:asciiTheme="minorHAnsi" w:hAnsiTheme="minorHAnsi" w:cstheme="minorBidi"/>
          <w:b/>
          <w:bCs/>
          <w:color w:val="000000" w:themeColor="text1"/>
          <w:sz w:val="22"/>
          <w:szCs w:val="22"/>
        </w:rPr>
        <w:t>erritorial</w:t>
      </w:r>
      <w:r w:rsidRPr="00E01239">
        <w:rPr>
          <w:rFonts w:asciiTheme="minorHAnsi" w:hAnsiTheme="minorHAnsi" w:cstheme="minorBidi"/>
          <w:color w:val="000000" w:themeColor="text1"/>
          <w:sz w:val="22"/>
          <w:szCs w:val="22"/>
        </w:rPr>
        <w:t xml:space="preserve"> (PNADT), </w:t>
      </w:r>
      <w:r w:rsidRPr="00E01239">
        <w:rPr>
          <w:rFonts w:asciiTheme="minorHAnsi" w:hAnsiTheme="minorHAnsi" w:cstheme="minorBidi"/>
          <w:b/>
          <w:bCs/>
          <w:color w:val="000000" w:themeColor="text1"/>
          <w:sz w:val="22"/>
          <w:szCs w:val="22"/>
        </w:rPr>
        <w:t xml:space="preserve">Horizon 2035 </w:t>
      </w:r>
      <w:r w:rsidRPr="00E01239">
        <w:rPr>
          <w:rFonts w:asciiTheme="minorHAnsi" w:hAnsiTheme="minorHAnsi" w:cstheme="minorBidi"/>
          <w:color w:val="000000" w:themeColor="text1"/>
          <w:sz w:val="22"/>
          <w:szCs w:val="22"/>
        </w:rPr>
        <w:t>articulé au Plan Sénégal Emergent (PSE), constitue un levier pour la mise en œuvre de l'Acte 3 de la décentralisation (Loi 2013-10 du 28 décembre 2013) et son approfondissement. Le PNADT se substitue au PNAT afin de mieux intégrer la dimension « développement territorial ». Son objectif global est de promouvoir le développement du Sénégal à partir de ces territoires par une bonne structuration de l’espace et une valorisation durable des ressources et potentielles des territoires.</w:t>
      </w:r>
    </w:p>
    <w:p w14:paraId="0206EB59" w14:textId="7F296ADE" w:rsidR="008E4D64" w:rsidRPr="00E01239" w:rsidRDefault="0A638BDF"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bCs/>
          <w:iCs/>
          <w:color w:val="000000"/>
          <w:sz w:val="22"/>
          <w:szCs w:val="22"/>
        </w:rPr>
      </w:pPr>
      <w:r w:rsidRPr="00E01239">
        <w:rPr>
          <w:rFonts w:asciiTheme="minorHAnsi" w:hAnsiTheme="minorHAnsi" w:cstheme="minorBidi"/>
          <w:b/>
          <w:bCs/>
          <w:color w:val="000000" w:themeColor="text1"/>
          <w:sz w:val="22"/>
          <w:szCs w:val="22"/>
        </w:rPr>
        <w:t>Les</w:t>
      </w:r>
      <w:r w:rsidR="21A48B5C" w:rsidRPr="00E01239">
        <w:rPr>
          <w:rFonts w:asciiTheme="minorHAnsi" w:hAnsiTheme="minorHAnsi" w:cstheme="minorBidi"/>
          <w:b/>
          <w:bCs/>
          <w:color w:val="000000" w:themeColor="text1"/>
          <w:sz w:val="22"/>
          <w:szCs w:val="22"/>
        </w:rPr>
        <w:t xml:space="preserve"> Schémas </w:t>
      </w:r>
      <w:r w:rsidR="456AC418" w:rsidRPr="00E01239">
        <w:rPr>
          <w:rFonts w:asciiTheme="minorHAnsi" w:hAnsiTheme="minorHAnsi" w:cstheme="minorBidi"/>
          <w:b/>
          <w:bCs/>
          <w:color w:val="000000" w:themeColor="text1"/>
          <w:sz w:val="22"/>
          <w:szCs w:val="22"/>
        </w:rPr>
        <w:t>R</w:t>
      </w:r>
      <w:r w:rsidR="21A48B5C" w:rsidRPr="00E01239">
        <w:rPr>
          <w:rFonts w:asciiTheme="minorHAnsi" w:hAnsiTheme="minorHAnsi" w:cstheme="minorBidi"/>
          <w:b/>
          <w:bCs/>
          <w:color w:val="000000" w:themeColor="text1"/>
          <w:sz w:val="22"/>
          <w:szCs w:val="22"/>
        </w:rPr>
        <w:t>égionaux d’Aménagement du Territoire (SRAT)</w:t>
      </w:r>
      <w:r w:rsidR="21A48B5C" w:rsidRPr="00E01239">
        <w:rPr>
          <w:rFonts w:asciiTheme="minorHAnsi" w:hAnsiTheme="minorHAnsi" w:cstheme="minorBidi"/>
          <w:color w:val="000000" w:themeColor="text1"/>
          <w:sz w:val="22"/>
          <w:szCs w:val="22"/>
        </w:rPr>
        <w:t> dont l’objectif global est d’établir une vision d’ensemble du devenir des pôles régionaux et de concevoir les priorités stratégiques ainsi que les options d’aménagement et de développement les plus pertinentes face aux grands enjeux économiques et démographiques. Ces stratégies s’inscrivent dans une logique de mise en œuvre du PSE et des différents documents de planification spatiale.</w:t>
      </w:r>
    </w:p>
    <w:p w14:paraId="60BA2AB6" w14:textId="017DC050" w:rsidR="00AC1DBC" w:rsidRPr="00E01239" w:rsidRDefault="13A01113" w:rsidP="00027669">
      <w:pPr>
        <w:pStyle w:val="Paragraphedeliste"/>
        <w:numPr>
          <w:ilvl w:val="0"/>
          <w:numId w:val="164"/>
        </w:numPr>
        <w:autoSpaceDE w:val="0"/>
        <w:autoSpaceDN w:val="0"/>
        <w:adjustRightInd w:val="0"/>
        <w:spacing w:before="120" w:line="280" w:lineRule="exact"/>
        <w:contextualSpacing w:val="0"/>
        <w:jc w:val="both"/>
        <w:rPr>
          <w:rFonts w:asciiTheme="minorHAnsi" w:hAnsiTheme="minorHAnsi" w:cstheme="minorHAnsi"/>
          <w:bCs/>
          <w:iCs/>
          <w:color w:val="000000"/>
          <w:sz w:val="22"/>
          <w:szCs w:val="22"/>
        </w:rPr>
      </w:pPr>
      <w:bookmarkStart w:id="102" w:name="_Toc25166161"/>
      <w:bookmarkStart w:id="103" w:name="_Toc26463229"/>
      <w:bookmarkStart w:id="104" w:name="_Toc30067759"/>
      <w:bookmarkStart w:id="105" w:name="_Toc35244631"/>
      <w:r w:rsidRPr="00E01239">
        <w:rPr>
          <w:rFonts w:asciiTheme="minorHAnsi" w:hAnsiTheme="minorHAnsi" w:cstheme="minorBidi"/>
          <w:b/>
          <w:bCs/>
          <w:color w:val="000000" w:themeColor="text1"/>
          <w:sz w:val="22"/>
          <w:szCs w:val="22"/>
        </w:rPr>
        <w:t>L’acte III de la Décentralisation</w:t>
      </w:r>
      <w:bookmarkEnd w:id="102"/>
      <w:bookmarkEnd w:id="103"/>
      <w:bookmarkEnd w:id="104"/>
      <w:bookmarkEnd w:id="105"/>
      <w:r w:rsidRPr="00E01239">
        <w:rPr>
          <w:rFonts w:asciiTheme="minorHAnsi" w:hAnsiTheme="minorHAnsi" w:cstheme="minorBidi"/>
          <w:b/>
          <w:bCs/>
          <w:color w:val="000000" w:themeColor="text1"/>
          <w:sz w:val="22"/>
          <w:szCs w:val="22"/>
        </w:rPr>
        <w:t xml:space="preserve"> : </w:t>
      </w:r>
      <w:r w:rsidRPr="00E01239">
        <w:rPr>
          <w:rFonts w:asciiTheme="minorHAnsi" w:hAnsiTheme="minorHAnsi" w:cstheme="minorBidi"/>
          <w:color w:val="000000" w:themeColor="text1"/>
          <w:sz w:val="22"/>
          <w:szCs w:val="22"/>
        </w:rPr>
        <w:t>Le Gouvernement du Sénégal s’est engagé, par la Loi n°2013-10 du 28 décembre 2013 portant Code général des Collectivités locales dans une réforme de la décentralisation baptisée « Acte III de la décentralisation ». La vision qui sous-tend cette réforme est « d’organiser le Sénégal en territoires viables, compétitifs et porteurs de développement durable, à l’horizon 2022 ». Spécifiquement, les objectifs visés sont de : i) construire une cohérence territoriale par une réorganisation de l’espace et l’émergence de pôles de développement ; ii) assurer la lisibilité des échelles de la gouvernance territoriale ; iii) améliorer les mécanismes de financement du développement territorial et la gouvernance budgétaire. Cette réforme plonge ses racines dans une véritable politique d’aménagement du territoire et oriente la concrétisation des aspirations et des espoirs des acteurs territoriaux, en vue de bâtir un projet de territoire. Elle offre l’espace adéquat pour construire les bases de la territorialisation des politiques publiques.</w:t>
      </w:r>
    </w:p>
    <w:p w14:paraId="5E7F7073" w14:textId="44F49B27" w:rsidR="008E4D64" w:rsidRPr="00E01239" w:rsidRDefault="008E4D64" w:rsidP="00202CE9">
      <w:pPr>
        <w:shd w:val="clear" w:color="auto" w:fill="FFD966" w:themeFill="accent4" w:themeFillTint="99"/>
        <w:autoSpaceDE w:val="0"/>
        <w:autoSpaceDN w:val="0"/>
        <w:adjustRightInd w:val="0"/>
        <w:spacing w:before="120" w:line="280" w:lineRule="exact"/>
        <w:jc w:val="both"/>
        <w:rPr>
          <w:rFonts w:asciiTheme="minorHAnsi" w:hAnsiTheme="minorHAnsi" w:cstheme="minorHAnsi"/>
          <w:color w:val="002060"/>
          <w:sz w:val="22"/>
          <w:szCs w:val="22"/>
        </w:rPr>
      </w:pPr>
      <w:r w:rsidRPr="00E01239">
        <w:rPr>
          <w:rFonts w:asciiTheme="minorHAnsi" w:hAnsiTheme="minorHAnsi" w:cstheme="minorHAnsi"/>
          <w:color w:val="002060"/>
          <w:sz w:val="22"/>
          <w:szCs w:val="22"/>
        </w:rPr>
        <w:lastRenderedPageBreak/>
        <w:t xml:space="preserve">L’analyse des documents de politique environnementale et sociale relève l’existence d’instruments pertinents en cohérence avec l’objectif </w:t>
      </w:r>
      <w:r w:rsidR="00B90679">
        <w:rPr>
          <w:rFonts w:asciiTheme="minorHAnsi" w:hAnsiTheme="minorHAnsi" w:cstheme="minorHAnsi"/>
          <w:color w:val="002060"/>
          <w:sz w:val="22"/>
          <w:szCs w:val="22"/>
        </w:rPr>
        <w:t xml:space="preserve">de développement </w:t>
      </w:r>
      <w:r w:rsidRPr="00E01239">
        <w:rPr>
          <w:rFonts w:asciiTheme="minorHAnsi" w:hAnsiTheme="minorHAnsi" w:cstheme="minorHAnsi"/>
          <w:color w:val="002060"/>
          <w:sz w:val="22"/>
          <w:szCs w:val="22"/>
        </w:rPr>
        <w:t>du projet. Toutefois, leur nombre important ainsi que celui des intervenants pourraient constituer un point d’attention dans le cadre de la mise en place du projet qui est censé adopter une approche holistique ou intégrée, en complément d'autres programmes et projets soutenant le secteur agricole au Sénégal. Il convient également de souligner que certains documents de politique mériteraient d’être évalués et/ou actualisés même si les orientations et les objectifs poursuivis restent pertinents.</w:t>
      </w:r>
    </w:p>
    <w:bookmarkEnd w:id="101"/>
    <w:p w14:paraId="5A09D1AE" w14:textId="2337435A" w:rsidR="008E4D64" w:rsidRPr="00E01239" w:rsidRDefault="008E4D64" w:rsidP="00D279F0">
      <w:pPr>
        <w:spacing w:before="120" w:line="280" w:lineRule="exact"/>
        <w:jc w:val="both"/>
        <w:rPr>
          <w:rFonts w:asciiTheme="minorHAnsi" w:hAnsiTheme="minorHAnsi" w:cstheme="minorHAnsi"/>
          <w:sz w:val="22"/>
          <w:szCs w:val="22"/>
        </w:rPr>
      </w:pPr>
    </w:p>
    <w:p w14:paraId="45BDF240" w14:textId="77C2BF2E" w:rsidR="008E4D64" w:rsidRPr="00E01239" w:rsidRDefault="00046FFD" w:rsidP="00202CE9">
      <w:pPr>
        <w:pStyle w:val="Titre2"/>
        <w:rPr>
          <w:rFonts w:asciiTheme="minorHAnsi" w:hAnsiTheme="minorHAnsi" w:cstheme="minorHAnsi"/>
          <w:color w:val="auto"/>
        </w:rPr>
      </w:pPr>
      <w:bookmarkStart w:id="106" w:name="_Toc26504947"/>
      <w:bookmarkStart w:id="107" w:name="_Toc63285547"/>
      <w:bookmarkStart w:id="108" w:name="_Toc118549322"/>
      <w:bookmarkStart w:id="109" w:name="_Toc144654061"/>
      <w:r w:rsidRPr="00E01239">
        <w:rPr>
          <w:rFonts w:asciiTheme="minorHAnsi" w:hAnsiTheme="minorHAnsi" w:cstheme="minorHAnsi"/>
          <w:color w:val="auto"/>
        </w:rPr>
        <w:t>CADRE JURIDIQUE NATIONAL DE GESTION ENVIRONNEMENTALE ET SOCIALE</w:t>
      </w:r>
      <w:bookmarkEnd w:id="106"/>
      <w:bookmarkEnd w:id="107"/>
      <w:bookmarkEnd w:id="108"/>
      <w:bookmarkEnd w:id="109"/>
    </w:p>
    <w:p w14:paraId="23036CA0" w14:textId="77777777" w:rsidR="008E4D64" w:rsidRPr="00E01239" w:rsidRDefault="008E4D64" w:rsidP="008E4D64">
      <w:pPr>
        <w:rPr>
          <w:rFonts w:asciiTheme="minorHAnsi" w:hAnsiTheme="minorHAnsi" w:cstheme="minorHAnsi"/>
        </w:rPr>
      </w:pPr>
    </w:p>
    <w:p w14:paraId="556AF4C4" w14:textId="77777777" w:rsidR="008E4D64" w:rsidRPr="00E01239" w:rsidRDefault="008E4D64" w:rsidP="00202CE9">
      <w:pPr>
        <w:pStyle w:val="Titre3"/>
        <w:ind w:left="1276"/>
        <w:rPr>
          <w:rFonts w:asciiTheme="minorHAnsi" w:hAnsiTheme="minorHAnsi" w:cstheme="minorHAnsi"/>
        </w:rPr>
      </w:pPr>
      <w:bookmarkStart w:id="110" w:name="_Toc39187551"/>
      <w:bookmarkStart w:id="111" w:name="_Toc39336752"/>
      <w:bookmarkStart w:id="112" w:name="_Toc39489260"/>
      <w:bookmarkStart w:id="113" w:name="_Toc41161939"/>
      <w:bookmarkStart w:id="114" w:name="_Toc41300843"/>
      <w:bookmarkStart w:id="115" w:name="_Toc39187555"/>
      <w:bookmarkStart w:id="116" w:name="_Toc39336756"/>
      <w:bookmarkStart w:id="117" w:name="_Toc39489264"/>
      <w:bookmarkStart w:id="118" w:name="_Toc41161943"/>
      <w:bookmarkStart w:id="119" w:name="_Toc41300847"/>
      <w:bookmarkStart w:id="120" w:name="_Toc63285548"/>
      <w:bookmarkStart w:id="121" w:name="_Toc144654062"/>
      <w:bookmarkEnd w:id="110"/>
      <w:bookmarkEnd w:id="111"/>
      <w:bookmarkEnd w:id="112"/>
      <w:bookmarkEnd w:id="113"/>
      <w:bookmarkEnd w:id="114"/>
      <w:bookmarkEnd w:id="115"/>
      <w:bookmarkEnd w:id="116"/>
      <w:bookmarkEnd w:id="117"/>
      <w:bookmarkEnd w:id="118"/>
      <w:bookmarkEnd w:id="119"/>
      <w:r w:rsidRPr="00E01239">
        <w:rPr>
          <w:rFonts w:asciiTheme="minorHAnsi" w:hAnsiTheme="minorHAnsi" w:cstheme="minorHAnsi"/>
        </w:rPr>
        <w:t>Cadre législatif et réglementaire de gestion environnementale et sociale</w:t>
      </w:r>
      <w:bookmarkEnd w:id="120"/>
      <w:bookmarkEnd w:id="121"/>
      <w:r w:rsidRPr="00E01239">
        <w:rPr>
          <w:rFonts w:asciiTheme="minorHAnsi" w:hAnsiTheme="minorHAnsi" w:cstheme="minorHAnsi"/>
        </w:rPr>
        <w:t xml:space="preserve">   </w:t>
      </w:r>
    </w:p>
    <w:p w14:paraId="033CD75A" w14:textId="72F5D383"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loi n° 2001-01 du 15 janvier 2001 portant Code de l’environnement, a été remplacée depuis le 7 </w:t>
      </w:r>
      <w:r w:rsidR="00A465D3" w:rsidRPr="00E01239">
        <w:rPr>
          <w:rFonts w:asciiTheme="minorHAnsi" w:hAnsiTheme="minorHAnsi" w:cstheme="minorHAnsi"/>
          <w:sz w:val="22"/>
          <w:szCs w:val="22"/>
        </w:rPr>
        <w:t>juin</w:t>
      </w:r>
      <w:r w:rsidRPr="00E01239">
        <w:rPr>
          <w:rFonts w:asciiTheme="minorHAnsi" w:hAnsiTheme="minorHAnsi" w:cstheme="minorHAnsi"/>
          <w:sz w:val="22"/>
          <w:szCs w:val="22"/>
        </w:rPr>
        <w:t xml:space="preserve"> 2023 par la loi 13/2023. Les décrets d’application de la nouvelle loi n’étant pas encore disponibles, ce sont les décrets d’application de la loi de 2001 (décret n° 2001-282 du 12 avril 2001 portant application du Code de l’environnement) et les autres textes réglementaires subséquents (arrêtés et circulaires) qui constituent le cadre juridique de gestion environnementale en vigueur au Sénégal. </w:t>
      </w:r>
    </w:p>
    <w:p w14:paraId="501E4A7F" w14:textId="7F308E4F"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dispositions relatives à l’évaluation environnementale </w:t>
      </w:r>
      <w:r w:rsidR="000A15E5">
        <w:rPr>
          <w:rFonts w:asciiTheme="minorHAnsi" w:hAnsiTheme="minorHAnsi" w:cstheme="minorHAnsi"/>
          <w:sz w:val="22"/>
          <w:szCs w:val="22"/>
        </w:rPr>
        <w:t xml:space="preserve">et sociale </w:t>
      </w:r>
      <w:r w:rsidRPr="00E01239">
        <w:rPr>
          <w:rFonts w:asciiTheme="minorHAnsi" w:hAnsiTheme="minorHAnsi" w:cstheme="minorHAnsi"/>
          <w:sz w:val="22"/>
          <w:szCs w:val="22"/>
        </w:rPr>
        <w:t xml:space="preserve">contenues dans le Code de l’environnement de 2001 applicables au projet sont présentées </w:t>
      </w:r>
      <w:r w:rsidR="00AC1DBC" w:rsidRPr="00E01239">
        <w:rPr>
          <w:rFonts w:asciiTheme="minorHAnsi" w:hAnsiTheme="minorHAnsi" w:cstheme="minorHAnsi"/>
          <w:sz w:val="22"/>
          <w:szCs w:val="22"/>
        </w:rPr>
        <w:t>dans le tableau n°</w:t>
      </w:r>
      <w:r w:rsidR="00046FFD" w:rsidRPr="00E01239">
        <w:rPr>
          <w:rFonts w:asciiTheme="minorHAnsi" w:hAnsiTheme="minorHAnsi" w:cstheme="minorHAnsi"/>
          <w:sz w:val="22"/>
          <w:szCs w:val="22"/>
        </w:rPr>
        <w:t>2</w:t>
      </w:r>
      <w:r w:rsidR="00AC1DBC" w:rsidRPr="00E01239">
        <w:rPr>
          <w:rFonts w:asciiTheme="minorHAnsi" w:hAnsiTheme="minorHAnsi" w:cstheme="minorHAnsi"/>
          <w:sz w:val="22"/>
          <w:szCs w:val="22"/>
        </w:rPr>
        <w:t xml:space="preserve"> ci-dessous</w:t>
      </w:r>
      <w:r w:rsidRPr="00E01239">
        <w:rPr>
          <w:rFonts w:asciiTheme="minorHAnsi" w:hAnsiTheme="minorHAnsi" w:cstheme="minorHAnsi"/>
          <w:sz w:val="22"/>
          <w:szCs w:val="22"/>
        </w:rPr>
        <w:t xml:space="preserve">. </w:t>
      </w:r>
    </w:p>
    <w:p w14:paraId="351CC9D3" w14:textId="77777777" w:rsidR="008E4D64" w:rsidRPr="00E01239" w:rsidRDefault="008E4D64" w:rsidP="00202CE9">
      <w:pPr>
        <w:spacing w:before="120" w:line="280" w:lineRule="exact"/>
        <w:jc w:val="both"/>
        <w:rPr>
          <w:rFonts w:asciiTheme="minorHAnsi" w:hAnsiTheme="minorHAnsi" w:cstheme="minorHAnsi"/>
          <w:sz w:val="22"/>
          <w:szCs w:val="22"/>
        </w:rPr>
        <w:sectPr w:rsidR="008E4D64" w:rsidRPr="00E01239" w:rsidSect="00F43E8A">
          <w:pgSz w:w="11907" w:h="16840" w:code="9"/>
          <w:pgMar w:top="1418" w:right="1418" w:bottom="1418" w:left="1418" w:header="720" w:footer="720" w:gutter="0"/>
          <w:cols w:space="60"/>
          <w:noEndnote/>
        </w:sectPr>
      </w:pPr>
    </w:p>
    <w:p w14:paraId="7C86B9EE" w14:textId="33ACE6C5" w:rsidR="008E4D64" w:rsidRPr="00E01239" w:rsidRDefault="00AC1DBC" w:rsidP="00202CE9">
      <w:pPr>
        <w:jc w:val="center"/>
        <w:rPr>
          <w:rFonts w:asciiTheme="minorHAnsi" w:hAnsiTheme="minorHAnsi" w:cstheme="minorHAnsi"/>
          <w:sz w:val="22"/>
          <w:szCs w:val="22"/>
        </w:rPr>
      </w:pPr>
      <w:bookmarkStart w:id="122" w:name="_Toc43107491"/>
      <w:bookmarkStart w:id="123" w:name="_Toc63281779"/>
      <w:bookmarkStart w:id="124" w:name="_Toc118549374"/>
      <w:bookmarkStart w:id="125" w:name="_Toc144654182"/>
      <w:r w:rsidRPr="00E01239">
        <w:rPr>
          <w:rFonts w:asciiTheme="minorHAnsi" w:hAnsiTheme="minorHAnsi" w:cstheme="minorHAnsi"/>
          <w:b/>
          <w:bCs/>
          <w:sz w:val="22"/>
          <w:szCs w:val="22"/>
        </w:rPr>
        <w:lastRenderedPageBreak/>
        <w:t xml:space="preserve">Tableau </w:t>
      </w:r>
      <w:r w:rsidRPr="00E01239">
        <w:rPr>
          <w:rFonts w:asciiTheme="minorHAnsi" w:hAnsiTheme="minorHAnsi" w:cstheme="minorHAnsi"/>
          <w:b/>
          <w:bCs/>
          <w:sz w:val="22"/>
          <w:szCs w:val="22"/>
        </w:rPr>
        <w:fldChar w:fldCharType="begin"/>
      </w:r>
      <w:r w:rsidRPr="00E01239">
        <w:rPr>
          <w:rFonts w:asciiTheme="minorHAnsi" w:hAnsiTheme="minorHAnsi" w:cstheme="minorHAnsi"/>
          <w:b/>
          <w:bCs/>
          <w:sz w:val="22"/>
          <w:szCs w:val="22"/>
        </w:rPr>
        <w:instrText xml:space="preserve"> SEQ Tableau \* ARABIC </w:instrText>
      </w:r>
      <w:r w:rsidRPr="00E01239">
        <w:rPr>
          <w:rFonts w:asciiTheme="minorHAnsi" w:hAnsiTheme="minorHAnsi" w:cstheme="minorHAnsi"/>
          <w:b/>
          <w:bCs/>
          <w:sz w:val="22"/>
          <w:szCs w:val="22"/>
        </w:rPr>
        <w:fldChar w:fldCharType="separate"/>
      </w:r>
      <w:r w:rsidR="005C3166">
        <w:rPr>
          <w:rFonts w:asciiTheme="minorHAnsi" w:hAnsiTheme="minorHAnsi" w:cstheme="minorHAnsi"/>
          <w:b/>
          <w:bCs/>
          <w:noProof/>
          <w:sz w:val="22"/>
          <w:szCs w:val="22"/>
        </w:rPr>
        <w:t>2</w:t>
      </w:r>
      <w:r w:rsidRPr="00E01239">
        <w:rPr>
          <w:rFonts w:asciiTheme="minorHAnsi" w:hAnsiTheme="minorHAnsi" w:cstheme="minorHAnsi"/>
          <w:b/>
          <w:bCs/>
          <w:sz w:val="22"/>
          <w:szCs w:val="22"/>
        </w:rPr>
        <w:fldChar w:fldCharType="end"/>
      </w:r>
      <w:r w:rsidR="008E4D64" w:rsidRPr="00E01239">
        <w:rPr>
          <w:rFonts w:asciiTheme="minorHAnsi" w:hAnsiTheme="minorHAnsi" w:cstheme="minorHAnsi"/>
          <w:b/>
          <w:bCs/>
          <w:sz w:val="22"/>
          <w:szCs w:val="22"/>
        </w:rPr>
        <w:t>:</w:t>
      </w:r>
      <w:r w:rsidR="008E4D64" w:rsidRPr="00E01239">
        <w:rPr>
          <w:rFonts w:asciiTheme="minorHAnsi" w:hAnsiTheme="minorHAnsi" w:cstheme="minorHAnsi"/>
          <w:sz w:val="22"/>
          <w:szCs w:val="22"/>
        </w:rPr>
        <w:t xml:space="preserve"> Dispositions du Code de l’environnement applicables au Projet</w:t>
      </w:r>
      <w:bookmarkEnd w:id="122"/>
      <w:bookmarkEnd w:id="123"/>
      <w:bookmarkEnd w:id="124"/>
      <w:bookmarkEnd w:id="125"/>
    </w:p>
    <w:tbl>
      <w:tblPr>
        <w:tblStyle w:val="TableauListe31"/>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1837"/>
        <w:gridCol w:w="1844"/>
        <w:gridCol w:w="6378"/>
        <w:gridCol w:w="4503"/>
      </w:tblGrid>
      <w:tr w:rsidR="00AC1DBC" w:rsidRPr="00E01239" w14:paraId="18BBD68A" w14:textId="77777777" w:rsidTr="0011465A">
        <w:trPr>
          <w:cnfStyle w:val="100000000000" w:firstRow="1" w:lastRow="0" w:firstColumn="0" w:lastColumn="0" w:oddVBand="0" w:evenVBand="0" w:oddHBand="0" w:evenHBand="0" w:firstRowFirstColumn="0" w:firstRowLastColumn="0" w:lastRowFirstColumn="0" w:lastRowLastColumn="0"/>
          <w:trHeight w:val="502"/>
          <w:tblHeader/>
          <w:jc w:val="center"/>
        </w:trPr>
        <w:tc>
          <w:tcPr>
            <w:cnfStyle w:val="001000000100" w:firstRow="0" w:lastRow="0" w:firstColumn="1" w:lastColumn="0" w:oddVBand="0" w:evenVBand="0" w:oddHBand="0" w:evenHBand="0" w:firstRowFirstColumn="1" w:firstRowLastColumn="0" w:lastRowFirstColumn="0" w:lastRowLastColumn="0"/>
            <w:tcW w:w="631" w:type="pct"/>
            <w:shd w:val="clear" w:color="auto" w:fill="1F3864" w:themeFill="accent5" w:themeFillShade="80"/>
            <w:vAlign w:val="center"/>
          </w:tcPr>
          <w:p w14:paraId="5797CBBB" w14:textId="77777777" w:rsidR="008E4D64" w:rsidRPr="00E01239" w:rsidRDefault="008E4D64" w:rsidP="00202CE9">
            <w:pPr>
              <w:spacing w:line="240" w:lineRule="auto"/>
              <w:jc w:val="center"/>
              <w:rPr>
                <w:rFonts w:asciiTheme="minorHAnsi" w:hAnsiTheme="minorHAnsi" w:cstheme="minorHAnsi"/>
                <w:b w:val="0"/>
                <w:bCs w:val="0"/>
                <w:color w:val="auto"/>
                <w:sz w:val="20"/>
                <w:szCs w:val="20"/>
              </w:rPr>
            </w:pPr>
            <w:r w:rsidRPr="00E01239">
              <w:rPr>
                <w:rFonts w:asciiTheme="minorHAnsi" w:hAnsiTheme="minorHAnsi" w:cstheme="minorHAnsi"/>
                <w:b w:val="0"/>
                <w:color w:val="auto"/>
                <w:sz w:val="20"/>
                <w:szCs w:val="20"/>
              </w:rPr>
              <w:t>Thème</w:t>
            </w:r>
          </w:p>
        </w:tc>
        <w:tc>
          <w:tcPr>
            <w:cnfStyle w:val="000010000000" w:firstRow="0" w:lastRow="0" w:firstColumn="0" w:lastColumn="0" w:oddVBand="1" w:evenVBand="0" w:oddHBand="0" w:evenHBand="0" w:firstRowFirstColumn="0" w:firstRowLastColumn="0" w:lastRowFirstColumn="0" w:lastRowLastColumn="0"/>
            <w:tcW w:w="633" w:type="pct"/>
            <w:shd w:val="clear" w:color="auto" w:fill="1F3864" w:themeFill="accent5" w:themeFillShade="80"/>
            <w:vAlign w:val="center"/>
          </w:tcPr>
          <w:p w14:paraId="756FB0E7" w14:textId="77777777" w:rsidR="008E4D64" w:rsidRPr="00E01239" w:rsidRDefault="008E4D64" w:rsidP="00202CE9">
            <w:pPr>
              <w:spacing w:line="240" w:lineRule="auto"/>
              <w:jc w:val="center"/>
              <w:rPr>
                <w:rFonts w:asciiTheme="minorHAnsi" w:hAnsiTheme="minorHAnsi" w:cstheme="minorHAnsi"/>
                <w:b w:val="0"/>
                <w:bCs w:val="0"/>
                <w:color w:val="auto"/>
                <w:sz w:val="20"/>
                <w:szCs w:val="20"/>
              </w:rPr>
            </w:pPr>
            <w:r w:rsidRPr="00E01239">
              <w:rPr>
                <w:rFonts w:asciiTheme="minorHAnsi" w:hAnsiTheme="minorHAnsi" w:cstheme="minorHAnsi"/>
                <w:b w:val="0"/>
                <w:color w:val="auto"/>
                <w:sz w:val="20"/>
                <w:szCs w:val="20"/>
              </w:rPr>
              <w:t>Références</w:t>
            </w:r>
          </w:p>
        </w:tc>
        <w:tc>
          <w:tcPr>
            <w:tcW w:w="2190" w:type="pct"/>
            <w:shd w:val="clear" w:color="auto" w:fill="1F3864" w:themeFill="accent5" w:themeFillShade="80"/>
            <w:vAlign w:val="center"/>
          </w:tcPr>
          <w:p w14:paraId="58E2844E" w14:textId="77777777" w:rsidR="008E4D64" w:rsidRPr="00E01239" w:rsidRDefault="008E4D64" w:rsidP="00202C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E01239">
              <w:rPr>
                <w:rFonts w:asciiTheme="minorHAnsi" w:hAnsiTheme="minorHAnsi" w:cstheme="minorHAnsi"/>
                <w:b w:val="0"/>
                <w:color w:val="auto"/>
                <w:sz w:val="20"/>
                <w:szCs w:val="20"/>
              </w:rPr>
              <w:t>Domaine réglementé</w:t>
            </w:r>
          </w:p>
        </w:tc>
        <w:tc>
          <w:tcPr>
            <w:cnfStyle w:val="000100001000" w:firstRow="0" w:lastRow="0" w:firstColumn="0" w:lastColumn="1" w:oddVBand="0" w:evenVBand="0" w:oddHBand="0" w:evenHBand="0" w:firstRowFirstColumn="0" w:firstRowLastColumn="1" w:lastRowFirstColumn="0" w:lastRowLastColumn="0"/>
            <w:tcW w:w="1546" w:type="pct"/>
            <w:shd w:val="clear" w:color="auto" w:fill="1F3864" w:themeFill="accent5" w:themeFillShade="80"/>
            <w:vAlign w:val="center"/>
          </w:tcPr>
          <w:p w14:paraId="04FA7DE1" w14:textId="77777777" w:rsidR="008E4D64" w:rsidRPr="00E01239" w:rsidRDefault="008E4D64" w:rsidP="00202CE9">
            <w:pPr>
              <w:spacing w:line="240" w:lineRule="auto"/>
              <w:jc w:val="center"/>
              <w:rPr>
                <w:rFonts w:asciiTheme="minorHAnsi" w:hAnsiTheme="minorHAnsi" w:cstheme="minorHAnsi"/>
                <w:b w:val="0"/>
                <w:bCs w:val="0"/>
                <w:color w:val="auto"/>
                <w:sz w:val="20"/>
                <w:szCs w:val="20"/>
              </w:rPr>
            </w:pPr>
            <w:r w:rsidRPr="00E01239">
              <w:rPr>
                <w:rFonts w:asciiTheme="minorHAnsi" w:hAnsiTheme="minorHAnsi" w:cstheme="minorHAnsi"/>
                <w:b w:val="0"/>
                <w:color w:val="auto"/>
                <w:sz w:val="20"/>
                <w:szCs w:val="20"/>
              </w:rPr>
              <w:t>Pertinence pour le Projet</w:t>
            </w:r>
          </w:p>
        </w:tc>
      </w:tr>
      <w:tr w:rsidR="00FD3E9F" w:rsidRPr="00E01239" w14:paraId="35CB3330" w14:textId="77777777" w:rsidTr="00202CE9">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631" w:type="pct"/>
            <w:vMerge w:val="restart"/>
            <w:vAlign w:val="center"/>
          </w:tcPr>
          <w:p w14:paraId="79222FA4"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t>Installations classées pour la protection de l’environnement</w:t>
            </w:r>
          </w:p>
          <w:p w14:paraId="2F8A99AB"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633" w:type="pct"/>
            <w:vAlign w:val="center"/>
          </w:tcPr>
          <w:p w14:paraId="73360EF5" w14:textId="77777777" w:rsidR="008E4D64" w:rsidRPr="00E01239" w:rsidRDefault="008E4D64" w:rsidP="00202CE9">
            <w:pPr>
              <w:autoSpaceDE w:val="0"/>
              <w:autoSpaceDN w:val="0"/>
              <w:adjustRightInd w:val="0"/>
              <w:spacing w:line="240" w:lineRule="auto"/>
              <w:rPr>
                <w:rFonts w:asciiTheme="minorHAnsi" w:hAnsiTheme="minorHAnsi" w:cstheme="minorHAnsi"/>
                <w:sz w:val="20"/>
                <w:szCs w:val="20"/>
              </w:rPr>
            </w:pPr>
            <w:r w:rsidRPr="00E01239">
              <w:rPr>
                <w:rFonts w:asciiTheme="minorHAnsi" w:hAnsiTheme="minorHAnsi" w:cstheme="minorHAnsi"/>
                <w:sz w:val="20"/>
                <w:szCs w:val="20"/>
              </w:rPr>
              <w:t>Titre II/Chapitre I</w:t>
            </w:r>
          </w:p>
          <w:p w14:paraId="7BE8C509" w14:textId="77777777" w:rsidR="008E4D64" w:rsidRPr="00E01239" w:rsidRDefault="008E4D64" w:rsidP="00202CE9">
            <w:pPr>
              <w:autoSpaceDE w:val="0"/>
              <w:autoSpaceDN w:val="0"/>
              <w:adjustRightInd w:val="0"/>
              <w:spacing w:line="240" w:lineRule="auto"/>
              <w:rPr>
                <w:rFonts w:asciiTheme="minorHAnsi" w:hAnsiTheme="minorHAnsi" w:cstheme="minorHAnsi"/>
                <w:sz w:val="20"/>
                <w:szCs w:val="20"/>
              </w:rPr>
            </w:pPr>
            <w:r w:rsidRPr="00E01239">
              <w:rPr>
                <w:rFonts w:asciiTheme="minorHAnsi" w:hAnsiTheme="minorHAnsi" w:cstheme="minorHAnsi"/>
                <w:sz w:val="20"/>
                <w:szCs w:val="20"/>
              </w:rPr>
              <w:t>Article L9</w:t>
            </w:r>
          </w:p>
        </w:tc>
        <w:tc>
          <w:tcPr>
            <w:tcW w:w="2190" w:type="pct"/>
            <w:vAlign w:val="center"/>
          </w:tcPr>
          <w:p w14:paraId="2BDBEA2C" w14:textId="77777777" w:rsidR="008E4D64" w:rsidRPr="00E01239" w:rsidRDefault="008E4D64" w:rsidP="00202CE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1239">
              <w:rPr>
                <w:rFonts w:asciiTheme="minorHAnsi" w:hAnsiTheme="minorHAnsi" w:cstheme="minorHAnsi"/>
                <w:sz w:val="20"/>
                <w:szCs w:val="20"/>
              </w:rPr>
              <w:t>Sont soumis aux dispositions de la présente loi, les usines, ateliers, dépôts, chantiers, carrières et, d’une manière générale, les installations industrielles, artisanales ou commerciales exploitées ou détenues par toute personne physique ou morale, publique ou privée, et toutes autres activités qui présentent, soit des dangers pour la santé, la sécurité, la salubrité publique, l’agriculture, la nature et l’environnement en général, soit des inconvénients pour la commodité du voisinage</w:t>
            </w:r>
          </w:p>
        </w:tc>
        <w:tc>
          <w:tcPr>
            <w:cnfStyle w:val="000100000000" w:firstRow="0" w:lastRow="0" w:firstColumn="0" w:lastColumn="1" w:oddVBand="0" w:evenVBand="0" w:oddHBand="0" w:evenHBand="0" w:firstRowFirstColumn="0" w:firstRowLastColumn="0" w:lastRowFirstColumn="0" w:lastRowLastColumn="0"/>
            <w:tcW w:w="1546" w:type="pct"/>
            <w:vAlign w:val="center"/>
          </w:tcPr>
          <w:p w14:paraId="2EB37639"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t>L’exploitation des ressources foncières et naturelles à travers les infrastructures du Projet ne pourra être autorisée que si des mesures de prévention et d’atténuation des impacts négatifs sont prises à travers des études environnementales et sociales spécifiques</w:t>
            </w:r>
          </w:p>
        </w:tc>
      </w:tr>
      <w:tr w:rsidR="008E4D64" w:rsidRPr="00E01239" w14:paraId="7025316F" w14:textId="77777777" w:rsidTr="00202CE9">
        <w:trPr>
          <w:trHeight w:val="2062"/>
          <w:jc w:val="center"/>
        </w:trPr>
        <w:tc>
          <w:tcPr>
            <w:cnfStyle w:val="001000000000" w:firstRow="0" w:lastRow="0" w:firstColumn="1" w:lastColumn="0" w:oddVBand="0" w:evenVBand="0" w:oddHBand="0" w:evenHBand="0" w:firstRowFirstColumn="0" w:firstRowLastColumn="0" w:lastRowFirstColumn="0" w:lastRowLastColumn="0"/>
            <w:tcW w:w="631" w:type="pct"/>
            <w:vMerge/>
            <w:vAlign w:val="center"/>
          </w:tcPr>
          <w:p w14:paraId="4F77810B"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633" w:type="pct"/>
            <w:vAlign w:val="center"/>
          </w:tcPr>
          <w:p w14:paraId="369E5D36" w14:textId="77777777" w:rsidR="008E4D64" w:rsidRPr="00E01239" w:rsidRDefault="008E4D64" w:rsidP="00202CE9">
            <w:pPr>
              <w:autoSpaceDE w:val="0"/>
              <w:autoSpaceDN w:val="0"/>
              <w:adjustRightInd w:val="0"/>
              <w:spacing w:line="240" w:lineRule="auto"/>
              <w:rPr>
                <w:rFonts w:asciiTheme="minorHAnsi" w:hAnsiTheme="minorHAnsi" w:cstheme="minorHAnsi"/>
                <w:sz w:val="20"/>
                <w:szCs w:val="20"/>
              </w:rPr>
            </w:pPr>
            <w:r w:rsidRPr="00E01239">
              <w:rPr>
                <w:rFonts w:asciiTheme="minorHAnsi" w:hAnsiTheme="minorHAnsi" w:cstheme="minorHAnsi"/>
                <w:sz w:val="20"/>
                <w:szCs w:val="20"/>
              </w:rPr>
              <w:t>Titre II/Chapitre I</w:t>
            </w:r>
          </w:p>
          <w:p w14:paraId="746AAEC4" w14:textId="77777777" w:rsidR="008E4D64" w:rsidRPr="00E01239" w:rsidRDefault="008E4D64" w:rsidP="00202CE9">
            <w:pPr>
              <w:autoSpaceDE w:val="0"/>
              <w:autoSpaceDN w:val="0"/>
              <w:adjustRightInd w:val="0"/>
              <w:spacing w:line="240" w:lineRule="auto"/>
              <w:rPr>
                <w:rFonts w:asciiTheme="minorHAnsi" w:hAnsiTheme="minorHAnsi" w:cstheme="minorHAnsi"/>
                <w:sz w:val="20"/>
                <w:szCs w:val="20"/>
              </w:rPr>
            </w:pPr>
            <w:r w:rsidRPr="00E01239">
              <w:rPr>
                <w:rFonts w:asciiTheme="minorHAnsi" w:hAnsiTheme="minorHAnsi" w:cstheme="minorHAnsi"/>
                <w:sz w:val="20"/>
                <w:szCs w:val="20"/>
              </w:rPr>
              <w:t>Article L13</w:t>
            </w:r>
          </w:p>
        </w:tc>
        <w:tc>
          <w:tcPr>
            <w:tcW w:w="2190" w:type="pct"/>
            <w:vAlign w:val="center"/>
          </w:tcPr>
          <w:p w14:paraId="3BBF805A" w14:textId="77777777" w:rsidR="008E4D64" w:rsidRPr="00E01239" w:rsidRDefault="008E4D64" w:rsidP="00202CE9">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1239">
              <w:rPr>
                <w:rFonts w:asciiTheme="minorHAnsi" w:hAnsiTheme="minorHAnsi" w:cstheme="minorHAnsi"/>
                <w:sz w:val="20"/>
                <w:szCs w:val="20"/>
              </w:rPr>
              <w:t>Les installations rangées dans la première classe doivent faire l’objet, avant leur construction ou leur mise en service, d’une autorisation d’exploitation délivrée par arrêté du Ministre chargé de l’environnement dans les conditions fixées par décret.</w:t>
            </w:r>
          </w:p>
          <w:p w14:paraId="3CABCCF2" w14:textId="77777777" w:rsidR="008E4D64" w:rsidRPr="00E01239" w:rsidRDefault="008E4D64" w:rsidP="00202CE9">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1239">
              <w:rPr>
                <w:rFonts w:asciiTheme="minorHAnsi" w:hAnsiTheme="minorHAnsi" w:cstheme="minorHAnsi"/>
                <w:sz w:val="20"/>
                <w:szCs w:val="20"/>
              </w:rPr>
              <w:t xml:space="preserve">Cette autorisation est obligatoirement subordonnée à leur éloignement, sur un rayon de 500 m au moins, des habitations, des immeubles habituellement occupés par des tiers, des établissements recevant du public et des zones destinées à l’habitation, d’un cours d’eau, d’un lac, d’une voie de communication, d’un captage d’eau. </w:t>
            </w:r>
          </w:p>
        </w:tc>
        <w:tc>
          <w:tcPr>
            <w:cnfStyle w:val="000100000000" w:firstRow="0" w:lastRow="0" w:firstColumn="0" w:lastColumn="1" w:oddVBand="0" w:evenVBand="0" w:oddHBand="0" w:evenHBand="0" w:firstRowFirstColumn="0" w:firstRowLastColumn="0" w:lastRowFirstColumn="0" w:lastRowLastColumn="0"/>
            <w:tcW w:w="1546" w:type="pct"/>
            <w:vAlign w:val="center"/>
          </w:tcPr>
          <w:p w14:paraId="25E227FF"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t>Les études environnementales et sociales spécifiques feront ressortir les principales ICPE qui seront classées pour déterminer leur régime sur le plan environnemental.</w:t>
            </w:r>
          </w:p>
        </w:tc>
      </w:tr>
      <w:tr w:rsidR="00FD3E9F" w:rsidRPr="00E01239" w14:paraId="114E6277" w14:textId="77777777" w:rsidTr="0011465A">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631" w:type="pct"/>
            <w:vMerge/>
            <w:vAlign w:val="center"/>
          </w:tcPr>
          <w:p w14:paraId="5DE65A52"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633" w:type="pct"/>
            <w:vAlign w:val="center"/>
          </w:tcPr>
          <w:p w14:paraId="6923E450" w14:textId="77777777" w:rsidR="008E4D64" w:rsidRPr="00E01239" w:rsidRDefault="008E4D64" w:rsidP="00202CE9">
            <w:pPr>
              <w:autoSpaceDE w:val="0"/>
              <w:autoSpaceDN w:val="0"/>
              <w:adjustRightInd w:val="0"/>
              <w:spacing w:line="240" w:lineRule="auto"/>
              <w:rPr>
                <w:rFonts w:asciiTheme="minorHAnsi" w:hAnsiTheme="minorHAnsi" w:cstheme="minorHAnsi"/>
                <w:sz w:val="20"/>
                <w:szCs w:val="20"/>
              </w:rPr>
            </w:pPr>
            <w:r w:rsidRPr="00E01239">
              <w:rPr>
                <w:rFonts w:asciiTheme="minorHAnsi" w:hAnsiTheme="minorHAnsi" w:cstheme="minorHAnsi"/>
                <w:sz w:val="20"/>
                <w:szCs w:val="20"/>
              </w:rPr>
              <w:t>Titre II/Chapitre I</w:t>
            </w:r>
          </w:p>
          <w:p w14:paraId="20FAB9D1" w14:textId="77777777" w:rsidR="008E4D64" w:rsidRPr="00E01239" w:rsidRDefault="008E4D64" w:rsidP="00202CE9">
            <w:pPr>
              <w:autoSpaceDE w:val="0"/>
              <w:autoSpaceDN w:val="0"/>
              <w:adjustRightInd w:val="0"/>
              <w:spacing w:line="240" w:lineRule="auto"/>
              <w:rPr>
                <w:rFonts w:asciiTheme="minorHAnsi" w:hAnsiTheme="minorHAnsi" w:cstheme="minorHAnsi"/>
                <w:sz w:val="20"/>
                <w:szCs w:val="20"/>
              </w:rPr>
            </w:pPr>
            <w:r w:rsidRPr="00E01239">
              <w:rPr>
                <w:rFonts w:asciiTheme="minorHAnsi" w:hAnsiTheme="minorHAnsi" w:cstheme="minorHAnsi"/>
                <w:sz w:val="20"/>
                <w:szCs w:val="20"/>
              </w:rPr>
              <w:t xml:space="preserve">Article L 25 </w:t>
            </w:r>
          </w:p>
        </w:tc>
        <w:tc>
          <w:tcPr>
            <w:tcW w:w="2190" w:type="pct"/>
            <w:vAlign w:val="center"/>
          </w:tcPr>
          <w:p w14:paraId="4DB737DA" w14:textId="77777777" w:rsidR="008E4D64" w:rsidRPr="00E01239" w:rsidRDefault="008E4D64" w:rsidP="00202C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1239">
              <w:rPr>
                <w:rFonts w:asciiTheme="minorHAnsi" w:hAnsiTheme="minorHAnsi" w:cstheme="minorHAnsi"/>
                <w:sz w:val="20"/>
                <w:szCs w:val="20"/>
              </w:rPr>
              <w:t>Les installations, classées pour la protection de l’environnement sont assujetties aux droits et taxes prévus à l’article L 27.</w:t>
            </w:r>
          </w:p>
        </w:tc>
        <w:tc>
          <w:tcPr>
            <w:cnfStyle w:val="000100000000" w:firstRow="0" w:lastRow="0" w:firstColumn="0" w:lastColumn="1" w:oddVBand="0" w:evenVBand="0" w:oddHBand="0" w:evenHBand="0" w:firstRowFirstColumn="0" w:firstRowLastColumn="0" w:lastRowFirstColumn="0" w:lastRowLastColumn="0"/>
            <w:tcW w:w="1546" w:type="pct"/>
            <w:vAlign w:val="center"/>
          </w:tcPr>
          <w:p w14:paraId="08E6977E"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t xml:space="preserve">Le promoteur du projet devra s’acquitter des droits et taxes prévus par le Code de l’environnement. </w:t>
            </w:r>
          </w:p>
        </w:tc>
      </w:tr>
      <w:tr w:rsidR="008E4D64" w:rsidRPr="00E01239" w14:paraId="7F68C977" w14:textId="77777777" w:rsidTr="00202CE9">
        <w:trPr>
          <w:trHeight w:val="843"/>
          <w:jc w:val="center"/>
        </w:trPr>
        <w:tc>
          <w:tcPr>
            <w:cnfStyle w:val="001000000000" w:firstRow="0" w:lastRow="0" w:firstColumn="1" w:lastColumn="0" w:oddVBand="0" w:evenVBand="0" w:oddHBand="0" w:evenHBand="0" w:firstRowFirstColumn="0" w:firstRowLastColumn="0" w:lastRowFirstColumn="0" w:lastRowLastColumn="0"/>
            <w:tcW w:w="631" w:type="pct"/>
            <w:vAlign w:val="center"/>
          </w:tcPr>
          <w:p w14:paraId="072430B9"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t>Gestion des déchets</w:t>
            </w:r>
          </w:p>
        </w:tc>
        <w:tc>
          <w:tcPr>
            <w:cnfStyle w:val="000010000000" w:firstRow="0" w:lastRow="0" w:firstColumn="0" w:lastColumn="0" w:oddVBand="1" w:evenVBand="0" w:oddHBand="0" w:evenHBand="0" w:firstRowFirstColumn="0" w:firstRowLastColumn="0" w:lastRowFirstColumn="0" w:lastRowLastColumn="0"/>
            <w:tcW w:w="633" w:type="pct"/>
            <w:vAlign w:val="center"/>
          </w:tcPr>
          <w:p w14:paraId="126DD33F" w14:textId="77777777" w:rsidR="008E4D64" w:rsidRPr="00E01239" w:rsidRDefault="008E4D64" w:rsidP="00202CE9">
            <w:pPr>
              <w:autoSpaceDE w:val="0"/>
              <w:autoSpaceDN w:val="0"/>
              <w:adjustRightInd w:val="0"/>
              <w:spacing w:line="240" w:lineRule="auto"/>
              <w:rPr>
                <w:rFonts w:asciiTheme="minorHAnsi" w:hAnsiTheme="minorHAnsi" w:cstheme="minorHAnsi"/>
                <w:sz w:val="20"/>
                <w:szCs w:val="20"/>
              </w:rPr>
            </w:pPr>
            <w:r w:rsidRPr="00E01239">
              <w:rPr>
                <w:rFonts w:asciiTheme="minorHAnsi" w:hAnsiTheme="minorHAnsi" w:cstheme="minorHAnsi"/>
                <w:sz w:val="20"/>
                <w:szCs w:val="20"/>
              </w:rPr>
              <w:t>Titre II/Chapitre III, Article L36</w:t>
            </w:r>
          </w:p>
        </w:tc>
        <w:tc>
          <w:tcPr>
            <w:tcW w:w="2190" w:type="pct"/>
            <w:vAlign w:val="center"/>
          </w:tcPr>
          <w:p w14:paraId="1A4DC78B" w14:textId="77777777" w:rsidR="008E4D64" w:rsidRPr="00E01239" w:rsidRDefault="008E4D64" w:rsidP="00202CE9">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1239">
              <w:rPr>
                <w:rFonts w:asciiTheme="minorHAnsi" w:hAnsiTheme="minorHAnsi" w:cstheme="minorHAnsi"/>
                <w:sz w:val="20"/>
                <w:szCs w:val="20"/>
              </w:rPr>
              <w:t xml:space="preserve">Les collectivités territoriales veillent à enrayer tous les dépôts sauvages. Elles assurent l’élimination, avec le concours des services compétents de l’Etat ou des entreprises agréées, des déchets abandonnés et dont le propriétaire n’est pas identifié. </w:t>
            </w:r>
          </w:p>
        </w:tc>
        <w:tc>
          <w:tcPr>
            <w:cnfStyle w:val="000100000000" w:firstRow="0" w:lastRow="0" w:firstColumn="0" w:lastColumn="1" w:oddVBand="0" w:evenVBand="0" w:oddHBand="0" w:evenHBand="0" w:firstRowFirstColumn="0" w:firstRowLastColumn="0" w:lastRowFirstColumn="0" w:lastRowLastColumn="0"/>
            <w:tcW w:w="1546" w:type="pct"/>
            <w:vAlign w:val="center"/>
          </w:tcPr>
          <w:p w14:paraId="34ECE70E" w14:textId="5BC03502" w:rsidR="008E4D64" w:rsidRPr="00E01239" w:rsidRDefault="008E4D64" w:rsidP="00202CE9">
            <w:pPr>
              <w:pStyle w:val="Default"/>
              <w:spacing w:line="240" w:lineRule="auto"/>
              <w:rPr>
                <w:rFonts w:asciiTheme="minorHAnsi" w:hAnsiTheme="minorHAnsi" w:cstheme="minorHAnsi"/>
                <w:b w:val="0"/>
                <w:bCs w:val="0"/>
                <w:color w:val="auto"/>
                <w:sz w:val="20"/>
                <w:szCs w:val="20"/>
                <w:lang w:val="fr-FR"/>
              </w:rPr>
            </w:pPr>
            <w:r w:rsidRPr="00E01239">
              <w:rPr>
                <w:rFonts w:asciiTheme="minorHAnsi" w:hAnsiTheme="minorHAnsi" w:cstheme="minorHAnsi"/>
                <w:b w:val="0"/>
                <w:color w:val="auto"/>
                <w:sz w:val="20"/>
                <w:szCs w:val="20"/>
                <w:lang w:val="fr-FR"/>
              </w:rPr>
              <w:t>Cette disposition intègre les difficultés de gestion des déchets de différents types assimilables aux ordures ménagères et qui sont produits lors des</w:t>
            </w:r>
            <w:r w:rsidRPr="00E01239">
              <w:rPr>
                <w:rFonts w:asciiTheme="minorHAnsi" w:hAnsiTheme="minorHAnsi" w:cstheme="minorHAnsi"/>
                <w:b w:val="0"/>
                <w:bCs w:val="0"/>
                <w:color w:val="auto"/>
                <w:sz w:val="20"/>
                <w:szCs w:val="20"/>
                <w:lang w:val="fr-FR"/>
              </w:rPr>
              <w:t xml:space="preserve"> </w:t>
            </w:r>
            <w:r w:rsidRPr="00E01239">
              <w:rPr>
                <w:rFonts w:asciiTheme="minorHAnsi" w:hAnsiTheme="minorHAnsi" w:cstheme="minorHAnsi"/>
                <w:b w:val="0"/>
                <w:color w:val="auto"/>
                <w:sz w:val="20"/>
                <w:szCs w:val="20"/>
                <w:lang w:val="fr-FR"/>
              </w:rPr>
              <w:t xml:space="preserve">chantiers d’aménagements des différentes infrastructures du projet (Construction, réfection et réhabilitation de bâtiments ; création de </w:t>
            </w:r>
            <w:r w:rsidRPr="00E01239">
              <w:rPr>
                <w:rFonts w:asciiTheme="minorHAnsi" w:hAnsiTheme="minorHAnsi" w:cstheme="minorHAnsi"/>
                <w:b w:val="0"/>
                <w:iCs/>
                <w:color w:val="auto"/>
                <w:sz w:val="20"/>
                <w:szCs w:val="20"/>
                <w:lang w:val="fr-FR"/>
              </w:rPr>
              <w:t>parcs technologiques, aménagement de bassin, de périmètres maraichers et de vallées ; réhabilitation de périmètres irrigués ; construction de parcs à vaccination…</w:t>
            </w:r>
            <w:r w:rsidRPr="00E01239">
              <w:rPr>
                <w:rFonts w:asciiTheme="minorHAnsi" w:hAnsiTheme="minorHAnsi" w:cstheme="minorHAnsi"/>
                <w:b w:val="0"/>
                <w:color w:val="auto"/>
                <w:sz w:val="20"/>
                <w:szCs w:val="20"/>
                <w:lang w:val="fr-FR"/>
              </w:rPr>
              <w:t>).</w:t>
            </w:r>
          </w:p>
        </w:tc>
      </w:tr>
      <w:tr w:rsidR="00FD3E9F" w:rsidRPr="00E01239" w14:paraId="1506D60E" w14:textId="77777777" w:rsidTr="0011465A">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631" w:type="pct"/>
            <w:vMerge w:val="restart"/>
            <w:vAlign w:val="center"/>
          </w:tcPr>
          <w:p w14:paraId="7205E213"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t>Pollution de l’air et odeurs incommodantes</w:t>
            </w:r>
          </w:p>
        </w:tc>
        <w:tc>
          <w:tcPr>
            <w:cnfStyle w:val="000010000000" w:firstRow="0" w:lastRow="0" w:firstColumn="0" w:lastColumn="0" w:oddVBand="1" w:evenVBand="0" w:oddHBand="0" w:evenHBand="0" w:firstRowFirstColumn="0" w:firstRowLastColumn="0" w:lastRowFirstColumn="0" w:lastRowLastColumn="0"/>
            <w:tcW w:w="633" w:type="pct"/>
            <w:vAlign w:val="center"/>
          </w:tcPr>
          <w:p w14:paraId="66BED8E1" w14:textId="77777777" w:rsidR="008E4D64" w:rsidRPr="00E01239" w:rsidRDefault="008E4D64" w:rsidP="00202CE9">
            <w:pPr>
              <w:autoSpaceDE w:val="0"/>
              <w:autoSpaceDN w:val="0"/>
              <w:adjustRightInd w:val="0"/>
              <w:spacing w:line="240" w:lineRule="auto"/>
              <w:rPr>
                <w:rFonts w:asciiTheme="minorHAnsi" w:hAnsiTheme="minorHAnsi" w:cstheme="minorHAnsi"/>
                <w:bCs/>
                <w:sz w:val="20"/>
                <w:szCs w:val="20"/>
              </w:rPr>
            </w:pPr>
            <w:r w:rsidRPr="00E01239">
              <w:rPr>
                <w:rFonts w:asciiTheme="minorHAnsi" w:hAnsiTheme="minorHAnsi" w:cstheme="minorHAnsi"/>
                <w:bCs/>
                <w:sz w:val="20"/>
                <w:szCs w:val="20"/>
              </w:rPr>
              <w:t>Titre III, Chapitre II, Article L76</w:t>
            </w:r>
          </w:p>
        </w:tc>
        <w:tc>
          <w:tcPr>
            <w:tcW w:w="2190" w:type="pct"/>
            <w:vAlign w:val="center"/>
          </w:tcPr>
          <w:p w14:paraId="429311D2" w14:textId="77777777" w:rsidR="008E4D64" w:rsidRPr="00E01239" w:rsidRDefault="008E4D64" w:rsidP="00202CE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1239">
              <w:rPr>
                <w:rFonts w:asciiTheme="minorHAnsi" w:hAnsiTheme="minorHAnsi" w:cstheme="minorHAnsi"/>
                <w:sz w:val="20"/>
                <w:szCs w:val="20"/>
              </w:rPr>
              <w:t xml:space="preserve">Sont soumises aux dispositions de la présente loi et des règlements pris pour son application, les pollutions de l’air ou les odeurs qui incommodent les populations, compromettent la santé ou la sécurité publique, nuisent à la production agricole, à la conservation des constructions et monuments ou </w:t>
            </w:r>
            <w:r w:rsidRPr="00E01239">
              <w:rPr>
                <w:rFonts w:asciiTheme="minorHAnsi" w:hAnsiTheme="minorHAnsi" w:cstheme="minorHAnsi"/>
                <w:sz w:val="20"/>
                <w:szCs w:val="20"/>
              </w:rPr>
              <w:lastRenderedPageBreak/>
              <w:t xml:space="preserve">au caractère des sites et des écosystèmes naturels. Dans le cadre de l’application des conventions internationales y relatives, l’Etat peut prendre des prescriptions générales tendant à renforcer le dispositif de lutte contre la pollution de l’air. </w:t>
            </w:r>
          </w:p>
        </w:tc>
        <w:tc>
          <w:tcPr>
            <w:cnfStyle w:val="000100000000" w:firstRow="0" w:lastRow="0" w:firstColumn="0" w:lastColumn="1" w:oddVBand="0" w:evenVBand="0" w:oddHBand="0" w:evenHBand="0" w:firstRowFirstColumn="0" w:firstRowLastColumn="0" w:lastRowFirstColumn="0" w:lastRowLastColumn="0"/>
            <w:tcW w:w="1546" w:type="pct"/>
            <w:vAlign w:val="center"/>
          </w:tcPr>
          <w:p w14:paraId="1F1F7637"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lastRenderedPageBreak/>
              <w:t xml:space="preserve">Les nuisances olfactives liées particulièrement au transport et au traitement des déchets produits dans les chantiers d’aménagements des différentes infrastructures du projet (construction, réfection et </w:t>
            </w:r>
            <w:r w:rsidRPr="00E01239">
              <w:rPr>
                <w:rFonts w:asciiTheme="minorHAnsi" w:hAnsiTheme="minorHAnsi" w:cstheme="minorHAnsi"/>
                <w:b w:val="0"/>
                <w:sz w:val="20"/>
                <w:szCs w:val="20"/>
              </w:rPr>
              <w:lastRenderedPageBreak/>
              <w:t xml:space="preserve">réhabilitation de bâtiments ; création de </w:t>
            </w:r>
            <w:r w:rsidRPr="00E01239">
              <w:rPr>
                <w:rFonts w:asciiTheme="minorHAnsi" w:hAnsiTheme="minorHAnsi" w:cstheme="minorHAnsi"/>
                <w:b w:val="0"/>
                <w:iCs/>
                <w:sz w:val="20"/>
                <w:szCs w:val="20"/>
              </w:rPr>
              <w:t>parcs technologiques, aménagement de bassin, de périmètres maraichers et de vallées ; réhabilitation de périmètres irrigués ; construction de parcs à vaccination, etc.</w:t>
            </w:r>
            <w:r w:rsidRPr="00E01239">
              <w:rPr>
                <w:rFonts w:asciiTheme="minorHAnsi" w:hAnsiTheme="minorHAnsi" w:cstheme="minorHAnsi"/>
                <w:b w:val="0"/>
                <w:sz w:val="20"/>
                <w:szCs w:val="20"/>
              </w:rPr>
              <w:t>) doivent être analysées et des mesures d’atténuation proposées.</w:t>
            </w:r>
          </w:p>
        </w:tc>
      </w:tr>
      <w:tr w:rsidR="008E4D64" w:rsidRPr="00E01239" w14:paraId="6EB0F016" w14:textId="77777777" w:rsidTr="00202CE9">
        <w:trPr>
          <w:trHeight w:val="1239"/>
          <w:jc w:val="center"/>
        </w:trPr>
        <w:tc>
          <w:tcPr>
            <w:cnfStyle w:val="001000000000" w:firstRow="0" w:lastRow="0" w:firstColumn="1" w:lastColumn="0" w:oddVBand="0" w:evenVBand="0" w:oddHBand="0" w:evenHBand="0" w:firstRowFirstColumn="0" w:firstRowLastColumn="0" w:lastRowFirstColumn="0" w:lastRowLastColumn="0"/>
            <w:tcW w:w="631" w:type="pct"/>
            <w:vMerge/>
            <w:vAlign w:val="center"/>
          </w:tcPr>
          <w:p w14:paraId="424E81CC"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633" w:type="pct"/>
            <w:vAlign w:val="center"/>
          </w:tcPr>
          <w:p w14:paraId="58D6371D" w14:textId="77777777" w:rsidR="008E4D64" w:rsidRPr="00E01239" w:rsidRDefault="008E4D64" w:rsidP="00202CE9">
            <w:pPr>
              <w:autoSpaceDE w:val="0"/>
              <w:autoSpaceDN w:val="0"/>
              <w:adjustRightInd w:val="0"/>
              <w:spacing w:line="240" w:lineRule="auto"/>
              <w:rPr>
                <w:rFonts w:asciiTheme="minorHAnsi" w:hAnsiTheme="minorHAnsi" w:cstheme="minorHAnsi"/>
                <w:bCs/>
                <w:sz w:val="20"/>
                <w:szCs w:val="20"/>
              </w:rPr>
            </w:pPr>
            <w:r w:rsidRPr="00E01239">
              <w:rPr>
                <w:rFonts w:asciiTheme="minorHAnsi" w:hAnsiTheme="minorHAnsi" w:cstheme="minorHAnsi"/>
                <w:bCs/>
                <w:sz w:val="20"/>
                <w:szCs w:val="20"/>
              </w:rPr>
              <w:t>Titre III, Chapitre IV, Article L84</w:t>
            </w:r>
          </w:p>
        </w:tc>
        <w:tc>
          <w:tcPr>
            <w:tcW w:w="2190" w:type="pct"/>
            <w:vAlign w:val="center"/>
          </w:tcPr>
          <w:p w14:paraId="2D0D42BB" w14:textId="77777777" w:rsidR="008E4D64" w:rsidRPr="00E01239" w:rsidRDefault="008E4D64" w:rsidP="00202CE9">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1239">
              <w:rPr>
                <w:rFonts w:asciiTheme="minorHAnsi" w:hAnsiTheme="minorHAnsi" w:cstheme="minorHAnsi"/>
                <w:sz w:val="20"/>
                <w:szCs w:val="20"/>
              </w:rPr>
              <w:t>Sont interdites, les émissions de bruits susceptibles de nuire à la santé de l’homme, de constituer une gêne excessive pour le voisinage ou de porter atteinte à l’environnement. Les personnes physiques ou morales à l’origine de ces émissions doivent mettre en œuvre toutes les dispositions utiles pour les supprimer. Lorsque l’urgence le justifie, le Ministre chargé de l’environnement, en rapport avec les Ministres chargés de l’intérieur et des Forces armées, doit prendre toutes mesures exécutoires destinées d’office à faire cesser le trouble.</w:t>
            </w:r>
          </w:p>
        </w:tc>
        <w:tc>
          <w:tcPr>
            <w:cnfStyle w:val="000100000000" w:firstRow="0" w:lastRow="0" w:firstColumn="0" w:lastColumn="1" w:oddVBand="0" w:evenVBand="0" w:oddHBand="0" w:evenHBand="0" w:firstRowFirstColumn="0" w:firstRowLastColumn="0" w:lastRowFirstColumn="0" w:lastRowLastColumn="0"/>
            <w:tcW w:w="1546" w:type="pct"/>
            <w:vAlign w:val="center"/>
          </w:tcPr>
          <w:p w14:paraId="70C5C8B0"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t xml:space="preserve">Les nuisances sonores en phase de réalisation des travaux doivent être analysées et des mesures d’atténuation proposées. </w:t>
            </w:r>
          </w:p>
        </w:tc>
      </w:tr>
      <w:tr w:rsidR="00FD3E9F" w:rsidRPr="00E01239" w14:paraId="4E0CC81F" w14:textId="77777777" w:rsidTr="00202CE9">
        <w:trPr>
          <w:cnfStyle w:val="010000000000" w:firstRow="0" w:lastRow="1" w:firstColumn="0" w:lastColumn="0" w:oddVBand="0" w:evenVBand="0" w:oddHBand="0" w:evenHBand="0" w:firstRowFirstColumn="0" w:firstRowLastColumn="0" w:lastRowFirstColumn="0" w:lastRowLastColumn="0"/>
          <w:trHeight w:val="629"/>
          <w:jc w:val="center"/>
        </w:trPr>
        <w:tc>
          <w:tcPr>
            <w:cnfStyle w:val="001000000001" w:firstRow="0" w:lastRow="0" w:firstColumn="1" w:lastColumn="0" w:oddVBand="0" w:evenVBand="0" w:oddHBand="0" w:evenHBand="0" w:firstRowFirstColumn="0" w:firstRowLastColumn="0" w:lastRowFirstColumn="1" w:lastRowLastColumn="0"/>
            <w:tcW w:w="631" w:type="pct"/>
            <w:vAlign w:val="center"/>
          </w:tcPr>
          <w:p w14:paraId="14F7686B"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t>Pollution sonore</w:t>
            </w:r>
          </w:p>
        </w:tc>
        <w:tc>
          <w:tcPr>
            <w:cnfStyle w:val="000010000000" w:firstRow="0" w:lastRow="0" w:firstColumn="0" w:lastColumn="0" w:oddVBand="1" w:evenVBand="0" w:oddHBand="0" w:evenHBand="0" w:firstRowFirstColumn="0" w:firstRowLastColumn="0" w:lastRowFirstColumn="0" w:lastRowLastColumn="0"/>
            <w:tcW w:w="633" w:type="pct"/>
            <w:vAlign w:val="center"/>
          </w:tcPr>
          <w:p w14:paraId="726D7E0D" w14:textId="77777777" w:rsidR="008E4D64" w:rsidRPr="00E01239" w:rsidRDefault="008E4D64" w:rsidP="00202CE9">
            <w:pPr>
              <w:autoSpaceDE w:val="0"/>
              <w:autoSpaceDN w:val="0"/>
              <w:adjustRightInd w:val="0"/>
              <w:spacing w:line="240" w:lineRule="auto"/>
              <w:rPr>
                <w:rFonts w:asciiTheme="minorHAnsi" w:hAnsiTheme="minorHAnsi" w:cstheme="minorHAnsi"/>
                <w:bCs w:val="0"/>
                <w:sz w:val="20"/>
                <w:szCs w:val="20"/>
              </w:rPr>
            </w:pPr>
            <w:r w:rsidRPr="00E01239">
              <w:rPr>
                <w:rFonts w:asciiTheme="minorHAnsi" w:hAnsiTheme="minorHAnsi" w:cstheme="minorHAnsi"/>
                <w:b w:val="0"/>
                <w:sz w:val="20"/>
                <w:szCs w:val="20"/>
              </w:rPr>
              <w:t xml:space="preserve">Titre IV Article R 84 </w:t>
            </w:r>
          </w:p>
        </w:tc>
        <w:tc>
          <w:tcPr>
            <w:tcW w:w="2190" w:type="pct"/>
            <w:vAlign w:val="center"/>
          </w:tcPr>
          <w:p w14:paraId="6D89A6DD" w14:textId="77777777" w:rsidR="008E4D64" w:rsidRPr="00E01239" w:rsidRDefault="008E4D64" w:rsidP="00202CE9">
            <w:pPr>
              <w:autoSpaceDE w:val="0"/>
              <w:autoSpaceDN w:val="0"/>
              <w:adjustRightInd w:val="0"/>
              <w:spacing w:line="240"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1239">
              <w:rPr>
                <w:rFonts w:asciiTheme="minorHAnsi" w:hAnsiTheme="minorHAnsi" w:cstheme="minorHAnsi"/>
                <w:b w:val="0"/>
                <w:sz w:val="20"/>
                <w:szCs w:val="20"/>
              </w:rPr>
              <w:t>Les seuils maxima de bruit à ne pas dépasser sans exposer l’organisme humain à des conséquences dangereuses sont cinquante-cinq (55) à soixante (60) décibels le jour et quarante (40) décibels la nuit. Toutefois, la diversité de sources de pollution sonore (installation classée, chantier...) particularise la réglementation.</w:t>
            </w:r>
          </w:p>
        </w:tc>
        <w:tc>
          <w:tcPr>
            <w:cnfStyle w:val="000100000010" w:firstRow="0" w:lastRow="0" w:firstColumn="0" w:lastColumn="1" w:oddVBand="0" w:evenVBand="0" w:oddHBand="0" w:evenHBand="0" w:firstRowFirstColumn="0" w:firstRowLastColumn="0" w:lastRowFirstColumn="0" w:lastRowLastColumn="1"/>
            <w:tcW w:w="1546" w:type="pct"/>
            <w:vAlign w:val="center"/>
          </w:tcPr>
          <w:p w14:paraId="54D36D16" w14:textId="77777777" w:rsidR="008E4D64" w:rsidRPr="00E01239" w:rsidRDefault="008E4D64" w:rsidP="00202CE9">
            <w:pPr>
              <w:autoSpaceDE w:val="0"/>
              <w:autoSpaceDN w:val="0"/>
              <w:adjustRightInd w:val="0"/>
              <w:spacing w:line="240" w:lineRule="auto"/>
              <w:rPr>
                <w:rFonts w:asciiTheme="minorHAnsi" w:hAnsiTheme="minorHAnsi" w:cstheme="minorHAnsi"/>
                <w:b w:val="0"/>
                <w:bCs w:val="0"/>
                <w:sz w:val="20"/>
                <w:szCs w:val="20"/>
              </w:rPr>
            </w:pPr>
            <w:r w:rsidRPr="00E01239">
              <w:rPr>
                <w:rFonts w:asciiTheme="minorHAnsi" w:hAnsiTheme="minorHAnsi" w:cstheme="minorHAnsi"/>
                <w:b w:val="0"/>
                <w:sz w:val="20"/>
                <w:szCs w:val="20"/>
              </w:rPr>
              <w:t xml:space="preserve">Les nuisances sonores en phase de réalisation des travaux doivent être analysées et des mesures d’atténuation proposées. </w:t>
            </w:r>
          </w:p>
        </w:tc>
      </w:tr>
    </w:tbl>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837"/>
        <w:gridCol w:w="1844"/>
        <w:gridCol w:w="6378"/>
        <w:gridCol w:w="4503"/>
      </w:tblGrid>
      <w:tr w:rsidR="008E4D64" w:rsidRPr="00E01239" w14:paraId="11ABA319" w14:textId="77777777" w:rsidTr="00F43E8A">
        <w:trPr>
          <w:trHeight w:val="2131"/>
          <w:jc w:val="center"/>
        </w:trPr>
        <w:tc>
          <w:tcPr>
            <w:tcW w:w="631" w:type="pct"/>
            <w:shd w:val="clear" w:color="auto" w:fill="auto"/>
            <w:vAlign w:val="center"/>
          </w:tcPr>
          <w:p w14:paraId="5B663303" w14:textId="77777777" w:rsidR="008E4D64" w:rsidRPr="00E01239" w:rsidRDefault="008E4D64" w:rsidP="00F43E8A">
            <w:pPr>
              <w:autoSpaceDE w:val="0"/>
              <w:autoSpaceDN w:val="0"/>
              <w:adjustRightInd w:val="0"/>
              <w:spacing w:line="300" w:lineRule="exact"/>
              <w:jc w:val="both"/>
              <w:rPr>
                <w:rFonts w:asciiTheme="minorHAnsi" w:hAnsiTheme="minorHAnsi" w:cstheme="minorHAnsi"/>
                <w:b/>
                <w:bCs/>
                <w:sz w:val="20"/>
                <w:szCs w:val="20"/>
              </w:rPr>
            </w:pPr>
            <w:r w:rsidRPr="00E01239">
              <w:rPr>
                <w:rFonts w:asciiTheme="minorHAnsi" w:hAnsiTheme="minorHAnsi" w:cstheme="minorHAnsi"/>
                <w:bCs/>
                <w:sz w:val="20"/>
                <w:szCs w:val="20"/>
              </w:rPr>
              <w:t xml:space="preserve">Milieux biologiques sensibles </w:t>
            </w:r>
          </w:p>
        </w:tc>
        <w:tc>
          <w:tcPr>
            <w:tcW w:w="633" w:type="pct"/>
            <w:shd w:val="clear" w:color="auto" w:fill="auto"/>
            <w:vAlign w:val="center"/>
          </w:tcPr>
          <w:p w14:paraId="7ABFED8D" w14:textId="77777777" w:rsidR="008E4D64" w:rsidRPr="00E01239" w:rsidRDefault="008E4D64" w:rsidP="00F43E8A">
            <w:pPr>
              <w:autoSpaceDE w:val="0"/>
              <w:autoSpaceDN w:val="0"/>
              <w:adjustRightInd w:val="0"/>
              <w:jc w:val="both"/>
              <w:rPr>
                <w:rFonts w:asciiTheme="minorHAnsi" w:hAnsiTheme="minorHAnsi" w:cstheme="minorHAnsi"/>
                <w:bCs/>
                <w:sz w:val="20"/>
                <w:szCs w:val="20"/>
              </w:rPr>
            </w:pPr>
            <w:r w:rsidRPr="00E01239">
              <w:rPr>
                <w:rFonts w:asciiTheme="minorHAnsi" w:hAnsiTheme="minorHAnsi" w:cstheme="minorHAnsi"/>
                <w:bCs/>
                <w:sz w:val="20"/>
                <w:szCs w:val="20"/>
              </w:rPr>
              <w:t>Chapitre I Article L2</w:t>
            </w:r>
          </w:p>
          <w:p w14:paraId="300936E8" w14:textId="77777777" w:rsidR="008E4D64" w:rsidRPr="00E01239" w:rsidRDefault="008E4D64" w:rsidP="00F43E8A">
            <w:pPr>
              <w:autoSpaceDE w:val="0"/>
              <w:autoSpaceDN w:val="0"/>
              <w:adjustRightInd w:val="0"/>
              <w:jc w:val="both"/>
              <w:rPr>
                <w:rFonts w:asciiTheme="minorHAnsi" w:hAnsiTheme="minorHAnsi" w:cstheme="minorHAnsi"/>
                <w:bCs/>
                <w:sz w:val="20"/>
                <w:szCs w:val="20"/>
              </w:rPr>
            </w:pPr>
            <w:r w:rsidRPr="00E01239">
              <w:rPr>
                <w:rFonts w:asciiTheme="minorHAnsi" w:hAnsiTheme="minorHAnsi" w:cstheme="minorHAnsi"/>
                <w:bCs/>
                <w:sz w:val="20"/>
                <w:szCs w:val="20"/>
              </w:rPr>
              <w:t>Chapitre IV Article L44</w:t>
            </w:r>
          </w:p>
        </w:tc>
        <w:tc>
          <w:tcPr>
            <w:tcW w:w="2190" w:type="pct"/>
            <w:shd w:val="clear" w:color="auto" w:fill="auto"/>
            <w:vAlign w:val="center"/>
          </w:tcPr>
          <w:p w14:paraId="6C8C1F58" w14:textId="77777777" w:rsidR="008E4D64" w:rsidRPr="00E01239" w:rsidRDefault="008E4D64" w:rsidP="00F43E8A">
            <w:pPr>
              <w:autoSpaceDE w:val="0"/>
              <w:autoSpaceDN w:val="0"/>
              <w:adjustRightInd w:val="0"/>
              <w:jc w:val="both"/>
              <w:rPr>
                <w:rFonts w:asciiTheme="minorHAnsi" w:hAnsiTheme="minorHAnsi" w:cstheme="minorHAnsi"/>
                <w:bCs/>
                <w:sz w:val="20"/>
                <w:szCs w:val="20"/>
              </w:rPr>
            </w:pPr>
            <w:r w:rsidRPr="00E01239">
              <w:rPr>
                <w:rFonts w:asciiTheme="minorHAnsi" w:hAnsiTheme="minorHAnsi" w:cstheme="minorHAnsi"/>
                <w:bCs/>
                <w:sz w:val="20"/>
                <w:szCs w:val="20"/>
              </w:rPr>
              <w:t>La nécessité d’une conservation ex situ d’éléments constitutifs de la diversité biologique en dehors de leur milieu naturel.</w:t>
            </w:r>
          </w:p>
          <w:p w14:paraId="569B7498" w14:textId="77777777" w:rsidR="008E4D64" w:rsidRPr="00E01239" w:rsidRDefault="008E4D64" w:rsidP="00F43E8A">
            <w:pPr>
              <w:autoSpaceDE w:val="0"/>
              <w:autoSpaceDN w:val="0"/>
              <w:adjustRightInd w:val="0"/>
              <w:jc w:val="both"/>
              <w:rPr>
                <w:rFonts w:asciiTheme="minorHAnsi" w:hAnsiTheme="minorHAnsi" w:cstheme="minorHAnsi"/>
                <w:bCs/>
                <w:sz w:val="20"/>
                <w:szCs w:val="20"/>
              </w:rPr>
            </w:pPr>
            <w:r w:rsidRPr="00E01239">
              <w:rPr>
                <w:rFonts w:asciiTheme="minorHAnsi" w:hAnsiTheme="minorHAnsi" w:cstheme="minorHAnsi"/>
                <w:bCs/>
                <w:sz w:val="20"/>
                <w:szCs w:val="20"/>
              </w:rPr>
              <w:t>Les substances chimiques nocives et dangereuses qui, en raison de leur toxicité, de leur radioactivité, de leur pouvoir de destruction dans l’environnement ou de leur concentration dans les chaînes biologiques, présentent ou sont susceptibles de présenter un danger pour l’homme, le milieu naturel ou son environnement lorsqu’elles sont produites, importées sur le territoire national ou évacuées dans le milieu, sont soumises au contrôle et à la surveillance des services compétents.</w:t>
            </w:r>
          </w:p>
        </w:tc>
        <w:tc>
          <w:tcPr>
            <w:tcW w:w="1546" w:type="pct"/>
            <w:shd w:val="clear" w:color="auto" w:fill="auto"/>
            <w:vAlign w:val="center"/>
          </w:tcPr>
          <w:p w14:paraId="24D4CE5A" w14:textId="77777777" w:rsidR="008E4D64" w:rsidRPr="00E01239" w:rsidRDefault="008E4D64" w:rsidP="00F43E8A">
            <w:pPr>
              <w:autoSpaceDE w:val="0"/>
              <w:autoSpaceDN w:val="0"/>
              <w:adjustRightInd w:val="0"/>
              <w:spacing w:line="240" w:lineRule="exact"/>
              <w:jc w:val="both"/>
              <w:rPr>
                <w:rFonts w:asciiTheme="minorHAnsi" w:hAnsiTheme="minorHAnsi" w:cstheme="minorHAnsi"/>
                <w:bCs/>
                <w:sz w:val="20"/>
                <w:szCs w:val="20"/>
              </w:rPr>
            </w:pPr>
            <w:r w:rsidRPr="00E01239">
              <w:rPr>
                <w:rFonts w:asciiTheme="minorHAnsi" w:hAnsiTheme="minorHAnsi" w:cstheme="minorHAnsi"/>
                <w:bCs/>
                <w:sz w:val="20"/>
                <w:szCs w:val="20"/>
              </w:rPr>
              <w:t>Aucune activité du projet ne doit porter atteinte aux milieux biologiques sensibles.</w:t>
            </w:r>
          </w:p>
          <w:p w14:paraId="12FD1216" w14:textId="71A6F2C6" w:rsidR="008E4D64" w:rsidRPr="00E01239" w:rsidRDefault="008E4D64" w:rsidP="00F43E8A">
            <w:pPr>
              <w:autoSpaceDE w:val="0"/>
              <w:autoSpaceDN w:val="0"/>
              <w:adjustRightInd w:val="0"/>
              <w:spacing w:line="240" w:lineRule="exact"/>
              <w:jc w:val="both"/>
              <w:rPr>
                <w:rFonts w:asciiTheme="minorHAnsi" w:hAnsiTheme="minorHAnsi" w:cstheme="minorHAnsi"/>
                <w:bCs/>
                <w:sz w:val="20"/>
                <w:szCs w:val="20"/>
              </w:rPr>
            </w:pPr>
            <w:r w:rsidRPr="00E01239">
              <w:rPr>
                <w:rFonts w:asciiTheme="minorHAnsi" w:hAnsiTheme="minorHAnsi" w:cstheme="minorHAnsi"/>
                <w:bCs/>
                <w:sz w:val="20"/>
                <w:szCs w:val="20"/>
              </w:rPr>
              <w:t>De plus</w:t>
            </w:r>
            <w:r w:rsidR="00665F0E">
              <w:rPr>
                <w:rFonts w:asciiTheme="minorHAnsi" w:hAnsiTheme="minorHAnsi" w:cstheme="minorHAnsi"/>
                <w:bCs/>
                <w:sz w:val="20"/>
                <w:szCs w:val="20"/>
              </w:rPr>
              <w:t>,</w:t>
            </w:r>
            <w:r w:rsidRPr="00E01239">
              <w:rPr>
                <w:rFonts w:asciiTheme="minorHAnsi" w:hAnsiTheme="minorHAnsi" w:cstheme="minorHAnsi"/>
                <w:bCs/>
                <w:sz w:val="20"/>
                <w:szCs w:val="20"/>
              </w:rPr>
              <w:t xml:space="preserve"> aucune formalisation ne doit être menée dans les aires protégées et autres milieux biologiques</w:t>
            </w:r>
          </w:p>
        </w:tc>
      </w:tr>
    </w:tbl>
    <w:p w14:paraId="009CA60A" w14:textId="77777777" w:rsidR="008E4D64" w:rsidRPr="00E01239" w:rsidRDefault="008E4D64" w:rsidP="008E4D64">
      <w:pPr>
        <w:pStyle w:val="Paragraphedeliste"/>
        <w:numPr>
          <w:ilvl w:val="0"/>
          <w:numId w:val="1"/>
        </w:numPr>
        <w:rPr>
          <w:rFonts w:asciiTheme="minorHAnsi" w:hAnsiTheme="minorHAnsi" w:cstheme="minorHAnsi"/>
        </w:rPr>
        <w:sectPr w:rsidR="008E4D64" w:rsidRPr="00E01239" w:rsidSect="00F43E8A">
          <w:pgSz w:w="16840" w:h="11907" w:orient="landscape" w:code="9"/>
          <w:pgMar w:top="1134" w:right="1134" w:bottom="1134" w:left="1134" w:header="709" w:footer="709" w:gutter="0"/>
          <w:pgBorders w:offsetFrom="page">
            <w:top w:val="none" w:sz="0" w:space="14" w:color="000000" w:shadow="1"/>
            <w:left w:val="none" w:sz="55" w:space="20" w:color="000030" w:shadow="1" w:frame="1"/>
            <w:bottom w:val="none" w:sz="55" w:space="13" w:color="000030" w:shadow="1" w:frame="1"/>
            <w:right w:val="none" w:sz="0" w:space="14" w:color="0000B4" w:shadow="1"/>
          </w:pgBorders>
          <w:cols w:space="708"/>
          <w:docGrid w:linePitch="360"/>
        </w:sectPr>
      </w:pPr>
    </w:p>
    <w:p w14:paraId="149A8AB4"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lastRenderedPageBreak/>
        <w:t>Les dispositions du Code de l’environnement en matière d’évaluation environnementale sont complétées par cinq arrêtés du Ministre en charge de l’environnement en date d</w:t>
      </w:r>
      <w:bookmarkStart w:id="126" w:name="_Toc471459932"/>
      <w:r w:rsidRPr="00E01239">
        <w:rPr>
          <w:rFonts w:asciiTheme="minorHAnsi" w:hAnsiTheme="minorHAnsi" w:cstheme="minorHAnsi"/>
          <w:sz w:val="22"/>
          <w:szCs w:val="22"/>
        </w:rPr>
        <w:t>u 28 novembre 2001.</w:t>
      </w:r>
    </w:p>
    <w:p w14:paraId="07C7D04C" w14:textId="77777777" w:rsidR="008E4D64" w:rsidRPr="00E01239" w:rsidRDefault="008E4D64" w:rsidP="008E4D64">
      <w:pPr>
        <w:jc w:val="both"/>
        <w:rPr>
          <w:rFonts w:asciiTheme="minorHAnsi" w:hAnsiTheme="minorHAnsi" w:cstheme="minorHAnsi"/>
          <w:sz w:val="22"/>
          <w:szCs w:val="22"/>
        </w:rPr>
      </w:pPr>
    </w:p>
    <w:p w14:paraId="5404F740" w14:textId="15163071" w:rsidR="008E4D64" w:rsidRPr="00E01239" w:rsidRDefault="00046FFD" w:rsidP="00A312BF">
      <w:pPr>
        <w:jc w:val="center"/>
        <w:rPr>
          <w:rFonts w:asciiTheme="minorHAnsi" w:hAnsiTheme="minorHAnsi" w:cstheme="minorHAnsi"/>
          <w:sz w:val="22"/>
          <w:szCs w:val="22"/>
        </w:rPr>
      </w:pPr>
      <w:bookmarkStart w:id="127" w:name="_Toc480996178"/>
      <w:bookmarkStart w:id="128" w:name="_Toc534190295"/>
      <w:bookmarkStart w:id="129" w:name="_Toc21074270"/>
      <w:bookmarkStart w:id="130" w:name="_Toc38266220"/>
      <w:bookmarkStart w:id="131" w:name="_Toc43107492"/>
      <w:bookmarkStart w:id="132" w:name="_Toc63281780"/>
      <w:bookmarkStart w:id="133" w:name="_Toc118549375"/>
      <w:bookmarkStart w:id="134" w:name="_Toc144654183"/>
      <w:r w:rsidRPr="00E01239">
        <w:rPr>
          <w:rFonts w:asciiTheme="minorHAnsi" w:hAnsiTheme="minorHAnsi" w:cstheme="minorHAnsi"/>
          <w:b/>
          <w:bCs/>
          <w:sz w:val="22"/>
          <w:szCs w:val="22"/>
        </w:rPr>
        <w:t xml:space="preserve">Tableau </w:t>
      </w:r>
      <w:r w:rsidRPr="00E01239">
        <w:rPr>
          <w:rFonts w:asciiTheme="minorHAnsi" w:hAnsiTheme="minorHAnsi" w:cstheme="minorHAnsi"/>
          <w:b/>
          <w:bCs/>
          <w:sz w:val="22"/>
          <w:szCs w:val="22"/>
        </w:rPr>
        <w:fldChar w:fldCharType="begin"/>
      </w:r>
      <w:r w:rsidRPr="00E01239">
        <w:rPr>
          <w:rFonts w:asciiTheme="minorHAnsi" w:hAnsiTheme="minorHAnsi" w:cstheme="minorHAnsi"/>
          <w:b/>
          <w:bCs/>
          <w:sz w:val="22"/>
          <w:szCs w:val="22"/>
        </w:rPr>
        <w:instrText xml:space="preserve"> SEQ Tableau \* ARABIC </w:instrText>
      </w:r>
      <w:r w:rsidRPr="00E01239">
        <w:rPr>
          <w:rFonts w:asciiTheme="minorHAnsi" w:hAnsiTheme="minorHAnsi" w:cstheme="minorHAnsi"/>
          <w:b/>
          <w:bCs/>
          <w:sz w:val="22"/>
          <w:szCs w:val="22"/>
        </w:rPr>
        <w:fldChar w:fldCharType="separate"/>
      </w:r>
      <w:r w:rsidR="005C3166">
        <w:rPr>
          <w:rFonts w:asciiTheme="minorHAnsi" w:hAnsiTheme="minorHAnsi" w:cstheme="minorHAnsi"/>
          <w:b/>
          <w:bCs/>
          <w:noProof/>
          <w:sz w:val="22"/>
          <w:szCs w:val="22"/>
        </w:rPr>
        <w:t>3</w:t>
      </w:r>
      <w:r w:rsidRPr="00E01239">
        <w:rPr>
          <w:rFonts w:asciiTheme="minorHAnsi" w:hAnsiTheme="minorHAnsi" w:cstheme="minorHAnsi"/>
          <w:b/>
          <w:bCs/>
          <w:sz w:val="22"/>
          <w:szCs w:val="22"/>
        </w:rPr>
        <w:fldChar w:fldCharType="end"/>
      </w:r>
      <w:r w:rsidRPr="00E01239">
        <w:rPr>
          <w:rFonts w:asciiTheme="minorHAnsi" w:hAnsiTheme="minorHAnsi" w:cstheme="minorHAnsi"/>
          <w:b/>
          <w:bCs/>
          <w:sz w:val="22"/>
          <w:szCs w:val="22"/>
        </w:rPr>
        <w:t>:</w:t>
      </w:r>
      <w:r w:rsidRPr="00E01239">
        <w:rPr>
          <w:rFonts w:asciiTheme="minorHAnsi" w:hAnsiTheme="minorHAnsi" w:cstheme="minorHAnsi"/>
          <w:sz w:val="22"/>
          <w:szCs w:val="22"/>
        </w:rPr>
        <w:t xml:space="preserve"> </w:t>
      </w:r>
      <w:r w:rsidR="008E4D64" w:rsidRPr="00E01239">
        <w:rPr>
          <w:rFonts w:asciiTheme="minorHAnsi" w:hAnsiTheme="minorHAnsi" w:cstheme="minorHAnsi"/>
          <w:sz w:val="22"/>
          <w:szCs w:val="22"/>
        </w:rPr>
        <w:t>Arrêtés relatifs aux études d’impact</w:t>
      </w:r>
      <w:bookmarkEnd w:id="126"/>
      <w:r w:rsidR="008E4D64" w:rsidRPr="00E01239">
        <w:rPr>
          <w:rFonts w:asciiTheme="minorHAnsi" w:hAnsiTheme="minorHAnsi" w:cstheme="minorHAnsi"/>
          <w:sz w:val="22"/>
          <w:szCs w:val="22"/>
        </w:rPr>
        <w:t xml:space="preserve"> sur l’environnement</w:t>
      </w:r>
      <w:bookmarkEnd w:id="127"/>
      <w:bookmarkEnd w:id="128"/>
      <w:bookmarkEnd w:id="129"/>
      <w:bookmarkEnd w:id="130"/>
      <w:bookmarkEnd w:id="131"/>
      <w:bookmarkEnd w:id="132"/>
      <w:bookmarkEnd w:id="133"/>
      <w:bookmarkEnd w:id="134"/>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08"/>
        <w:gridCol w:w="3507"/>
        <w:gridCol w:w="3046"/>
      </w:tblGrid>
      <w:tr w:rsidR="008E4D64" w:rsidRPr="00E01239" w14:paraId="6ABF31F1" w14:textId="77777777" w:rsidTr="00202CE9">
        <w:trPr>
          <w:trHeight w:val="537"/>
          <w:tblHeader/>
          <w:jc w:val="center"/>
        </w:trPr>
        <w:tc>
          <w:tcPr>
            <w:tcW w:w="1384" w:type="pct"/>
            <w:shd w:val="clear" w:color="auto" w:fill="1F3864" w:themeFill="accent5" w:themeFillShade="80"/>
            <w:vAlign w:val="center"/>
          </w:tcPr>
          <w:p w14:paraId="5D8E2801"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Document de référence</w:t>
            </w:r>
          </w:p>
        </w:tc>
        <w:tc>
          <w:tcPr>
            <w:tcW w:w="1935" w:type="pct"/>
            <w:shd w:val="clear" w:color="auto" w:fill="1F3864" w:themeFill="accent5" w:themeFillShade="80"/>
            <w:vAlign w:val="center"/>
          </w:tcPr>
          <w:p w14:paraId="31A1971D"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Domaine réglementé</w:t>
            </w:r>
          </w:p>
        </w:tc>
        <w:tc>
          <w:tcPr>
            <w:tcW w:w="1681" w:type="pct"/>
            <w:shd w:val="clear" w:color="auto" w:fill="1F3864" w:themeFill="accent5" w:themeFillShade="80"/>
            <w:vAlign w:val="center"/>
          </w:tcPr>
          <w:p w14:paraId="1F2F0AD4"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Pertinence pour le projet</w:t>
            </w:r>
          </w:p>
        </w:tc>
      </w:tr>
      <w:tr w:rsidR="008E4D64" w:rsidRPr="00E01239" w14:paraId="2368F410" w14:textId="77777777" w:rsidTr="00202CE9">
        <w:trPr>
          <w:trHeight w:val="1612"/>
          <w:jc w:val="center"/>
        </w:trPr>
        <w:tc>
          <w:tcPr>
            <w:tcW w:w="1384" w:type="pct"/>
            <w:shd w:val="clear" w:color="auto" w:fill="auto"/>
            <w:vAlign w:val="center"/>
          </w:tcPr>
          <w:p w14:paraId="43EBDCF7" w14:textId="77777777" w:rsidR="008E4D64" w:rsidRPr="00E01239" w:rsidRDefault="008E4D64" w:rsidP="00F43E8A">
            <w:pPr>
              <w:jc w:val="both"/>
              <w:rPr>
                <w:rFonts w:asciiTheme="minorHAnsi" w:hAnsiTheme="minorHAnsi" w:cstheme="minorHAnsi"/>
                <w:b/>
                <w:bCs/>
                <w:sz w:val="20"/>
                <w:szCs w:val="20"/>
              </w:rPr>
            </w:pPr>
            <w:r w:rsidRPr="00E01239">
              <w:rPr>
                <w:rFonts w:asciiTheme="minorHAnsi" w:hAnsiTheme="minorHAnsi" w:cstheme="minorHAnsi"/>
                <w:bCs/>
                <w:sz w:val="20"/>
                <w:szCs w:val="20"/>
              </w:rPr>
              <w:t>Arrêté n°009468 de la 28 novembre 2001, portant réglementation de la participation du public à l’étude d’impact environnemental ;</w:t>
            </w:r>
          </w:p>
        </w:tc>
        <w:tc>
          <w:tcPr>
            <w:tcW w:w="1935" w:type="pct"/>
            <w:shd w:val="clear" w:color="auto" w:fill="auto"/>
            <w:vAlign w:val="center"/>
          </w:tcPr>
          <w:p w14:paraId="4A88D795" w14:textId="77777777" w:rsidR="008E4D64" w:rsidRPr="00E01239" w:rsidRDefault="008E4D64" w:rsidP="00F43E8A">
            <w:p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 xml:space="preserve">La participation est un élément constitutif de l’EIE. L’arrêté fixe la procédure. Elle intervient à toutes les étapes de l’EIE. Elle comprend une audience publique qui consiste à </w:t>
            </w:r>
            <w:r w:rsidRPr="00E01239">
              <w:rPr>
                <w:rFonts w:asciiTheme="minorHAnsi" w:eastAsia="Calibri" w:hAnsiTheme="minorHAnsi" w:cstheme="minorHAnsi"/>
                <w:sz w:val="20"/>
                <w:szCs w:val="20"/>
              </w:rPr>
              <w:t>présenter la synthèse du rapport de l’EIE et à recueillir de la part des acteurs locaux leurs avis, observations et amendements.</w:t>
            </w:r>
          </w:p>
        </w:tc>
        <w:tc>
          <w:tcPr>
            <w:tcW w:w="1681" w:type="pct"/>
            <w:shd w:val="clear" w:color="auto" w:fill="auto"/>
            <w:vAlign w:val="center"/>
          </w:tcPr>
          <w:p w14:paraId="7EC33F86" w14:textId="77777777" w:rsidR="008E4D64" w:rsidRPr="00E01239" w:rsidRDefault="008E4D64" w:rsidP="00F43E8A">
            <w:pPr>
              <w:jc w:val="both"/>
              <w:rPr>
                <w:rFonts w:asciiTheme="minorHAnsi" w:hAnsiTheme="minorHAnsi" w:cstheme="minorHAnsi"/>
                <w:sz w:val="20"/>
                <w:szCs w:val="20"/>
              </w:rPr>
            </w:pPr>
            <w:r w:rsidRPr="00E01239">
              <w:rPr>
                <w:rFonts w:asciiTheme="minorHAnsi" w:hAnsiTheme="minorHAnsi" w:cstheme="minorHAnsi"/>
                <w:sz w:val="20"/>
                <w:szCs w:val="20"/>
              </w:rPr>
              <w:t>Les UCP/FSRP-SN doivent se conformer à cet arrêté pour assurer la participation du public lors de la réalisation des différents instruments de sauvegarde. L’information du public est à la charge du promoteur du projet.</w:t>
            </w:r>
          </w:p>
        </w:tc>
      </w:tr>
      <w:tr w:rsidR="008E4D64" w:rsidRPr="00E01239" w14:paraId="0FF7B464" w14:textId="77777777" w:rsidTr="00202CE9">
        <w:trPr>
          <w:trHeight w:val="1389"/>
          <w:jc w:val="center"/>
        </w:trPr>
        <w:tc>
          <w:tcPr>
            <w:tcW w:w="1384" w:type="pct"/>
            <w:shd w:val="clear" w:color="auto" w:fill="auto"/>
            <w:vAlign w:val="center"/>
          </w:tcPr>
          <w:p w14:paraId="0C67D15F" w14:textId="77777777" w:rsidR="008E4D64" w:rsidRPr="00E01239" w:rsidRDefault="008E4D64" w:rsidP="00F43E8A">
            <w:pPr>
              <w:jc w:val="both"/>
              <w:rPr>
                <w:rFonts w:asciiTheme="minorHAnsi" w:hAnsiTheme="minorHAnsi" w:cstheme="minorHAnsi"/>
                <w:b/>
                <w:bCs/>
                <w:sz w:val="20"/>
                <w:szCs w:val="20"/>
              </w:rPr>
            </w:pPr>
            <w:r w:rsidRPr="00E01239">
              <w:rPr>
                <w:rFonts w:asciiTheme="minorHAnsi" w:hAnsiTheme="minorHAnsi" w:cstheme="minorHAnsi"/>
                <w:bCs/>
                <w:sz w:val="20"/>
                <w:szCs w:val="20"/>
              </w:rPr>
              <w:t>Arrêté n°009469 du 28 novembre 2001 portant organisation et fonctionnement du comité technique.</w:t>
            </w:r>
          </w:p>
        </w:tc>
        <w:tc>
          <w:tcPr>
            <w:tcW w:w="1935" w:type="pct"/>
            <w:shd w:val="clear" w:color="auto" w:fill="auto"/>
            <w:vAlign w:val="center"/>
          </w:tcPr>
          <w:p w14:paraId="05D7EEE6" w14:textId="77777777" w:rsidR="008E4D64" w:rsidRPr="00E01239" w:rsidRDefault="008E4D64" w:rsidP="00F43E8A">
            <w:pPr>
              <w:shd w:val="clear" w:color="auto" w:fill="FFFFFF"/>
              <w:ind w:right="120"/>
              <w:jc w:val="both"/>
              <w:rPr>
                <w:rFonts w:asciiTheme="minorHAnsi" w:hAnsiTheme="minorHAnsi" w:cstheme="minorHAnsi"/>
                <w:sz w:val="20"/>
                <w:szCs w:val="20"/>
              </w:rPr>
            </w:pPr>
            <w:r w:rsidRPr="00E01239">
              <w:rPr>
                <w:rFonts w:asciiTheme="minorHAnsi" w:hAnsiTheme="minorHAnsi" w:cstheme="minorHAnsi"/>
                <w:sz w:val="20"/>
                <w:szCs w:val="20"/>
              </w:rPr>
              <w:t>Le Comité technique est une unité d’administration et de gestion de l’étude d’impact environnemental. Il appuie le Ministère chargé de l’Environnement dans la validation du rapport de l’EIE. Son secrétariat est assuré par la DEEC. Il est présidé par le département dont les activités sont analysées selon le cas.</w:t>
            </w:r>
          </w:p>
        </w:tc>
        <w:tc>
          <w:tcPr>
            <w:tcW w:w="1681" w:type="pct"/>
            <w:shd w:val="clear" w:color="auto" w:fill="auto"/>
            <w:vAlign w:val="center"/>
          </w:tcPr>
          <w:p w14:paraId="47F4A8AC" w14:textId="77777777" w:rsidR="008E4D64" w:rsidRPr="00E01239" w:rsidRDefault="008E4D64" w:rsidP="00F43E8A">
            <w:pPr>
              <w:jc w:val="both"/>
              <w:rPr>
                <w:rFonts w:asciiTheme="minorHAnsi" w:hAnsiTheme="minorHAnsi" w:cstheme="minorHAnsi"/>
                <w:sz w:val="20"/>
                <w:szCs w:val="20"/>
              </w:rPr>
            </w:pPr>
            <w:r w:rsidRPr="00E01239">
              <w:rPr>
                <w:rFonts w:asciiTheme="minorHAnsi" w:hAnsiTheme="minorHAnsi" w:cstheme="minorHAnsi"/>
                <w:sz w:val="20"/>
                <w:szCs w:val="20"/>
              </w:rPr>
              <w:t>Les UCP/FSRP-SN</w:t>
            </w:r>
            <w:r w:rsidRPr="00E01239" w:rsidDel="00E70B37">
              <w:rPr>
                <w:rFonts w:asciiTheme="minorHAnsi" w:hAnsiTheme="minorHAnsi" w:cstheme="minorHAnsi"/>
                <w:sz w:val="20"/>
                <w:szCs w:val="20"/>
              </w:rPr>
              <w:t xml:space="preserve"> </w:t>
            </w:r>
            <w:r w:rsidRPr="00E01239">
              <w:rPr>
                <w:rFonts w:asciiTheme="minorHAnsi" w:hAnsiTheme="minorHAnsi" w:cstheme="minorHAnsi"/>
                <w:sz w:val="20"/>
                <w:szCs w:val="20"/>
              </w:rPr>
              <w:t>sont concernées par cet arrêté qui fixe les modalités de fonctionnement du comité technique chargé de l’approbation des évaluations environnementales et sociales.</w:t>
            </w:r>
          </w:p>
        </w:tc>
      </w:tr>
      <w:tr w:rsidR="008E4D64" w:rsidRPr="00E01239" w14:paraId="08F9D1C9" w14:textId="77777777" w:rsidTr="00F43E8A">
        <w:trPr>
          <w:trHeight w:val="1842"/>
          <w:jc w:val="center"/>
        </w:trPr>
        <w:tc>
          <w:tcPr>
            <w:tcW w:w="1384" w:type="pct"/>
            <w:shd w:val="clear" w:color="auto" w:fill="auto"/>
            <w:vAlign w:val="center"/>
          </w:tcPr>
          <w:p w14:paraId="2CD01501" w14:textId="77777777" w:rsidR="008E4D64" w:rsidRPr="00E01239" w:rsidRDefault="008E4D64" w:rsidP="00F43E8A">
            <w:pPr>
              <w:jc w:val="both"/>
              <w:rPr>
                <w:rFonts w:asciiTheme="minorHAnsi" w:hAnsiTheme="minorHAnsi" w:cstheme="minorHAnsi"/>
                <w:b/>
                <w:bCs/>
                <w:sz w:val="20"/>
                <w:szCs w:val="20"/>
              </w:rPr>
            </w:pPr>
            <w:r w:rsidRPr="00E01239">
              <w:rPr>
                <w:rFonts w:asciiTheme="minorHAnsi" w:hAnsiTheme="minorHAnsi" w:cstheme="minorHAnsi"/>
                <w:bCs/>
                <w:sz w:val="20"/>
                <w:szCs w:val="20"/>
              </w:rPr>
              <w:t>Arrêté n°009470 du 28 novembre 2001 portant sur les conditions de délivrance de l’Agrément pour l’exercice de activités relatives aux études d’impact environnementaux ;</w:t>
            </w:r>
          </w:p>
        </w:tc>
        <w:tc>
          <w:tcPr>
            <w:tcW w:w="1935" w:type="pct"/>
            <w:shd w:val="clear" w:color="auto" w:fill="auto"/>
            <w:vAlign w:val="center"/>
          </w:tcPr>
          <w:p w14:paraId="45C29570" w14:textId="77777777" w:rsidR="008E4D64" w:rsidRPr="00E01239" w:rsidRDefault="008E4D64" w:rsidP="00F43E8A">
            <w:pPr>
              <w:shd w:val="clear" w:color="auto" w:fill="FFFFFF"/>
              <w:ind w:right="120"/>
              <w:rPr>
                <w:rFonts w:asciiTheme="minorHAnsi" w:hAnsiTheme="minorHAnsi" w:cstheme="minorHAnsi"/>
                <w:sz w:val="20"/>
                <w:szCs w:val="20"/>
              </w:rPr>
            </w:pPr>
            <w:r w:rsidRPr="00E01239">
              <w:rPr>
                <w:rFonts w:asciiTheme="minorHAnsi" w:hAnsiTheme="minorHAnsi" w:cstheme="minorHAnsi"/>
                <w:sz w:val="20"/>
                <w:szCs w:val="20"/>
              </w:rPr>
              <w:t>L’agrément à l’exercice des activités relatives aux EIE peut être accordé à toute personne physique ou morale de nationalité sénégalaise ou non.</w:t>
            </w:r>
          </w:p>
          <w:p w14:paraId="54EBCDDE" w14:textId="77777777" w:rsidR="008E4D64" w:rsidRPr="00E01239" w:rsidRDefault="008E4D64" w:rsidP="00F43E8A">
            <w:pPr>
              <w:rPr>
                <w:rFonts w:asciiTheme="minorHAnsi" w:hAnsiTheme="minorHAnsi" w:cstheme="minorHAnsi"/>
                <w:sz w:val="20"/>
                <w:szCs w:val="20"/>
              </w:rPr>
            </w:pPr>
            <w:r w:rsidRPr="00E01239">
              <w:rPr>
                <w:rFonts w:asciiTheme="minorHAnsi" w:hAnsiTheme="minorHAnsi" w:cstheme="minorHAnsi"/>
                <w:sz w:val="20"/>
                <w:szCs w:val="20"/>
              </w:rPr>
              <w:t xml:space="preserve">L’arrêté fixe les conditions de d’octroi et de retrait de l’agrément. </w:t>
            </w:r>
          </w:p>
        </w:tc>
        <w:tc>
          <w:tcPr>
            <w:tcW w:w="1681" w:type="pct"/>
            <w:shd w:val="clear" w:color="auto" w:fill="auto"/>
            <w:vAlign w:val="center"/>
          </w:tcPr>
          <w:p w14:paraId="754591DD" w14:textId="4619316F" w:rsidR="008E4D64" w:rsidRPr="00E01239" w:rsidRDefault="008E4D64" w:rsidP="00F43E8A">
            <w:pPr>
              <w:rPr>
                <w:rFonts w:asciiTheme="minorHAnsi" w:hAnsiTheme="minorHAnsi" w:cstheme="minorHAnsi"/>
                <w:sz w:val="20"/>
                <w:szCs w:val="20"/>
              </w:rPr>
            </w:pPr>
            <w:r w:rsidRPr="00E01239">
              <w:rPr>
                <w:rFonts w:asciiTheme="minorHAnsi" w:hAnsiTheme="minorHAnsi" w:cstheme="minorHAnsi"/>
                <w:sz w:val="20"/>
                <w:szCs w:val="20"/>
              </w:rPr>
              <w:t>Les UCP/FSRP-SN</w:t>
            </w:r>
            <w:r w:rsidRPr="00E01239" w:rsidDel="00E70B37">
              <w:rPr>
                <w:rFonts w:asciiTheme="minorHAnsi" w:hAnsiTheme="minorHAnsi" w:cstheme="minorHAnsi"/>
                <w:sz w:val="20"/>
                <w:szCs w:val="20"/>
              </w:rPr>
              <w:t xml:space="preserve"> </w:t>
            </w:r>
            <w:r w:rsidRPr="00E01239">
              <w:rPr>
                <w:rFonts w:asciiTheme="minorHAnsi" w:hAnsiTheme="minorHAnsi" w:cstheme="minorHAnsi"/>
                <w:sz w:val="20"/>
                <w:szCs w:val="20"/>
              </w:rPr>
              <w:t xml:space="preserve">devront contracter avec un consultant agréé pour la réalisation des évaluations environnementales </w:t>
            </w:r>
            <w:r w:rsidR="00DE099B">
              <w:rPr>
                <w:rFonts w:asciiTheme="minorHAnsi" w:hAnsiTheme="minorHAnsi" w:cstheme="minorHAnsi"/>
                <w:sz w:val="20"/>
                <w:szCs w:val="20"/>
              </w:rPr>
              <w:t xml:space="preserve">et sociales </w:t>
            </w:r>
            <w:r w:rsidRPr="00E01239">
              <w:rPr>
                <w:rFonts w:asciiTheme="minorHAnsi" w:hAnsiTheme="minorHAnsi" w:cstheme="minorHAnsi"/>
                <w:sz w:val="20"/>
                <w:szCs w:val="20"/>
              </w:rPr>
              <w:t>des différents sous-projets.</w:t>
            </w:r>
          </w:p>
        </w:tc>
      </w:tr>
      <w:tr w:rsidR="008E4D64" w:rsidRPr="00E01239" w14:paraId="0B5B75B1" w14:textId="77777777" w:rsidTr="00202CE9">
        <w:trPr>
          <w:trHeight w:val="613"/>
          <w:jc w:val="center"/>
        </w:trPr>
        <w:tc>
          <w:tcPr>
            <w:tcW w:w="1384" w:type="pct"/>
            <w:shd w:val="clear" w:color="auto" w:fill="auto"/>
            <w:vAlign w:val="center"/>
          </w:tcPr>
          <w:p w14:paraId="72F1C14A" w14:textId="77777777" w:rsidR="008E4D64" w:rsidRPr="00E01239" w:rsidRDefault="008E4D64" w:rsidP="00F43E8A">
            <w:pPr>
              <w:jc w:val="both"/>
              <w:rPr>
                <w:rFonts w:asciiTheme="minorHAnsi" w:hAnsiTheme="minorHAnsi" w:cstheme="minorHAnsi"/>
                <w:b/>
                <w:bCs/>
                <w:sz w:val="20"/>
                <w:szCs w:val="20"/>
              </w:rPr>
            </w:pPr>
            <w:r w:rsidRPr="00E01239">
              <w:rPr>
                <w:rFonts w:asciiTheme="minorHAnsi" w:hAnsiTheme="minorHAnsi" w:cstheme="minorHAnsi"/>
                <w:bCs/>
                <w:sz w:val="20"/>
                <w:szCs w:val="20"/>
              </w:rPr>
              <w:t>Arrêté n°009471 du 28 novembre 2001 portant contenu des termes de référence des EIE ;</w:t>
            </w:r>
          </w:p>
        </w:tc>
        <w:tc>
          <w:tcPr>
            <w:tcW w:w="1935" w:type="pct"/>
            <w:shd w:val="clear" w:color="auto" w:fill="auto"/>
            <w:vAlign w:val="center"/>
          </w:tcPr>
          <w:p w14:paraId="3F9139B5" w14:textId="77777777" w:rsidR="008E4D64" w:rsidRPr="00E01239" w:rsidRDefault="008E4D64" w:rsidP="00F43E8A">
            <w:pPr>
              <w:rPr>
                <w:rFonts w:asciiTheme="minorHAnsi" w:hAnsiTheme="minorHAnsi" w:cstheme="minorHAnsi"/>
                <w:sz w:val="20"/>
                <w:szCs w:val="20"/>
              </w:rPr>
            </w:pPr>
            <w:r w:rsidRPr="00E01239">
              <w:rPr>
                <w:rFonts w:asciiTheme="minorHAnsi" w:hAnsiTheme="minorHAnsi" w:cstheme="minorHAnsi"/>
                <w:sz w:val="20"/>
                <w:szCs w:val="20"/>
              </w:rPr>
              <w:t xml:space="preserve">L’arrêté fixe le contenu obligatoire des TDR d’une EIE. </w:t>
            </w:r>
          </w:p>
        </w:tc>
        <w:tc>
          <w:tcPr>
            <w:tcW w:w="1681" w:type="pct"/>
            <w:shd w:val="clear" w:color="auto" w:fill="auto"/>
            <w:vAlign w:val="center"/>
          </w:tcPr>
          <w:p w14:paraId="415F981D" w14:textId="77777777" w:rsidR="008E4D64" w:rsidRPr="00E01239" w:rsidRDefault="008E4D64" w:rsidP="00F43E8A">
            <w:pPr>
              <w:rPr>
                <w:rFonts w:asciiTheme="minorHAnsi" w:hAnsiTheme="minorHAnsi" w:cstheme="minorHAnsi"/>
                <w:sz w:val="20"/>
                <w:szCs w:val="20"/>
              </w:rPr>
            </w:pPr>
            <w:r w:rsidRPr="00E01239">
              <w:rPr>
                <w:rFonts w:asciiTheme="minorHAnsi" w:hAnsiTheme="minorHAnsi" w:cstheme="minorHAnsi"/>
                <w:sz w:val="20"/>
                <w:szCs w:val="20"/>
              </w:rPr>
              <w:t>Les UCP/FSRP-SN doivent, pour élaborer le projet de TDR des EIE, respecter les dispositions de l’arrêté.</w:t>
            </w:r>
          </w:p>
        </w:tc>
      </w:tr>
      <w:tr w:rsidR="008E4D64" w:rsidRPr="00E01239" w14:paraId="12A1CFCB" w14:textId="77777777" w:rsidTr="00F43E8A">
        <w:trPr>
          <w:trHeight w:val="1838"/>
          <w:jc w:val="center"/>
        </w:trPr>
        <w:tc>
          <w:tcPr>
            <w:tcW w:w="1384" w:type="pct"/>
            <w:shd w:val="clear" w:color="auto" w:fill="auto"/>
            <w:vAlign w:val="center"/>
          </w:tcPr>
          <w:p w14:paraId="4EBEC305" w14:textId="77777777" w:rsidR="008E4D64" w:rsidRPr="00E01239" w:rsidRDefault="008E4D64" w:rsidP="00F43E8A">
            <w:pPr>
              <w:jc w:val="both"/>
              <w:rPr>
                <w:rFonts w:asciiTheme="minorHAnsi" w:hAnsiTheme="minorHAnsi" w:cstheme="minorHAnsi"/>
                <w:b/>
                <w:bCs/>
                <w:sz w:val="20"/>
                <w:szCs w:val="20"/>
              </w:rPr>
            </w:pPr>
            <w:r w:rsidRPr="00E01239">
              <w:rPr>
                <w:rFonts w:asciiTheme="minorHAnsi" w:hAnsiTheme="minorHAnsi" w:cstheme="minorHAnsi"/>
                <w:bCs/>
                <w:sz w:val="20"/>
                <w:szCs w:val="20"/>
              </w:rPr>
              <w:t>Arrêté n°009472 du 28 novembre 2001 portant contenu du rapport de l’EIE </w:t>
            </w:r>
          </w:p>
        </w:tc>
        <w:tc>
          <w:tcPr>
            <w:tcW w:w="1935" w:type="pct"/>
            <w:shd w:val="clear" w:color="auto" w:fill="auto"/>
            <w:vAlign w:val="center"/>
          </w:tcPr>
          <w:p w14:paraId="074C67BE" w14:textId="77777777" w:rsidR="008E4D64" w:rsidRPr="00E01239" w:rsidRDefault="008E4D64" w:rsidP="00F43E8A">
            <w:pPr>
              <w:rPr>
                <w:rFonts w:asciiTheme="minorHAnsi" w:hAnsiTheme="minorHAnsi" w:cstheme="minorHAnsi"/>
                <w:sz w:val="20"/>
                <w:szCs w:val="20"/>
              </w:rPr>
            </w:pPr>
            <w:r w:rsidRPr="00E01239">
              <w:rPr>
                <w:rFonts w:asciiTheme="minorHAnsi" w:hAnsiTheme="minorHAnsi" w:cstheme="minorHAnsi"/>
                <w:sz w:val="20"/>
                <w:szCs w:val="20"/>
              </w:rPr>
              <w:t xml:space="preserve">L’arrêté fixe le contenu obligatoire du rapport d’EIE. </w:t>
            </w:r>
            <w:r w:rsidRPr="00E01239">
              <w:rPr>
                <w:rFonts w:asciiTheme="minorHAnsi" w:eastAsia="Calibri" w:hAnsiTheme="minorHAnsi" w:cstheme="minorHAnsi"/>
                <w:sz w:val="20"/>
                <w:szCs w:val="20"/>
              </w:rPr>
              <w:t>Tout rapport d’une étude d’impact environnemental qui ne satisfait pas cette exigence, sera déclaré irrecevable et la décision sera</w:t>
            </w:r>
            <w:r w:rsidRPr="00E01239">
              <w:rPr>
                <w:rFonts w:asciiTheme="minorHAnsi" w:hAnsiTheme="minorHAnsi" w:cstheme="minorHAnsi"/>
                <w:sz w:val="20"/>
                <w:szCs w:val="20"/>
              </w:rPr>
              <w:t xml:space="preserve"> </w:t>
            </w:r>
            <w:r w:rsidRPr="00E01239">
              <w:rPr>
                <w:rFonts w:asciiTheme="minorHAnsi" w:eastAsia="Calibri" w:hAnsiTheme="minorHAnsi" w:cstheme="minorHAnsi"/>
                <w:sz w:val="20"/>
                <w:szCs w:val="20"/>
              </w:rPr>
              <w:t>notifiée au promoteur pour qu’il se conforme aux dispositions prévues par l’arrêté.</w:t>
            </w:r>
          </w:p>
        </w:tc>
        <w:tc>
          <w:tcPr>
            <w:tcW w:w="1681" w:type="pct"/>
            <w:shd w:val="clear" w:color="auto" w:fill="auto"/>
            <w:vAlign w:val="center"/>
          </w:tcPr>
          <w:p w14:paraId="19349E18" w14:textId="77777777" w:rsidR="008E4D64" w:rsidRPr="00E01239" w:rsidRDefault="008E4D64" w:rsidP="00F43E8A">
            <w:pPr>
              <w:rPr>
                <w:rFonts w:asciiTheme="minorHAnsi" w:hAnsiTheme="minorHAnsi" w:cstheme="minorHAnsi"/>
                <w:sz w:val="20"/>
                <w:szCs w:val="20"/>
              </w:rPr>
            </w:pPr>
            <w:r w:rsidRPr="00E01239">
              <w:rPr>
                <w:rFonts w:asciiTheme="minorHAnsi" w:hAnsiTheme="minorHAnsi" w:cstheme="minorHAnsi"/>
                <w:sz w:val="20"/>
                <w:szCs w:val="20"/>
              </w:rPr>
              <w:t>Les UCP/FSRP-SN doivent vérifier que le rapport provisoire d’EIE qu’il transmet au comité technique remplit les exigences définies par l’arrêté.</w:t>
            </w:r>
          </w:p>
        </w:tc>
      </w:tr>
    </w:tbl>
    <w:p w14:paraId="6B4BC2F1" w14:textId="63663FFF"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Ces dispositions relatives aux évaluations environnementales ont fait l’objet de circulaires </w:t>
      </w:r>
      <w:proofErr w:type="spellStart"/>
      <w:r w:rsidRPr="00E01239">
        <w:rPr>
          <w:rFonts w:asciiTheme="minorHAnsi" w:hAnsiTheme="minorHAnsi" w:cstheme="minorHAnsi"/>
          <w:sz w:val="22"/>
          <w:szCs w:val="22"/>
        </w:rPr>
        <w:t>primatoriales</w:t>
      </w:r>
      <w:proofErr w:type="spellEnd"/>
      <w:r w:rsidRPr="00E01239">
        <w:rPr>
          <w:rFonts w:asciiTheme="minorHAnsi" w:hAnsiTheme="minorHAnsi" w:cstheme="minorHAnsi"/>
          <w:sz w:val="22"/>
          <w:szCs w:val="22"/>
        </w:rPr>
        <w:t xml:space="preserve"> adressées à l’administration centrale et déconcentrée pour les exhorter à veiller à leur application scrupuleuse. Sur la base des textes précités et de la pratique de la DEEC, les différentes étapes de la procédure sénégalaise d’EIE sont les suivantes : revue et classification du projet ; proposition de Termes de Référence (</w:t>
      </w:r>
      <w:proofErr w:type="spellStart"/>
      <w:r w:rsidRPr="00E01239">
        <w:rPr>
          <w:rFonts w:asciiTheme="minorHAnsi" w:hAnsiTheme="minorHAnsi" w:cstheme="minorHAnsi"/>
          <w:sz w:val="22"/>
          <w:szCs w:val="22"/>
        </w:rPr>
        <w:t>Td</w:t>
      </w:r>
      <w:r w:rsidR="00620B6D" w:rsidRPr="00E01239">
        <w:rPr>
          <w:rFonts w:asciiTheme="minorHAnsi" w:hAnsiTheme="minorHAnsi" w:cstheme="minorHAnsi"/>
          <w:sz w:val="22"/>
          <w:szCs w:val="22"/>
        </w:rPr>
        <w:t>R</w:t>
      </w:r>
      <w:r w:rsidR="00946293" w:rsidRPr="00E01239">
        <w:rPr>
          <w:rFonts w:asciiTheme="minorHAnsi" w:hAnsiTheme="minorHAnsi" w:cstheme="minorHAnsi"/>
          <w:sz w:val="22"/>
          <w:szCs w:val="22"/>
        </w:rPr>
        <w:t>s</w:t>
      </w:r>
      <w:proofErr w:type="spellEnd"/>
      <w:r w:rsidRPr="00E01239">
        <w:rPr>
          <w:rFonts w:asciiTheme="minorHAnsi" w:hAnsiTheme="minorHAnsi" w:cstheme="minorHAnsi"/>
          <w:sz w:val="22"/>
          <w:szCs w:val="22"/>
        </w:rPr>
        <w:t xml:space="preserve">) par le Promoteur, validée par la DEEC ; établissement d'un rapport d’EIE par un Consultant agréé ; examen du rapport par le Comité technique ; tenue d’une audience publique; préparation d’un avis par le Comité technique au Ministre chargé de </w:t>
      </w:r>
      <w:r w:rsidRPr="00E01239">
        <w:rPr>
          <w:rFonts w:asciiTheme="minorHAnsi" w:hAnsiTheme="minorHAnsi" w:cstheme="minorHAnsi"/>
          <w:sz w:val="22"/>
          <w:szCs w:val="22"/>
        </w:rPr>
        <w:lastRenderedPageBreak/>
        <w:t xml:space="preserve">l’environnement ; décision du Ministre chargé de l’Environnement pour l’octroi ou non du certificat de conformité environnementale. </w:t>
      </w:r>
    </w:p>
    <w:p w14:paraId="548286AB" w14:textId="77777777" w:rsidR="008E4D64" w:rsidRPr="00E01239" w:rsidRDefault="008E4D64" w:rsidP="00202CE9">
      <w:pPr>
        <w:jc w:val="both"/>
        <w:rPr>
          <w:rFonts w:asciiTheme="minorHAnsi" w:hAnsiTheme="minorHAnsi" w:cstheme="minorHAnsi"/>
          <w:sz w:val="22"/>
          <w:szCs w:val="22"/>
        </w:rPr>
      </w:pPr>
    </w:p>
    <w:p w14:paraId="2E753659" w14:textId="5DEF6D30" w:rsidR="008E4D64" w:rsidRPr="00E01239" w:rsidRDefault="4634C995" w:rsidP="7CB1727A">
      <w:pPr>
        <w:pStyle w:val="Titre3"/>
        <w:numPr>
          <w:ilvl w:val="2"/>
          <w:numId w:val="0"/>
        </w:numPr>
        <w:ind w:left="1342"/>
        <w:rPr>
          <w:rFonts w:asciiTheme="minorHAnsi" w:hAnsiTheme="minorHAnsi" w:cstheme="minorBidi"/>
        </w:rPr>
      </w:pPr>
      <w:bookmarkStart w:id="135" w:name="_Toc43107400"/>
      <w:bookmarkStart w:id="136" w:name="_Toc63285549"/>
      <w:bookmarkStart w:id="137" w:name="_Toc144654063"/>
      <w:r w:rsidRPr="00E01239">
        <w:rPr>
          <w:rFonts w:asciiTheme="minorHAnsi" w:hAnsiTheme="minorHAnsi" w:cstheme="minorBidi"/>
        </w:rPr>
        <w:t xml:space="preserve">4.2.2 </w:t>
      </w:r>
      <w:r w:rsidR="21A48B5C" w:rsidRPr="00E01239">
        <w:rPr>
          <w:rFonts w:asciiTheme="minorHAnsi" w:hAnsiTheme="minorHAnsi" w:cstheme="minorBidi"/>
        </w:rPr>
        <w:t>Dispositions légales et réglementaires régissant les conditions de travail</w:t>
      </w:r>
      <w:bookmarkEnd w:id="135"/>
      <w:bookmarkEnd w:id="136"/>
      <w:bookmarkEnd w:id="137"/>
    </w:p>
    <w:p w14:paraId="61B2C135"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loi n°97-17 du 1er décembre 1997 portant Code du travail ainsi que le décret n° 2006-1249 du 15 novembre 2006 fixant les prescriptions minimales de sécurité et de santé pour les chantiers temporaires ou mobiles sont les principaux instruments régissant les rapports entre employeur et employé à prendre en compte dans le cadre du projet. Ils obligent les employeurs à respecter certaines dispositions relatives aux droits, à la santé et à la sécurité des travailleurs. Les articles L167 à 187 du Code traitent des conditions d’hygiène et de sécurité au travail, notamment des dispositions à prendre dans le cadre de l’entreprise par l’employeur pour assurer aux employés un cadre de travail sain, sure, et salubre. </w:t>
      </w:r>
    </w:p>
    <w:p w14:paraId="21AAF608" w14:textId="64B1F413"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dispositions du Code du travail applicables au FRSP-SN sont présentées dans le tableau </w:t>
      </w:r>
      <w:r w:rsidR="00046FFD" w:rsidRPr="00E01239">
        <w:rPr>
          <w:rFonts w:asciiTheme="minorHAnsi" w:hAnsiTheme="minorHAnsi" w:cstheme="minorHAnsi"/>
          <w:sz w:val="22"/>
          <w:szCs w:val="22"/>
        </w:rPr>
        <w:t xml:space="preserve">n°4 </w:t>
      </w:r>
      <w:proofErr w:type="gramStart"/>
      <w:r w:rsidRPr="00E01239">
        <w:rPr>
          <w:rFonts w:asciiTheme="minorHAnsi" w:hAnsiTheme="minorHAnsi" w:cstheme="minorHAnsi"/>
          <w:sz w:val="22"/>
          <w:szCs w:val="22"/>
        </w:rPr>
        <w:t>suivant</w:t>
      </w:r>
      <w:proofErr w:type="gramEnd"/>
      <w:r w:rsidR="00174F6A" w:rsidRPr="00E01239">
        <w:rPr>
          <w:rFonts w:asciiTheme="minorHAnsi" w:hAnsiTheme="minorHAnsi" w:cstheme="minorHAnsi"/>
          <w:sz w:val="22"/>
          <w:szCs w:val="22"/>
        </w:rPr>
        <w:t> :</w:t>
      </w:r>
    </w:p>
    <w:p w14:paraId="36AD5A56" w14:textId="77777777" w:rsidR="008E4D64" w:rsidRPr="00E01239" w:rsidRDefault="008E4D64" w:rsidP="00202CE9">
      <w:pPr>
        <w:spacing w:before="120" w:line="280" w:lineRule="exact"/>
        <w:jc w:val="both"/>
        <w:rPr>
          <w:rFonts w:asciiTheme="minorHAnsi" w:hAnsiTheme="minorHAnsi" w:cstheme="minorHAnsi"/>
          <w:sz w:val="22"/>
          <w:szCs w:val="22"/>
        </w:rPr>
        <w:sectPr w:rsidR="008E4D64" w:rsidRPr="00E01239" w:rsidSect="00F43E8A">
          <w:pgSz w:w="11907" w:h="16840" w:code="9"/>
          <w:pgMar w:top="1418" w:right="1418" w:bottom="1418" w:left="1418" w:header="720" w:footer="720" w:gutter="0"/>
          <w:cols w:space="60"/>
          <w:noEndnote/>
        </w:sectPr>
      </w:pPr>
    </w:p>
    <w:p w14:paraId="5510C9C8" w14:textId="555E7652" w:rsidR="008E4D64" w:rsidRPr="00E01239" w:rsidRDefault="00046FFD" w:rsidP="00A312BF">
      <w:pPr>
        <w:jc w:val="center"/>
        <w:rPr>
          <w:rFonts w:asciiTheme="minorHAnsi" w:hAnsiTheme="minorHAnsi" w:cstheme="minorHAnsi"/>
          <w:bCs/>
          <w:sz w:val="22"/>
          <w:szCs w:val="22"/>
        </w:rPr>
      </w:pPr>
      <w:bookmarkStart w:id="138" w:name="_Toc43107493"/>
      <w:bookmarkStart w:id="139" w:name="_Toc63281781"/>
      <w:bookmarkStart w:id="140" w:name="_Toc118549376"/>
      <w:bookmarkStart w:id="141" w:name="_Toc144654184"/>
      <w:r w:rsidRPr="00E01239">
        <w:rPr>
          <w:rFonts w:asciiTheme="minorHAnsi" w:hAnsiTheme="minorHAnsi" w:cstheme="minorHAnsi"/>
          <w:b/>
          <w:bCs/>
          <w:sz w:val="22"/>
          <w:szCs w:val="22"/>
        </w:rPr>
        <w:lastRenderedPageBreak/>
        <w:t xml:space="preserve">Tableau </w:t>
      </w:r>
      <w:r w:rsidRPr="00E01239">
        <w:rPr>
          <w:rFonts w:asciiTheme="minorHAnsi" w:hAnsiTheme="minorHAnsi" w:cstheme="minorHAnsi"/>
          <w:b/>
          <w:bCs/>
          <w:sz w:val="22"/>
          <w:szCs w:val="22"/>
        </w:rPr>
        <w:fldChar w:fldCharType="begin"/>
      </w:r>
      <w:r w:rsidRPr="00E01239">
        <w:rPr>
          <w:rFonts w:asciiTheme="minorHAnsi" w:hAnsiTheme="minorHAnsi" w:cstheme="minorHAnsi"/>
          <w:b/>
          <w:bCs/>
          <w:sz w:val="22"/>
          <w:szCs w:val="22"/>
        </w:rPr>
        <w:instrText xml:space="preserve"> SEQ Tableau \* ARABIC </w:instrText>
      </w:r>
      <w:r w:rsidRPr="00E01239">
        <w:rPr>
          <w:rFonts w:asciiTheme="minorHAnsi" w:hAnsiTheme="minorHAnsi" w:cstheme="minorHAnsi"/>
          <w:b/>
          <w:bCs/>
          <w:sz w:val="22"/>
          <w:szCs w:val="22"/>
        </w:rPr>
        <w:fldChar w:fldCharType="separate"/>
      </w:r>
      <w:r w:rsidR="005C3166">
        <w:rPr>
          <w:rFonts w:asciiTheme="minorHAnsi" w:hAnsiTheme="minorHAnsi" w:cstheme="minorHAnsi"/>
          <w:b/>
          <w:bCs/>
          <w:noProof/>
          <w:sz w:val="22"/>
          <w:szCs w:val="22"/>
        </w:rPr>
        <w:t>4</w:t>
      </w:r>
      <w:r w:rsidRPr="00E01239">
        <w:rPr>
          <w:rFonts w:asciiTheme="minorHAnsi" w:hAnsiTheme="minorHAnsi" w:cstheme="minorHAnsi"/>
          <w:b/>
          <w:bCs/>
          <w:sz w:val="22"/>
          <w:szCs w:val="22"/>
        </w:rPr>
        <w:fldChar w:fldCharType="end"/>
      </w:r>
      <w:r w:rsidRPr="00E01239">
        <w:rPr>
          <w:rFonts w:asciiTheme="minorHAnsi" w:hAnsiTheme="minorHAnsi" w:cstheme="minorHAnsi"/>
          <w:b/>
          <w:bCs/>
          <w:sz w:val="22"/>
          <w:szCs w:val="22"/>
        </w:rPr>
        <w:t>:</w:t>
      </w:r>
      <w:r w:rsidRPr="00E01239">
        <w:rPr>
          <w:rFonts w:asciiTheme="minorHAnsi" w:hAnsiTheme="minorHAnsi" w:cstheme="minorHAnsi"/>
          <w:sz w:val="22"/>
          <w:szCs w:val="22"/>
        </w:rPr>
        <w:t xml:space="preserve"> </w:t>
      </w:r>
      <w:r w:rsidR="008E4D64" w:rsidRPr="00E01239">
        <w:rPr>
          <w:rFonts w:asciiTheme="minorHAnsi" w:hAnsiTheme="minorHAnsi" w:cstheme="minorHAnsi"/>
          <w:b/>
          <w:sz w:val="22"/>
          <w:szCs w:val="22"/>
        </w:rPr>
        <w:t> </w:t>
      </w:r>
      <w:r w:rsidR="008E4D64" w:rsidRPr="00E01239">
        <w:rPr>
          <w:rFonts w:asciiTheme="minorHAnsi" w:hAnsiTheme="minorHAnsi" w:cstheme="minorHAnsi"/>
          <w:bCs/>
          <w:sz w:val="20"/>
          <w:szCs w:val="20"/>
        </w:rPr>
        <w:t>Principales dispositions du code du travail applicables au projet</w:t>
      </w:r>
      <w:bookmarkEnd w:id="138"/>
      <w:bookmarkEnd w:id="139"/>
      <w:bookmarkEnd w:id="140"/>
      <w:bookmarkEnd w:id="141"/>
    </w:p>
    <w:tbl>
      <w:tblPr>
        <w:tblW w:w="4892"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84"/>
        <w:gridCol w:w="1658"/>
        <w:gridCol w:w="7695"/>
        <w:gridCol w:w="2789"/>
      </w:tblGrid>
      <w:tr w:rsidR="008E4D64" w:rsidRPr="00E01239" w14:paraId="1C3FFA53" w14:textId="77777777" w:rsidTr="00202CE9">
        <w:trPr>
          <w:trHeight w:val="444"/>
          <w:tblHeader/>
          <w:jc w:val="center"/>
        </w:trPr>
        <w:tc>
          <w:tcPr>
            <w:tcW w:w="577" w:type="pct"/>
            <w:shd w:val="clear" w:color="auto" w:fill="1F3864" w:themeFill="accent5" w:themeFillShade="80"/>
            <w:vAlign w:val="center"/>
          </w:tcPr>
          <w:p w14:paraId="0019ECEE"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Thème</w:t>
            </w:r>
          </w:p>
        </w:tc>
        <w:tc>
          <w:tcPr>
            <w:tcW w:w="604" w:type="pct"/>
            <w:shd w:val="clear" w:color="auto" w:fill="1F3864" w:themeFill="accent5" w:themeFillShade="80"/>
            <w:vAlign w:val="center"/>
          </w:tcPr>
          <w:p w14:paraId="7DA30FD1"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Références</w:t>
            </w:r>
          </w:p>
        </w:tc>
        <w:tc>
          <w:tcPr>
            <w:tcW w:w="2803" w:type="pct"/>
            <w:shd w:val="clear" w:color="auto" w:fill="1F3864" w:themeFill="accent5" w:themeFillShade="80"/>
            <w:vAlign w:val="center"/>
          </w:tcPr>
          <w:p w14:paraId="73A2CF51"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Domaine réglementé</w:t>
            </w:r>
          </w:p>
        </w:tc>
        <w:tc>
          <w:tcPr>
            <w:tcW w:w="1017" w:type="pct"/>
            <w:shd w:val="clear" w:color="auto" w:fill="1F3864" w:themeFill="accent5" w:themeFillShade="80"/>
            <w:vAlign w:val="center"/>
          </w:tcPr>
          <w:p w14:paraId="47F850C9"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Pertinence pour le Projet</w:t>
            </w:r>
          </w:p>
        </w:tc>
      </w:tr>
      <w:tr w:rsidR="008E4D64" w:rsidRPr="00E01239" w14:paraId="0F2F04D5" w14:textId="77777777" w:rsidTr="00F43E8A">
        <w:trPr>
          <w:trHeight w:val="1398"/>
          <w:jc w:val="center"/>
        </w:trPr>
        <w:tc>
          <w:tcPr>
            <w:tcW w:w="577" w:type="pct"/>
            <w:shd w:val="clear" w:color="auto" w:fill="auto"/>
            <w:vAlign w:val="center"/>
          </w:tcPr>
          <w:p w14:paraId="5D730AAE" w14:textId="77777777" w:rsidR="008E4D64" w:rsidRPr="00E01239" w:rsidRDefault="008E4D64" w:rsidP="00F43E8A">
            <w:pPr>
              <w:autoSpaceDE w:val="0"/>
              <w:autoSpaceDN w:val="0"/>
              <w:adjustRightInd w:val="0"/>
              <w:jc w:val="center"/>
              <w:rPr>
                <w:rFonts w:asciiTheme="minorHAnsi" w:hAnsiTheme="minorHAnsi" w:cstheme="minorHAnsi"/>
                <w:b/>
                <w:bCs/>
                <w:sz w:val="20"/>
                <w:szCs w:val="20"/>
              </w:rPr>
            </w:pPr>
            <w:r w:rsidRPr="00E01239">
              <w:rPr>
                <w:rFonts w:asciiTheme="minorHAnsi" w:hAnsiTheme="minorHAnsi" w:cstheme="minorHAnsi"/>
                <w:sz w:val="20"/>
                <w:szCs w:val="20"/>
              </w:rPr>
              <w:t>Hygiène et sécurité</w:t>
            </w:r>
          </w:p>
        </w:tc>
        <w:tc>
          <w:tcPr>
            <w:tcW w:w="604" w:type="pct"/>
            <w:shd w:val="clear" w:color="auto" w:fill="auto"/>
            <w:vAlign w:val="center"/>
          </w:tcPr>
          <w:p w14:paraId="216DAED2" w14:textId="77777777" w:rsidR="008E4D64" w:rsidRPr="00E01239" w:rsidRDefault="008E4D64" w:rsidP="00F43E8A">
            <w:pPr>
              <w:autoSpaceDE w:val="0"/>
              <w:autoSpaceDN w:val="0"/>
              <w:adjustRightInd w:val="0"/>
              <w:jc w:val="center"/>
              <w:rPr>
                <w:rFonts w:asciiTheme="minorHAnsi" w:hAnsiTheme="minorHAnsi" w:cstheme="minorHAnsi"/>
                <w:sz w:val="20"/>
                <w:szCs w:val="20"/>
              </w:rPr>
            </w:pPr>
            <w:r w:rsidRPr="00E01239">
              <w:rPr>
                <w:rFonts w:asciiTheme="minorHAnsi" w:hAnsiTheme="minorHAnsi" w:cstheme="minorHAnsi"/>
                <w:sz w:val="20"/>
                <w:szCs w:val="20"/>
              </w:rPr>
              <w:t>Article L 172</w:t>
            </w:r>
          </w:p>
        </w:tc>
        <w:tc>
          <w:tcPr>
            <w:tcW w:w="2803" w:type="pct"/>
            <w:shd w:val="clear" w:color="auto" w:fill="auto"/>
            <w:vAlign w:val="center"/>
          </w:tcPr>
          <w:p w14:paraId="07D88090" w14:textId="77777777" w:rsidR="008E4D64" w:rsidRPr="00E01239" w:rsidRDefault="008E4D64" w:rsidP="00F43E8A">
            <w:pPr>
              <w:autoSpaceDE w:val="0"/>
              <w:autoSpaceDN w:val="0"/>
              <w:adjustRightInd w:val="0"/>
              <w:rPr>
                <w:rFonts w:asciiTheme="minorHAnsi" w:hAnsiTheme="minorHAnsi" w:cstheme="minorHAnsi"/>
                <w:sz w:val="20"/>
                <w:szCs w:val="20"/>
              </w:rPr>
            </w:pPr>
            <w:r w:rsidRPr="00E01239">
              <w:rPr>
                <w:rFonts w:asciiTheme="minorHAnsi" w:hAnsiTheme="minorHAnsi" w:cstheme="minorHAnsi"/>
                <w:sz w:val="20"/>
                <w:szCs w:val="20"/>
              </w:rPr>
              <w:t>Lorsque les mesures prises ne sont pas suffisantes pour garantir la sécurité ou la santé des travailleurs, les mesures de protection individuelle contre les risques professionnels doivent être mises en œuvre. Lorsque ces mesures de protection individuelle requièrent l’utilisation, par le travailleur, d’un équipement approprié, ce dernier est fourni et entretenu par l’employeur. Dans ce cas, aucun travailleur ne doit être admis à son poste de travail sans son équipement de protection individuelle.</w:t>
            </w:r>
          </w:p>
        </w:tc>
        <w:tc>
          <w:tcPr>
            <w:tcW w:w="1017" w:type="pct"/>
            <w:shd w:val="clear" w:color="auto" w:fill="auto"/>
            <w:vAlign w:val="center"/>
          </w:tcPr>
          <w:p w14:paraId="17C8D8BA" w14:textId="77777777" w:rsidR="008E4D64" w:rsidRPr="00E01239" w:rsidRDefault="008E4D64" w:rsidP="00F43E8A">
            <w:pPr>
              <w:autoSpaceDE w:val="0"/>
              <w:autoSpaceDN w:val="0"/>
              <w:adjustRightInd w:val="0"/>
              <w:jc w:val="both"/>
              <w:rPr>
                <w:rFonts w:asciiTheme="minorHAnsi" w:hAnsiTheme="minorHAnsi" w:cstheme="minorHAnsi"/>
                <w:b/>
                <w:bCs/>
                <w:sz w:val="20"/>
                <w:szCs w:val="20"/>
              </w:rPr>
            </w:pPr>
            <w:r w:rsidRPr="00E01239">
              <w:rPr>
                <w:rFonts w:asciiTheme="minorHAnsi" w:hAnsiTheme="minorHAnsi" w:cstheme="minorHAnsi"/>
                <w:sz w:val="20"/>
                <w:szCs w:val="20"/>
              </w:rPr>
              <w:t>Cette disposition législative trouve toute sa pertinence en ce qu’elle définit le cadre sur lequel s’adosse le respect des mesures de protection individuelle des employés.</w:t>
            </w:r>
          </w:p>
        </w:tc>
      </w:tr>
      <w:tr w:rsidR="008E4D64" w:rsidRPr="00E01239" w14:paraId="391FB8C6" w14:textId="77777777" w:rsidTr="00F43E8A">
        <w:trPr>
          <w:trHeight w:val="1673"/>
          <w:jc w:val="center"/>
        </w:trPr>
        <w:tc>
          <w:tcPr>
            <w:tcW w:w="577" w:type="pct"/>
            <w:shd w:val="clear" w:color="auto" w:fill="auto"/>
            <w:vAlign w:val="center"/>
          </w:tcPr>
          <w:p w14:paraId="19D907C5" w14:textId="77777777" w:rsidR="008E4D64" w:rsidRPr="00E01239" w:rsidRDefault="008E4D64" w:rsidP="00F43E8A">
            <w:pPr>
              <w:autoSpaceDE w:val="0"/>
              <w:autoSpaceDN w:val="0"/>
              <w:adjustRightInd w:val="0"/>
              <w:jc w:val="center"/>
              <w:rPr>
                <w:rFonts w:asciiTheme="minorHAnsi" w:hAnsiTheme="minorHAnsi" w:cstheme="minorHAnsi"/>
                <w:b/>
                <w:bCs/>
                <w:sz w:val="20"/>
                <w:szCs w:val="20"/>
              </w:rPr>
            </w:pPr>
            <w:r w:rsidRPr="00E01239">
              <w:rPr>
                <w:rFonts w:asciiTheme="minorHAnsi" w:hAnsiTheme="minorHAnsi" w:cstheme="minorHAnsi"/>
                <w:sz w:val="20"/>
                <w:szCs w:val="20"/>
              </w:rPr>
              <w:t>Hygiène et sécurité</w:t>
            </w:r>
          </w:p>
        </w:tc>
        <w:tc>
          <w:tcPr>
            <w:tcW w:w="604" w:type="pct"/>
            <w:shd w:val="clear" w:color="auto" w:fill="auto"/>
            <w:vAlign w:val="center"/>
          </w:tcPr>
          <w:p w14:paraId="360BC05F" w14:textId="77777777" w:rsidR="008E4D64" w:rsidRPr="00E01239" w:rsidRDefault="008E4D64" w:rsidP="00F43E8A">
            <w:pPr>
              <w:autoSpaceDE w:val="0"/>
              <w:autoSpaceDN w:val="0"/>
              <w:adjustRightInd w:val="0"/>
              <w:jc w:val="center"/>
              <w:rPr>
                <w:rFonts w:asciiTheme="minorHAnsi" w:hAnsiTheme="minorHAnsi" w:cstheme="minorHAnsi"/>
                <w:sz w:val="20"/>
                <w:szCs w:val="20"/>
              </w:rPr>
            </w:pPr>
            <w:r w:rsidRPr="00E01239">
              <w:rPr>
                <w:rFonts w:asciiTheme="minorHAnsi" w:hAnsiTheme="minorHAnsi" w:cstheme="minorHAnsi"/>
                <w:sz w:val="20"/>
                <w:szCs w:val="20"/>
              </w:rPr>
              <w:t>Article L 176</w:t>
            </w:r>
          </w:p>
        </w:tc>
        <w:tc>
          <w:tcPr>
            <w:tcW w:w="2803" w:type="pct"/>
            <w:shd w:val="clear" w:color="auto" w:fill="auto"/>
            <w:vAlign w:val="center"/>
          </w:tcPr>
          <w:p w14:paraId="7BDFD200" w14:textId="77777777" w:rsidR="008E4D64" w:rsidRPr="00E01239" w:rsidRDefault="008E4D64" w:rsidP="00F43E8A">
            <w:p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 xml:space="preserve">L’état de santé des travailleurs doit être soumis à une surveillance régulière dans les conditions et suivant les modalités fixées par l’autorité administrative. Cette surveillance comporte un examen médical préalable à l’embauche et des examens périodiques. </w:t>
            </w:r>
          </w:p>
          <w:p w14:paraId="548853DE" w14:textId="77777777" w:rsidR="008E4D64" w:rsidRPr="00E01239" w:rsidRDefault="008E4D64" w:rsidP="00F43E8A">
            <w:p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 xml:space="preserve">La surveillance prévue au premier alinéa du présent article ne doit entraîner aucune dépense pour le travailleur intéressé. </w:t>
            </w:r>
          </w:p>
          <w:p w14:paraId="0D064DE2" w14:textId="77777777" w:rsidR="008E4D64" w:rsidRPr="00E01239" w:rsidRDefault="008E4D64" w:rsidP="00F43E8A">
            <w:p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Lorsque le maintien d’un travailleur à un poste est déconseillé pour des raisons médicales, tous les moyens doivent être mis en œuvre pour l’affecter à un autre emploi compatible avec son état de santé.</w:t>
            </w:r>
          </w:p>
        </w:tc>
        <w:tc>
          <w:tcPr>
            <w:tcW w:w="1017" w:type="pct"/>
            <w:shd w:val="clear" w:color="auto" w:fill="auto"/>
            <w:vAlign w:val="center"/>
          </w:tcPr>
          <w:p w14:paraId="45E68F99" w14:textId="77777777" w:rsidR="008E4D64" w:rsidRPr="00E01239" w:rsidRDefault="008E4D64" w:rsidP="00F43E8A">
            <w:p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 xml:space="preserve">Cette disposition législative trouve toute sa pertinence en ce qu’elle définit le cadre sur lequel s’adosse le respect des mesures de protection individuelle du personnel. </w:t>
            </w:r>
          </w:p>
        </w:tc>
      </w:tr>
      <w:tr w:rsidR="008E4D64" w:rsidRPr="00E01239" w14:paraId="5DB77965" w14:textId="77777777" w:rsidTr="00F43E8A">
        <w:trPr>
          <w:trHeight w:val="1617"/>
          <w:jc w:val="center"/>
        </w:trPr>
        <w:tc>
          <w:tcPr>
            <w:tcW w:w="577" w:type="pct"/>
            <w:shd w:val="clear" w:color="auto" w:fill="auto"/>
            <w:vAlign w:val="center"/>
          </w:tcPr>
          <w:p w14:paraId="110055C1" w14:textId="77777777" w:rsidR="008E4D64" w:rsidRPr="00E01239" w:rsidRDefault="008E4D64" w:rsidP="00F43E8A">
            <w:pPr>
              <w:autoSpaceDE w:val="0"/>
              <w:autoSpaceDN w:val="0"/>
              <w:adjustRightInd w:val="0"/>
              <w:jc w:val="center"/>
              <w:rPr>
                <w:rFonts w:asciiTheme="minorHAnsi" w:hAnsiTheme="minorHAnsi" w:cstheme="minorHAnsi"/>
                <w:b/>
                <w:bCs/>
                <w:sz w:val="20"/>
                <w:szCs w:val="20"/>
              </w:rPr>
            </w:pPr>
            <w:r w:rsidRPr="00E01239">
              <w:rPr>
                <w:rFonts w:asciiTheme="minorHAnsi" w:hAnsiTheme="minorHAnsi" w:cstheme="minorHAnsi"/>
                <w:sz w:val="20"/>
                <w:szCs w:val="20"/>
              </w:rPr>
              <w:t>Hygiène et sécurité</w:t>
            </w:r>
          </w:p>
        </w:tc>
        <w:tc>
          <w:tcPr>
            <w:tcW w:w="604" w:type="pct"/>
            <w:shd w:val="clear" w:color="auto" w:fill="auto"/>
            <w:vAlign w:val="center"/>
          </w:tcPr>
          <w:p w14:paraId="54E68E13" w14:textId="77777777" w:rsidR="008E4D64" w:rsidRPr="00E01239" w:rsidRDefault="008E4D64" w:rsidP="00F43E8A">
            <w:pPr>
              <w:autoSpaceDE w:val="0"/>
              <w:autoSpaceDN w:val="0"/>
              <w:adjustRightInd w:val="0"/>
              <w:jc w:val="center"/>
              <w:rPr>
                <w:rFonts w:asciiTheme="minorHAnsi" w:hAnsiTheme="minorHAnsi" w:cstheme="minorHAnsi"/>
                <w:sz w:val="20"/>
                <w:szCs w:val="20"/>
              </w:rPr>
            </w:pPr>
            <w:r w:rsidRPr="00E01239">
              <w:rPr>
                <w:rFonts w:asciiTheme="minorHAnsi" w:hAnsiTheme="minorHAnsi" w:cstheme="minorHAnsi"/>
                <w:sz w:val="20"/>
                <w:szCs w:val="20"/>
              </w:rPr>
              <w:t>Article L 177</w:t>
            </w:r>
          </w:p>
        </w:tc>
        <w:tc>
          <w:tcPr>
            <w:tcW w:w="2803" w:type="pct"/>
            <w:shd w:val="clear" w:color="auto" w:fill="auto"/>
            <w:vAlign w:val="center"/>
          </w:tcPr>
          <w:p w14:paraId="2BE55B40" w14:textId="77777777" w:rsidR="008E4D64" w:rsidRPr="00E01239" w:rsidRDefault="008E4D64" w:rsidP="00F43E8A">
            <w:pPr>
              <w:autoSpaceDE w:val="0"/>
              <w:autoSpaceDN w:val="0"/>
              <w:adjustRightInd w:val="0"/>
              <w:rPr>
                <w:rFonts w:asciiTheme="minorHAnsi" w:hAnsiTheme="minorHAnsi" w:cstheme="minorHAnsi"/>
                <w:sz w:val="20"/>
                <w:szCs w:val="20"/>
              </w:rPr>
            </w:pPr>
            <w:r w:rsidRPr="00E01239">
              <w:rPr>
                <w:rFonts w:asciiTheme="minorHAnsi" w:hAnsiTheme="minorHAnsi" w:cstheme="minorHAnsi"/>
                <w:sz w:val="20"/>
                <w:szCs w:val="20"/>
              </w:rPr>
              <w:t xml:space="preserve">Tous les travailleurs doivent être informés de manière complète des risques professionnels existant sur les lieux de travail et recevoir des instructions adéquates quant aux moyens disponibles, aux conduites à tenir pour prévenir ces risques et se protéger contre eux. </w:t>
            </w:r>
          </w:p>
          <w:p w14:paraId="18EA72C1" w14:textId="77777777" w:rsidR="008E4D64" w:rsidRPr="00E01239" w:rsidRDefault="008E4D64" w:rsidP="00F43E8A">
            <w:pPr>
              <w:autoSpaceDE w:val="0"/>
              <w:autoSpaceDN w:val="0"/>
              <w:adjustRightInd w:val="0"/>
              <w:rPr>
                <w:rFonts w:asciiTheme="minorHAnsi" w:hAnsiTheme="minorHAnsi" w:cstheme="minorHAnsi"/>
                <w:sz w:val="20"/>
                <w:szCs w:val="20"/>
              </w:rPr>
            </w:pPr>
            <w:r w:rsidRPr="00E01239">
              <w:rPr>
                <w:rFonts w:asciiTheme="minorHAnsi" w:hAnsiTheme="minorHAnsi" w:cstheme="minorHAnsi"/>
                <w:sz w:val="20"/>
                <w:szCs w:val="20"/>
              </w:rPr>
              <w:t>Ces informations et instructions doivent être portées à la connaissance des travailleurs dans des conditions et sous une forme qui permettent à chacun d’entre eux d’en avoir une bonne formation générale minimale en matière d’hygiène et de sécurité.</w:t>
            </w:r>
          </w:p>
        </w:tc>
        <w:tc>
          <w:tcPr>
            <w:tcW w:w="1017" w:type="pct"/>
            <w:shd w:val="clear" w:color="auto" w:fill="auto"/>
            <w:vAlign w:val="center"/>
          </w:tcPr>
          <w:p w14:paraId="75411B0B" w14:textId="77777777" w:rsidR="008E4D64" w:rsidRPr="00E01239" w:rsidRDefault="008E4D64" w:rsidP="00F43E8A">
            <w:pPr>
              <w:autoSpaceDE w:val="0"/>
              <w:autoSpaceDN w:val="0"/>
              <w:adjustRightInd w:val="0"/>
              <w:jc w:val="both"/>
              <w:rPr>
                <w:rFonts w:asciiTheme="minorHAnsi" w:hAnsiTheme="minorHAnsi" w:cstheme="minorHAnsi"/>
                <w:b/>
                <w:bCs/>
                <w:sz w:val="20"/>
                <w:szCs w:val="20"/>
              </w:rPr>
            </w:pPr>
            <w:r w:rsidRPr="00E01239">
              <w:rPr>
                <w:rFonts w:asciiTheme="minorHAnsi" w:hAnsiTheme="minorHAnsi" w:cstheme="minorHAnsi"/>
                <w:sz w:val="20"/>
                <w:szCs w:val="20"/>
              </w:rPr>
              <w:t>La formation du personnel exploitant des infrastructures doit particulièrement s’adosser à cette disposition législative.</w:t>
            </w:r>
          </w:p>
        </w:tc>
      </w:tr>
      <w:tr w:rsidR="008E4D64" w:rsidRPr="00E01239" w14:paraId="0CAC9FAD" w14:textId="77777777" w:rsidTr="00F43E8A">
        <w:trPr>
          <w:trHeight w:val="563"/>
          <w:jc w:val="center"/>
        </w:trPr>
        <w:tc>
          <w:tcPr>
            <w:tcW w:w="577" w:type="pct"/>
            <w:shd w:val="clear" w:color="auto" w:fill="auto"/>
            <w:vAlign w:val="center"/>
          </w:tcPr>
          <w:p w14:paraId="62B8F008" w14:textId="77777777" w:rsidR="008E4D64" w:rsidRPr="00E01239" w:rsidRDefault="008E4D64" w:rsidP="00F43E8A">
            <w:pPr>
              <w:autoSpaceDE w:val="0"/>
              <w:autoSpaceDN w:val="0"/>
              <w:adjustRightInd w:val="0"/>
              <w:jc w:val="center"/>
              <w:rPr>
                <w:rFonts w:asciiTheme="minorHAnsi" w:hAnsiTheme="minorHAnsi" w:cstheme="minorHAnsi"/>
                <w:b/>
                <w:bCs/>
                <w:sz w:val="20"/>
                <w:szCs w:val="20"/>
              </w:rPr>
            </w:pPr>
            <w:r w:rsidRPr="00E01239">
              <w:rPr>
                <w:rFonts w:asciiTheme="minorHAnsi" w:hAnsiTheme="minorHAnsi" w:cstheme="minorHAnsi"/>
                <w:sz w:val="20"/>
                <w:szCs w:val="20"/>
              </w:rPr>
              <w:t>Hygiène et sécurité</w:t>
            </w:r>
          </w:p>
        </w:tc>
        <w:tc>
          <w:tcPr>
            <w:tcW w:w="604" w:type="pct"/>
            <w:shd w:val="clear" w:color="auto" w:fill="auto"/>
            <w:vAlign w:val="center"/>
          </w:tcPr>
          <w:p w14:paraId="6BDD42AA" w14:textId="77777777" w:rsidR="008E4D64" w:rsidRPr="00E01239" w:rsidRDefault="008E4D64" w:rsidP="00F43E8A">
            <w:pPr>
              <w:autoSpaceDE w:val="0"/>
              <w:autoSpaceDN w:val="0"/>
              <w:adjustRightInd w:val="0"/>
              <w:jc w:val="center"/>
              <w:rPr>
                <w:rFonts w:asciiTheme="minorHAnsi" w:hAnsiTheme="minorHAnsi" w:cstheme="minorHAnsi"/>
                <w:sz w:val="20"/>
                <w:szCs w:val="20"/>
              </w:rPr>
            </w:pPr>
            <w:r w:rsidRPr="00E01239">
              <w:rPr>
                <w:rFonts w:asciiTheme="minorHAnsi" w:hAnsiTheme="minorHAnsi" w:cstheme="minorHAnsi"/>
                <w:sz w:val="20"/>
                <w:szCs w:val="20"/>
              </w:rPr>
              <w:t>Article L 178</w:t>
            </w:r>
          </w:p>
        </w:tc>
        <w:tc>
          <w:tcPr>
            <w:tcW w:w="2803" w:type="pct"/>
            <w:shd w:val="clear" w:color="auto" w:fill="auto"/>
            <w:vAlign w:val="center"/>
          </w:tcPr>
          <w:p w14:paraId="225352D8" w14:textId="77777777" w:rsidR="008E4D64" w:rsidRPr="00E01239" w:rsidRDefault="008E4D64" w:rsidP="00F43E8A">
            <w:p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 xml:space="preserve">L’employeur présente annuellement au comité d’hygiène et de sécurité ainsi qu’au service de sécurité de travail, ainsi qu’aux représentants des travailleurs, un rapport sur l’hygiène et la sécurité dans l’entreprise, en particulier sur les dispositions adoptées au cours de la période écoulée. En outre, il les tient informés en cours d’année de toute mesure nouvelle prise dans ce domaine. </w:t>
            </w:r>
          </w:p>
          <w:p w14:paraId="719DEF46" w14:textId="62DD0EC4" w:rsidR="008E4D64" w:rsidRPr="00E01239" w:rsidRDefault="008E4D64" w:rsidP="00F43E8A">
            <w:p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 xml:space="preserve">Les travailleurs ou leurs représentants peuvent consulter les organisations représentatives auxquelles ils appartiennent sur les mesures en question, sous réserve des secrets industriels ou commerciaux tels qu’ils </w:t>
            </w:r>
            <w:r w:rsidR="00FE0AB0">
              <w:rPr>
                <w:rFonts w:asciiTheme="minorHAnsi" w:hAnsiTheme="minorHAnsi" w:cstheme="minorHAnsi"/>
                <w:sz w:val="20"/>
                <w:szCs w:val="20"/>
              </w:rPr>
              <w:t>s</w:t>
            </w:r>
            <w:r w:rsidRPr="00E01239">
              <w:rPr>
                <w:rFonts w:asciiTheme="minorHAnsi" w:hAnsiTheme="minorHAnsi" w:cstheme="minorHAnsi"/>
                <w:sz w:val="20"/>
                <w:szCs w:val="20"/>
              </w:rPr>
              <w:t>ont définis par l’employeur.</w:t>
            </w:r>
          </w:p>
        </w:tc>
        <w:tc>
          <w:tcPr>
            <w:tcW w:w="1017" w:type="pct"/>
            <w:vMerge w:val="restart"/>
            <w:shd w:val="clear" w:color="auto" w:fill="auto"/>
            <w:vAlign w:val="center"/>
          </w:tcPr>
          <w:p w14:paraId="52F14338" w14:textId="77777777" w:rsidR="008E4D64" w:rsidRPr="00E01239" w:rsidRDefault="008E4D64" w:rsidP="00F43E8A">
            <w:pPr>
              <w:autoSpaceDE w:val="0"/>
              <w:autoSpaceDN w:val="0"/>
              <w:adjustRightInd w:val="0"/>
              <w:jc w:val="both"/>
              <w:rPr>
                <w:rFonts w:asciiTheme="minorHAnsi" w:hAnsiTheme="minorHAnsi" w:cstheme="minorHAnsi"/>
                <w:b/>
                <w:bCs/>
                <w:sz w:val="20"/>
                <w:szCs w:val="20"/>
              </w:rPr>
            </w:pPr>
            <w:r w:rsidRPr="00E01239">
              <w:rPr>
                <w:rFonts w:asciiTheme="minorHAnsi" w:hAnsiTheme="minorHAnsi" w:cstheme="minorHAnsi"/>
                <w:sz w:val="20"/>
                <w:szCs w:val="20"/>
              </w:rPr>
              <w:t>Ces dispositions fixent les conditions de sécurité, d’hygiène et de santé auxquelles l’employeur devra s’acquitter au bénéfice des employés.</w:t>
            </w:r>
          </w:p>
        </w:tc>
      </w:tr>
      <w:tr w:rsidR="008E4D64" w:rsidRPr="00E01239" w14:paraId="66A7DF75" w14:textId="77777777" w:rsidTr="00F43E8A">
        <w:trPr>
          <w:trHeight w:val="1547"/>
          <w:jc w:val="center"/>
        </w:trPr>
        <w:tc>
          <w:tcPr>
            <w:tcW w:w="577" w:type="pct"/>
            <w:shd w:val="clear" w:color="auto" w:fill="auto"/>
            <w:vAlign w:val="center"/>
          </w:tcPr>
          <w:p w14:paraId="55766BA4" w14:textId="77777777" w:rsidR="008E4D64" w:rsidRPr="00E01239" w:rsidRDefault="008E4D64" w:rsidP="00F43E8A">
            <w:pPr>
              <w:autoSpaceDE w:val="0"/>
              <w:autoSpaceDN w:val="0"/>
              <w:adjustRightInd w:val="0"/>
              <w:jc w:val="center"/>
              <w:rPr>
                <w:rFonts w:asciiTheme="minorHAnsi" w:hAnsiTheme="minorHAnsi" w:cstheme="minorHAnsi"/>
                <w:b/>
                <w:bCs/>
                <w:sz w:val="20"/>
                <w:szCs w:val="20"/>
              </w:rPr>
            </w:pPr>
            <w:r w:rsidRPr="00E01239">
              <w:rPr>
                <w:rFonts w:asciiTheme="minorHAnsi" w:hAnsiTheme="minorHAnsi" w:cstheme="minorHAnsi"/>
                <w:sz w:val="20"/>
                <w:szCs w:val="20"/>
              </w:rPr>
              <w:lastRenderedPageBreak/>
              <w:t>Hygiène et sécurité</w:t>
            </w:r>
          </w:p>
        </w:tc>
        <w:tc>
          <w:tcPr>
            <w:tcW w:w="604" w:type="pct"/>
            <w:shd w:val="clear" w:color="auto" w:fill="auto"/>
            <w:vAlign w:val="center"/>
          </w:tcPr>
          <w:p w14:paraId="3B0C4A78" w14:textId="77777777" w:rsidR="008E4D64" w:rsidRPr="00E01239" w:rsidRDefault="008E4D64" w:rsidP="00F43E8A">
            <w:pPr>
              <w:autoSpaceDE w:val="0"/>
              <w:autoSpaceDN w:val="0"/>
              <w:adjustRightInd w:val="0"/>
              <w:jc w:val="center"/>
              <w:rPr>
                <w:rFonts w:asciiTheme="minorHAnsi" w:hAnsiTheme="minorHAnsi" w:cstheme="minorHAnsi"/>
                <w:sz w:val="20"/>
                <w:szCs w:val="20"/>
              </w:rPr>
            </w:pPr>
            <w:r w:rsidRPr="00E01239">
              <w:rPr>
                <w:rFonts w:asciiTheme="minorHAnsi" w:hAnsiTheme="minorHAnsi" w:cstheme="minorHAnsi"/>
                <w:sz w:val="20"/>
                <w:szCs w:val="20"/>
              </w:rPr>
              <w:t>Article L 179</w:t>
            </w:r>
          </w:p>
        </w:tc>
        <w:tc>
          <w:tcPr>
            <w:tcW w:w="2803" w:type="pct"/>
            <w:shd w:val="clear" w:color="auto" w:fill="auto"/>
            <w:vAlign w:val="center"/>
          </w:tcPr>
          <w:p w14:paraId="6191B9E7" w14:textId="017F5E3E" w:rsidR="008E4D64" w:rsidRPr="00E01239" w:rsidRDefault="008E4D64" w:rsidP="00F43E8A">
            <w:p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 xml:space="preserve">L’employeur est tenu de contrôler régulièrement le respect des normes réglementaires de sécurité et d’hygiène, et de faire procéder périodiquement aux mesures, analyses et évaluations des conditions d’ambiance et, le cas échéant, entreprendre des mesures de protection collective ou individuelle afin de prévenir les atteintes à la sécurité et à la santé des travailleurs. </w:t>
            </w:r>
          </w:p>
          <w:p w14:paraId="2E95CABB" w14:textId="77777777" w:rsidR="008E4D64" w:rsidRPr="00E01239" w:rsidRDefault="008E4D64" w:rsidP="00F43E8A">
            <w:p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Il doit en outre recueillir les données relatives à la sécurité et à la santé des travailleurs et au milieu de travail jugées indispensables par l’autorité compétente.</w:t>
            </w:r>
          </w:p>
        </w:tc>
        <w:tc>
          <w:tcPr>
            <w:tcW w:w="1017" w:type="pct"/>
            <w:vMerge/>
            <w:shd w:val="clear" w:color="auto" w:fill="E2EFD9"/>
            <w:vAlign w:val="center"/>
          </w:tcPr>
          <w:p w14:paraId="438F2C6B" w14:textId="77777777" w:rsidR="008E4D64" w:rsidRPr="00E01239" w:rsidRDefault="008E4D64" w:rsidP="00F43E8A">
            <w:pPr>
              <w:autoSpaceDE w:val="0"/>
              <w:autoSpaceDN w:val="0"/>
              <w:adjustRightInd w:val="0"/>
              <w:rPr>
                <w:rFonts w:asciiTheme="minorHAnsi" w:hAnsiTheme="minorHAnsi" w:cstheme="minorHAnsi"/>
                <w:b/>
                <w:bCs/>
                <w:sz w:val="20"/>
                <w:szCs w:val="20"/>
              </w:rPr>
            </w:pPr>
          </w:p>
        </w:tc>
      </w:tr>
      <w:tr w:rsidR="008E4D64" w:rsidRPr="00E01239" w14:paraId="18056890" w14:textId="77777777" w:rsidTr="00202CE9">
        <w:trPr>
          <w:trHeight w:val="511"/>
          <w:jc w:val="center"/>
        </w:trPr>
        <w:tc>
          <w:tcPr>
            <w:tcW w:w="577" w:type="pct"/>
            <w:shd w:val="clear" w:color="auto" w:fill="auto"/>
            <w:vAlign w:val="center"/>
          </w:tcPr>
          <w:p w14:paraId="51347C7F" w14:textId="77777777" w:rsidR="008E4D64" w:rsidRPr="00E01239" w:rsidRDefault="008E4D64" w:rsidP="00F43E8A">
            <w:pPr>
              <w:autoSpaceDE w:val="0"/>
              <w:autoSpaceDN w:val="0"/>
              <w:adjustRightInd w:val="0"/>
              <w:jc w:val="center"/>
              <w:rPr>
                <w:rFonts w:asciiTheme="minorHAnsi" w:hAnsiTheme="minorHAnsi" w:cstheme="minorHAnsi"/>
                <w:b/>
                <w:bCs/>
                <w:sz w:val="20"/>
                <w:szCs w:val="20"/>
              </w:rPr>
            </w:pPr>
            <w:r w:rsidRPr="00E01239">
              <w:rPr>
                <w:rFonts w:asciiTheme="minorHAnsi" w:hAnsiTheme="minorHAnsi" w:cstheme="minorHAnsi"/>
                <w:sz w:val="20"/>
                <w:szCs w:val="20"/>
              </w:rPr>
              <w:t>Hygiène et sécurité</w:t>
            </w:r>
          </w:p>
        </w:tc>
        <w:tc>
          <w:tcPr>
            <w:tcW w:w="604" w:type="pct"/>
            <w:shd w:val="clear" w:color="auto" w:fill="auto"/>
            <w:vAlign w:val="center"/>
          </w:tcPr>
          <w:p w14:paraId="6598EAAD" w14:textId="77777777" w:rsidR="008E4D64" w:rsidRPr="00E01239" w:rsidRDefault="008E4D64" w:rsidP="00F43E8A">
            <w:pPr>
              <w:autoSpaceDE w:val="0"/>
              <w:autoSpaceDN w:val="0"/>
              <w:adjustRightInd w:val="0"/>
              <w:jc w:val="center"/>
              <w:rPr>
                <w:rFonts w:asciiTheme="minorHAnsi" w:hAnsiTheme="minorHAnsi" w:cstheme="minorHAnsi"/>
                <w:sz w:val="20"/>
                <w:szCs w:val="20"/>
              </w:rPr>
            </w:pPr>
            <w:r w:rsidRPr="00E01239">
              <w:rPr>
                <w:rFonts w:asciiTheme="minorHAnsi" w:hAnsiTheme="minorHAnsi" w:cstheme="minorHAnsi"/>
                <w:sz w:val="20"/>
                <w:szCs w:val="20"/>
              </w:rPr>
              <w:t>Article L 182</w:t>
            </w:r>
          </w:p>
        </w:tc>
        <w:tc>
          <w:tcPr>
            <w:tcW w:w="2803" w:type="pct"/>
            <w:shd w:val="clear" w:color="auto" w:fill="auto"/>
            <w:vAlign w:val="center"/>
          </w:tcPr>
          <w:p w14:paraId="366FE72F" w14:textId="77777777" w:rsidR="008E4D64" w:rsidRPr="00E01239" w:rsidRDefault="008E4D64" w:rsidP="00F43E8A">
            <w:pPr>
              <w:autoSpaceDE w:val="0"/>
              <w:autoSpaceDN w:val="0"/>
              <w:adjustRightInd w:val="0"/>
              <w:rPr>
                <w:rFonts w:asciiTheme="minorHAnsi" w:hAnsiTheme="minorHAnsi" w:cstheme="minorHAnsi"/>
                <w:sz w:val="20"/>
                <w:szCs w:val="20"/>
              </w:rPr>
            </w:pPr>
            <w:r w:rsidRPr="00E01239">
              <w:rPr>
                <w:rFonts w:asciiTheme="minorHAnsi" w:hAnsiTheme="minorHAnsi" w:cstheme="minorHAnsi"/>
                <w:sz w:val="20"/>
                <w:szCs w:val="20"/>
              </w:rPr>
              <w:t>Les mesures d’hygiène et de sécurité du travail ainsi que les actions de formation ou d’information sont à la charge exclusive de l’employeur.</w:t>
            </w:r>
          </w:p>
        </w:tc>
        <w:tc>
          <w:tcPr>
            <w:tcW w:w="1017" w:type="pct"/>
            <w:vMerge/>
            <w:shd w:val="clear" w:color="auto" w:fill="auto"/>
            <w:vAlign w:val="center"/>
          </w:tcPr>
          <w:p w14:paraId="7E04C4F8" w14:textId="77777777" w:rsidR="008E4D64" w:rsidRPr="00E01239" w:rsidRDefault="008E4D64" w:rsidP="00F43E8A">
            <w:pPr>
              <w:autoSpaceDE w:val="0"/>
              <w:autoSpaceDN w:val="0"/>
              <w:adjustRightInd w:val="0"/>
              <w:rPr>
                <w:rFonts w:asciiTheme="minorHAnsi" w:hAnsiTheme="minorHAnsi" w:cstheme="minorHAnsi"/>
                <w:b/>
                <w:bCs/>
                <w:sz w:val="20"/>
                <w:szCs w:val="20"/>
              </w:rPr>
            </w:pPr>
          </w:p>
        </w:tc>
      </w:tr>
      <w:tr w:rsidR="008E4D64" w:rsidRPr="00E01239" w14:paraId="3CF268EB" w14:textId="77777777" w:rsidTr="00F43E8A">
        <w:trPr>
          <w:trHeight w:val="2554"/>
          <w:jc w:val="center"/>
        </w:trPr>
        <w:tc>
          <w:tcPr>
            <w:tcW w:w="577" w:type="pct"/>
            <w:shd w:val="clear" w:color="auto" w:fill="auto"/>
            <w:vAlign w:val="center"/>
          </w:tcPr>
          <w:p w14:paraId="22892991" w14:textId="77777777" w:rsidR="008E4D64" w:rsidRPr="00E01239" w:rsidRDefault="008E4D64" w:rsidP="00F43E8A">
            <w:pPr>
              <w:autoSpaceDE w:val="0"/>
              <w:autoSpaceDN w:val="0"/>
              <w:adjustRightInd w:val="0"/>
              <w:jc w:val="center"/>
              <w:rPr>
                <w:rFonts w:asciiTheme="minorHAnsi" w:hAnsiTheme="minorHAnsi" w:cstheme="minorHAnsi"/>
                <w:b/>
                <w:bCs/>
                <w:sz w:val="20"/>
                <w:szCs w:val="20"/>
              </w:rPr>
            </w:pPr>
            <w:r w:rsidRPr="00E01239">
              <w:rPr>
                <w:rFonts w:asciiTheme="minorHAnsi" w:hAnsiTheme="minorHAnsi" w:cstheme="minorHAnsi"/>
                <w:sz w:val="20"/>
                <w:szCs w:val="20"/>
              </w:rPr>
              <w:t xml:space="preserve">Hygiène et sécurité </w:t>
            </w:r>
          </w:p>
        </w:tc>
        <w:tc>
          <w:tcPr>
            <w:tcW w:w="604" w:type="pct"/>
            <w:shd w:val="clear" w:color="auto" w:fill="auto"/>
            <w:vAlign w:val="center"/>
          </w:tcPr>
          <w:p w14:paraId="030C5D92" w14:textId="77777777" w:rsidR="008E4D64" w:rsidRPr="00E01239" w:rsidRDefault="008E4D64" w:rsidP="00F43E8A">
            <w:pPr>
              <w:autoSpaceDE w:val="0"/>
              <w:autoSpaceDN w:val="0"/>
              <w:adjustRightInd w:val="0"/>
              <w:jc w:val="center"/>
              <w:rPr>
                <w:rFonts w:asciiTheme="minorHAnsi" w:hAnsiTheme="minorHAnsi" w:cstheme="minorHAnsi"/>
                <w:sz w:val="20"/>
                <w:szCs w:val="20"/>
              </w:rPr>
            </w:pPr>
            <w:r w:rsidRPr="00E01239">
              <w:rPr>
                <w:rFonts w:asciiTheme="minorHAnsi" w:hAnsiTheme="minorHAnsi" w:cstheme="minorHAnsi"/>
                <w:sz w:val="20"/>
                <w:szCs w:val="20"/>
              </w:rPr>
              <w:t xml:space="preserve">Article L 185 </w:t>
            </w:r>
          </w:p>
        </w:tc>
        <w:tc>
          <w:tcPr>
            <w:tcW w:w="2803" w:type="pct"/>
            <w:shd w:val="clear" w:color="auto" w:fill="auto"/>
            <w:vAlign w:val="center"/>
          </w:tcPr>
          <w:p w14:paraId="0C6E5EDE" w14:textId="77777777" w:rsidR="008E4D64" w:rsidRPr="00E01239" w:rsidRDefault="008E4D64" w:rsidP="00F43E8A">
            <w:pPr>
              <w:autoSpaceDE w:val="0"/>
              <w:autoSpaceDN w:val="0"/>
              <w:adjustRightInd w:val="0"/>
              <w:rPr>
                <w:rFonts w:asciiTheme="minorHAnsi" w:hAnsiTheme="minorHAnsi" w:cstheme="minorHAnsi"/>
                <w:sz w:val="20"/>
                <w:szCs w:val="20"/>
              </w:rPr>
            </w:pPr>
            <w:r w:rsidRPr="00E01239">
              <w:rPr>
                <w:rFonts w:asciiTheme="minorHAnsi" w:hAnsiTheme="minorHAnsi" w:cstheme="minorHAnsi"/>
                <w:sz w:val="20"/>
                <w:szCs w:val="20"/>
              </w:rPr>
              <w:t xml:space="preserve">Les employeurs sont tenus d’organiser un service de sécurité de travail et un comité d’hygiène et de sécurité. </w:t>
            </w:r>
          </w:p>
          <w:p w14:paraId="013A204E" w14:textId="77777777" w:rsidR="008E4D64" w:rsidRPr="00E01239" w:rsidRDefault="008E4D64" w:rsidP="00F43E8A">
            <w:pPr>
              <w:autoSpaceDE w:val="0"/>
              <w:autoSpaceDN w:val="0"/>
              <w:adjustRightInd w:val="0"/>
              <w:rPr>
                <w:rFonts w:asciiTheme="minorHAnsi" w:hAnsiTheme="minorHAnsi" w:cstheme="minorHAnsi"/>
                <w:sz w:val="20"/>
                <w:szCs w:val="20"/>
              </w:rPr>
            </w:pPr>
            <w:r w:rsidRPr="00E01239">
              <w:rPr>
                <w:rFonts w:asciiTheme="minorHAnsi" w:hAnsiTheme="minorHAnsi" w:cstheme="minorHAnsi"/>
                <w:sz w:val="20"/>
                <w:szCs w:val="20"/>
              </w:rPr>
              <w:t xml:space="preserve">Le service de sécurité assiste et conseille l’employeur et le cas échéant, les travailleurs ou leurs représentants, dans l’élaboration et la mise en œuvre d’un programme d’hygiène et de sécurité du travail. </w:t>
            </w:r>
          </w:p>
          <w:p w14:paraId="2DF5F68B" w14:textId="77777777" w:rsidR="008E4D64" w:rsidRPr="00E01239" w:rsidRDefault="008E4D64" w:rsidP="00F43E8A">
            <w:pPr>
              <w:autoSpaceDE w:val="0"/>
              <w:autoSpaceDN w:val="0"/>
              <w:adjustRightInd w:val="0"/>
              <w:rPr>
                <w:rFonts w:asciiTheme="minorHAnsi" w:hAnsiTheme="minorHAnsi" w:cstheme="minorHAnsi"/>
                <w:sz w:val="20"/>
                <w:szCs w:val="20"/>
              </w:rPr>
            </w:pPr>
            <w:r w:rsidRPr="00E01239">
              <w:rPr>
                <w:rFonts w:asciiTheme="minorHAnsi" w:hAnsiTheme="minorHAnsi" w:cstheme="minorHAnsi"/>
                <w:sz w:val="20"/>
                <w:szCs w:val="20"/>
              </w:rPr>
              <w:t xml:space="preserve">Ce service peut être à une seule entreprise ou commun à plusieurs ou encore être assuré par un organisme extérieur. Des délégués des travailleurs à la sécurité et un comité paritaire d’hygiène et de sécurité coopèrent à l’élaboration de ce programme. </w:t>
            </w:r>
          </w:p>
          <w:p w14:paraId="4FFFEF24" w14:textId="77777777" w:rsidR="008E4D64" w:rsidRPr="00E01239" w:rsidRDefault="008E4D64" w:rsidP="00F43E8A">
            <w:pPr>
              <w:autoSpaceDE w:val="0"/>
              <w:autoSpaceDN w:val="0"/>
              <w:adjustRightInd w:val="0"/>
              <w:rPr>
                <w:rFonts w:asciiTheme="minorHAnsi" w:hAnsiTheme="minorHAnsi" w:cstheme="minorHAnsi"/>
                <w:sz w:val="20"/>
                <w:szCs w:val="20"/>
              </w:rPr>
            </w:pPr>
            <w:r w:rsidRPr="00E01239">
              <w:rPr>
                <w:rFonts w:asciiTheme="minorHAnsi" w:hAnsiTheme="minorHAnsi" w:cstheme="minorHAnsi"/>
                <w:sz w:val="20"/>
                <w:szCs w:val="20"/>
              </w:rPr>
              <w:t xml:space="preserve">L’organisation, les missions, le fonctionnement et les moyens d’action des services de sécurité du travail ainsi que les modalités de désignation et d’intervention des délégués à la sécurité et des comités paritaires d’hygiène et de sécurité sont fixés par décret. </w:t>
            </w:r>
          </w:p>
        </w:tc>
        <w:tc>
          <w:tcPr>
            <w:tcW w:w="1017" w:type="pct"/>
            <w:vMerge/>
            <w:shd w:val="clear" w:color="auto" w:fill="E2EFD9"/>
            <w:vAlign w:val="center"/>
          </w:tcPr>
          <w:p w14:paraId="288622D1" w14:textId="77777777" w:rsidR="008E4D64" w:rsidRPr="00E01239" w:rsidRDefault="008E4D64" w:rsidP="00F43E8A">
            <w:pPr>
              <w:autoSpaceDE w:val="0"/>
              <w:autoSpaceDN w:val="0"/>
              <w:adjustRightInd w:val="0"/>
              <w:rPr>
                <w:rFonts w:asciiTheme="minorHAnsi" w:hAnsiTheme="minorHAnsi" w:cstheme="minorHAnsi"/>
                <w:b/>
                <w:bCs/>
                <w:sz w:val="20"/>
                <w:szCs w:val="20"/>
              </w:rPr>
            </w:pPr>
          </w:p>
        </w:tc>
      </w:tr>
      <w:tr w:rsidR="008E4D64" w:rsidRPr="00E01239" w14:paraId="4961815D" w14:textId="77777777" w:rsidTr="00F43E8A">
        <w:trPr>
          <w:trHeight w:val="719"/>
          <w:jc w:val="center"/>
        </w:trPr>
        <w:tc>
          <w:tcPr>
            <w:tcW w:w="577" w:type="pct"/>
            <w:shd w:val="clear" w:color="auto" w:fill="auto"/>
            <w:vAlign w:val="center"/>
          </w:tcPr>
          <w:p w14:paraId="3AAFD3AB" w14:textId="77777777" w:rsidR="008E4D64" w:rsidRPr="00E01239" w:rsidRDefault="008E4D64" w:rsidP="00F43E8A">
            <w:pPr>
              <w:autoSpaceDE w:val="0"/>
              <w:autoSpaceDN w:val="0"/>
              <w:adjustRightInd w:val="0"/>
              <w:jc w:val="center"/>
              <w:rPr>
                <w:rFonts w:asciiTheme="minorHAnsi" w:hAnsiTheme="minorHAnsi" w:cstheme="minorHAnsi"/>
                <w:b/>
                <w:bCs/>
                <w:sz w:val="20"/>
                <w:szCs w:val="20"/>
              </w:rPr>
            </w:pPr>
            <w:r w:rsidRPr="00E01239">
              <w:rPr>
                <w:rFonts w:asciiTheme="minorHAnsi" w:hAnsiTheme="minorHAnsi" w:cstheme="minorHAnsi"/>
                <w:sz w:val="20"/>
                <w:szCs w:val="20"/>
              </w:rPr>
              <w:t>Hygiène et sécurité</w:t>
            </w:r>
          </w:p>
        </w:tc>
        <w:tc>
          <w:tcPr>
            <w:tcW w:w="604" w:type="pct"/>
            <w:shd w:val="clear" w:color="auto" w:fill="auto"/>
            <w:vAlign w:val="center"/>
          </w:tcPr>
          <w:p w14:paraId="065807DD" w14:textId="77777777" w:rsidR="008E4D64" w:rsidRPr="00E01239" w:rsidRDefault="008E4D64" w:rsidP="00F43E8A">
            <w:pPr>
              <w:autoSpaceDE w:val="0"/>
              <w:autoSpaceDN w:val="0"/>
              <w:adjustRightInd w:val="0"/>
              <w:jc w:val="center"/>
              <w:rPr>
                <w:rFonts w:asciiTheme="minorHAnsi" w:hAnsiTheme="minorHAnsi" w:cstheme="minorHAnsi"/>
                <w:b/>
                <w:bCs/>
                <w:sz w:val="20"/>
                <w:szCs w:val="20"/>
              </w:rPr>
            </w:pPr>
            <w:r w:rsidRPr="00E01239">
              <w:rPr>
                <w:rFonts w:asciiTheme="minorHAnsi" w:hAnsiTheme="minorHAnsi" w:cstheme="minorHAnsi"/>
                <w:sz w:val="20"/>
                <w:szCs w:val="20"/>
              </w:rPr>
              <w:t xml:space="preserve">Article L 186 </w:t>
            </w:r>
          </w:p>
        </w:tc>
        <w:tc>
          <w:tcPr>
            <w:tcW w:w="2803" w:type="pct"/>
            <w:shd w:val="clear" w:color="auto" w:fill="auto"/>
            <w:vAlign w:val="center"/>
          </w:tcPr>
          <w:p w14:paraId="7A325A5C" w14:textId="77777777" w:rsidR="008E4D64" w:rsidRPr="00E01239" w:rsidRDefault="008E4D64" w:rsidP="00F43E8A">
            <w:pPr>
              <w:autoSpaceDE w:val="0"/>
              <w:autoSpaceDN w:val="0"/>
              <w:adjustRightInd w:val="0"/>
              <w:rPr>
                <w:rFonts w:asciiTheme="minorHAnsi" w:hAnsiTheme="minorHAnsi" w:cstheme="minorHAnsi"/>
                <w:b/>
                <w:bCs/>
                <w:sz w:val="20"/>
                <w:szCs w:val="20"/>
              </w:rPr>
            </w:pPr>
            <w:r w:rsidRPr="00E01239">
              <w:rPr>
                <w:rFonts w:asciiTheme="minorHAnsi" w:hAnsiTheme="minorHAnsi" w:cstheme="minorHAnsi"/>
                <w:sz w:val="20"/>
                <w:szCs w:val="20"/>
              </w:rPr>
              <w:t xml:space="preserve">Les employeurs sont tenus d’organiser un service de médecine du travail dans l’entreprise à l’intention de tous les travailleurs. Le service de médecine du travail est un service organisé sur les lieux de travail ou à proximité de ceux-ci, destiné : </w:t>
            </w:r>
          </w:p>
          <w:p w14:paraId="78C17AA6" w14:textId="19ED5FF6" w:rsidR="008E4D64" w:rsidRPr="00E01239" w:rsidRDefault="00A91EF3" w:rsidP="00027669">
            <w:pPr>
              <w:pStyle w:val="Paragraphedeliste"/>
              <w:numPr>
                <w:ilvl w:val="0"/>
                <w:numId w:val="165"/>
              </w:numPr>
              <w:autoSpaceDE w:val="0"/>
              <w:autoSpaceDN w:val="0"/>
              <w:adjustRightInd w:val="0"/>
              <w:contextualSpacing w:val="0"/>
              <w:rPr>
                <w:rFonts w:asciiTheme="minorHAnsi" w:hAnsiTheme="minorHAnsi" w:cstheme="minorHAnsi"/>
                <w:b/>
                <w:bCs/>
                <w:sz w:val="20"/>
                <w:szCs w:val="20"/>
              </w:rPr>
            </w:pPr>
            <w:r w:rsidRPr="00E01239">
              <w:rPr>
                <w:rFonts w:asciiTheme="minorHAnsi" w:hAnsiTheme="minorHAnsi" w:cstheme="minorHAnsi"/>
                <w:sz w:val="20"/>
                <w:szCs w:val="20"/>
              </w:rPr>
              <w:t>À</w:t>
            </w:r>
            <w:r w:rsidR="008E4D64" w:rsidRPr="00E01239">
              <w:rPr>
                <w:rFonts w:asciiTheme="minorHAnsi" w:hAnsiTheme="minorHAnsi" w:cstheme="minorHAnsi"/>
                <w:sz w:val="20"/>
                <w:szCs w:val="20"/>
              </w:rPr>
              <w:t xml:space="preserve"> assurer la protection des travailleurs contre toute atteinte à la santé pouvant résulter de leur travail ou des conditions dans lesquelles celui-ci s’effectue ;</w:t>
            </w:r>
          </w:p>
          <w:p w14:paraId="318B1CA1" w14:textId="428718CA" w:rsidR="008E4D64" w:rsidRPr="00E01239" w:rsidRDefault="00A91EF3" w:rsidP="00027669">
            <w:pPr>
              <w:pStyle w:val="Paragraphedeliste"/>
              <w:numPr>
                <w:ilvl w:val="0"/>
                <w:numId w:val="165"/>
              </w:numPr>
              <w:autoSpaceDE w:val="0"/>
              <w:autoSpaceDN w:val="0"/>
              <w:adjustRightInd w:val="0"/>
              <w:contextualSpacing w:val="0"/>
              <w:rPr>
                <w:rFonts w:asciiTheme="minorHAnsi" w:hAnsiTheme="minorHAnsi" w:cstheme="minorHAnsi"/>
                <w:b/>
                <w:bCs/>
                <w:sz w:val="20"/>
                <w:szCs w:val="20"/>
              </w:rPr>
            </w:pPr>
            <w:r w:rsidRPr="00E01239">
              <w:rPr>
                <w:rFonts w:asciiTheme="minorHAnsi" w:hAnsiTheme="minorHAnsi" w:cstheme="minorHAnsi"/>
                <w:sz w:val="20"/>
                <w:szCs w:val="20"/>
              </w:rPr>
              <w:t>À</w:t>
            </w:r>
            <w:r w:rsidR="008E4D64" w:rsidRPr="00E01239">
              <w:rPr>
                <w:rFonts w:asciiTheme="minorHAnsi" w:hAnsiTheme="minorHAnsi" w:cstheme="minorHAnsi"/>
                <w:sz w:val="20"/>
                <w:szCs w:val="20"/>
              </w:rPr>
              <w:t xml:space="preserve"> contribuer à l’adaptation des postes, des techniques et des rythmes de travail à la physiologie humaine ; </w:t>
            </w:r>
          </w:p>
          <w:p w14:paraId="40D61CBD" w14:textId="53CECE9B" w:rsidR="008E4D64" w:rsidRPr="00E01239" w:rsidRDefault="00A91EF3" w:rsidP="00027669">
            <w:pPr>
              <w:pStyle w:val="Paragraphedeliste"/>
              <w:numPr>
                <w:ilvl w:val="0"/>
                <w:numId w:val="165"/>
              </w:numPr>
              <w:autoSpaceDE w:val="0"/>
              <w:autoSpaceDN w:val="0"/>
              <w:adjustRightInd w:val="0"/>
              <w:contextualSpacing w:val="0"/>
              <w:rPr>
                <w:rFonts w:asciiTheme="minorHAnsi" w:hAnsiTheme="minorHAnsi" w:cstheme="minorHAnsi"/>
                <w:b/>
                <w:bCs/>
                <w:sz w:val="20"/>
                <w:szCs w:val="20"/>
              </w:rPr>
            </w:pPr>
            <w:r w:rsidRPr="00E01239">
              <w:rPr>
                <w:rFonts w:asciiTheme="minorHAnsi" w:hAnsiTheme="minorHAnsi" w:cstheme="minorHAnsi"/>
                <w:sz w:val="20"/>
                <w:szCs w:val="20"/>
              </w:rPr>
              <w:t>À</w:t>
            </w:r>
            <w:r w:rsidR="008E4D64" w:rsidRPr="00E01239">
              <w:rPr>
                <w:rFonts w:asciiTheme="minorHAnsi" w:hAnsiTheme="minorHAnsi" w:cstheme="minorHAnsi"/>
                <w:sz w:val="20"/>
                <w:szCs w:val="20"/>
              </w:rPr>
              <w:t xml:space="preserve"> contribuer à l’établissement et au maintien du plus haut degré possible de bien-être physique et mental de travailleurs ; </w:t>
            </w:r>
          </w:p>
          <w:p w14:paraId="711946BD" w14:textId="3FD8E640" w:rsidR="008E4D64" w:rsidRPr="00E01239" w:rsidRDefault="00A91EF3" w:rsidP="00027669">
            <w:pPr>
              <w:pStyle w:val="Paragraphedeliste"/>
              <w:numPr>
                <w:ilvl w:val="0"/>
                <w:numId w:val="165"/>
              </w:numPr>
              <w:autoSpaceDE w:val="0"/>
              <w:autoSpaceDN w:val="0"/>
              <w:adjustRightInd w:val="0"/>
              <w:contextualSpacing w:val="0"/>
              <w:rPr>
                <w:rFonts w:asciiTheme="minorHAnsi" w:hAnsiTheme="minorHAnsi" w:cstheme="minorHAnsi"/>
                <w:b/>
                <w:bCs/>
                <w:sz w:val="20"/>
                <w:szCs w:val="20"/>
              </w:rPr>
            </w:pPr>
            <w:r w:rsidRPr="00E01239">
              <w:rPr>
                <w:rFonts w:asciiTheme="minorHAnsi" w:hAnsiTheme="minorHAnsi" w:cstheme="minorHAnsi"/>
                <w:sz w:val="20"/>
                <w:szCs w:val="20"/>
              </w:rPr>
              <w:t>À</w:t>
            </w:r>
            <w:r w:rsidR="008E4D64" w:rsidRPr="00E01239">
              <w:rPr>
                <w:rFonts w:asciiTheme="minorHAnsi" w:hAnsiTheme="minorHAnsi" w:cstheme="minorHAnsi"/>
                <w:sz w:val="20"/>
                <w:szCs w:val="20"/>
              </w:rPr>
              <w:t xml:space="preserve"> contribuer à l’éducation sanitaire des travailleurs pour un comportement conforme aux normes et aux consignes d’hygiène du travail.</w:t>
            </w:r>
          </w:p>
        </w:tc>
        <w:tc>
          <w:tcPr>
            <w:tcW w:w="1017" w:type="pct"/>
            <w:vMerge/>
            <w:shd w:val="clear" w:color="auto" w:fill="auto"/>
            <w:vAlign w:val="center"/>
          </w:tcPr>
          <w:p w14:paraId="71BBB6D2" w14:textId="77777777" w:rsidR="008E4D64" w:rsidRPr="00E01239" w:rsidRDefault="008E4D64" w:rsidP="00F43E8A">
            <w:pPr>
              <w:autoSpaceDE w:val="0"/>
              <w:autoSpaceDN w:val="0"/>
              <w:adjustRightInd w:val="0"/>
              <w:rPr>
                <w:rFonts w:asciiTheme="minorHAnsi" w:hAnsiTheme="minorHAnsi" w:cstheme="minorHAnsi"/>
                <w:b/>
                <w:bCs/>
                <w:sz w:val="20"/>
                <w:szCs w:val="20"/>
              </w:rPr>
            </w:pPr>
          </w:p>
        </w:tc>
      </w:tr>
    </w:tbl>
    <w:p w14:paraId="3CAC95FE" w14:textId="77777777" w:rsidR="008E4D64" w:rsidRPr="00E01239" w:rsidRDefault="008E4D64" w:rsidP="008E4D64">
      <w:pPr>
        <w:jc w:val="both"/>
        <w:rPr>
          <w:rFonts w:asciiTheme="minorHAnsi" w:hAnsiTheme="minorHAnsi" w:cstheme="minorHAnsi"/>
        </w:rPr>
        <w:sectPr w:rsidR="008E4D64" w:rsidRPr="00E01239" w:rsidSect="00F43E8A">
          <w:pgSz w:w="16840" w:h="11907" w:orient="landscape" w:code="9"/>
          <w:pgMar w:top="1418" w:right="1134" w:bottom="1418" w:left="1667" w:header="709" w:footer="709" w:gutter="0"/>
          <w:cols w:space="708"/>
          <w:docGrid w:linePitch="360"/>
        </w:sectPr>
      </w:pPr>
    </w:p>
    <w:p w14:paraId="4402F682" w14:textId="21D6EDC7" w:rsidR="008E4D64" w:rsidRPr="00E01239" w:rsidRDefault="055F1501" w:rsidP="7CB1727A">
      <w:pPr>
        <w:pStyle w:val="Titre3"/>
        <w:numPr>
          <w:ilvl w:val="2"/>
          <w:numId w:val="0"/>
        </w:numPr>
        <w:ind w:left="708"/>
        <w:rPr>
          <w:rFonts w:asciiTheme="minorHAnsi" w:hAnsiTheme="minorHAnsi" w:cstheme="minorBidi"/>
        </w:rPr>
      </w:pPr>
      <w:bookmarkStart w:id="142" w:name="_Toc43107401"/>
      <w:bookmarkStart w:id="143" w:name="_Toc63285550"/>
      <w:bookmarkStart w:id="144" w:name="_Toc144654064"/>
      <w:r w:rsidRPr="00E01239">
        <w:rPr>
          <w:rFonts w:asciiTheme="minorHAnsi" w:hAnsiTheme="minorHAnsi" w:cstheme="minorBidi"/>
        </w:rPr>
        <w:lastRenderedPageBreak/>
        <w:t xml:space="preserve">4.2.3 </w:t>
      </w:r>
      <w:r w:rsidR="21A48B5C" w:rsidRPr="00E01239">
        <w:rPr>
          <w:rFonts w:asciiTheme="minorHAnsi" w:hAnsiTheme="minorHAnsi" w:cstheme="minorBidi"/>
        </w:rPr>
        <w:t>Dispositions réglementaires en matière de lutte contre les pollutions et nuisances</w:t>
      </w:r>
      <w:bookmarkEnd w:id="142"/>
      <w:bookmarkEnd w:id="143"/>
      <w:bookmarkEnd w:id="144"/>
    </w:p>
    <w:p w14:paraId="40B7ACC6" w14:textId="7F060C33"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différentes formes de pollution et nuisances sont encadrées par des textes réglementaires dont les plus pertinentes sont présentées dans le tableau</w:t>
      </w:r>
      <w:r w:rsidR="00A1305E" w:rsidRPr="00E01239">
        <w:rPr>
          <w:rFonts w:asciiTheme="minorHAnsi" w:hAnsiTheme="minorHAnsi" w:cstheme="minorHAnsi"/>
          <w:sz w:val="22"/>
          <w:szCs w:val="22"/>
        </w:rPr>
        <w:t xml:space="preserve"> n°5</w:t>
      </w:r>
      <w:r w:rsidRPr="00E01239">
        <w:rPr>
          <w:rFonts w:asciiTheme="minorHAnsi" w:hAnsiTheme="minorHAnsi" w:cstheme="minorHAnsi"/>
          <w:sz w:val="22"/>
          <w:szCs w:val="22"/>
        </w:rPr>
        <w:t xml:space="preserve"> </w:t>
      </w:r>
      <w:proofErr w:type="gramStart"/>
      <w:r w:rsidRPr="00E01239">
        <w:rPr>
          <w:rFonts w:asciiTheme="minorHAnsi" w:hAnsiTheme="minorHAnsi" w:cstheme="minorHAnsi"/>
          <w:sz w:val="22"/>
          <w:szCs w:val="22"/>
        </w:rPr>
        <w:t>suivant</w:t>
      </w:r>
      <w:proofErr w:type="gramEnd"/>
      <w:r w:rsidR="00E37E0D" w:rsidRPr="00E01239">
        <w:rPr>
          <w:rFonts w:asciiTheme="minorHAnsi" w:hAnsiTheme="minorHAnsi" w:cstheme="minorHAnsi"/>
          <w:sz w:val="22"/>
          <w:szCs w:val="22"/>
        </w:rPr>
        <w:t> :</w:t>
      </w:r>
    </w:p>
    <w:p w14:paraId="616BEFB6" w14:textId="77777777" w:rsidR="008E4D64" w:rsidRPr="00E01239" w:rsidRDefault="008E4D64" w:rsidP="00202CE9">
      <w:pPr>
        <w:spacing w:before="120" w:line="280" w:lineRule="exact"/>
        <w:jc w:val="both"/>
        <w:rPr>
          <w:rFonts w:asciiTheme="minorHAnsi" w:hAnsiTheme="minorHAnsi" w:cstheme="minorHAnsi"/>
          <w:sz w:val="22"/>
          <w:szCs w:val="22"/>
        </w:rPr>
      </w:pPr>
    </w:p>
    <w:p w14:paraId="6BA1B1E6" w14:textId="12509F40" w:rsidR="008E4D64" w:rsidRPr="00E01239" w:rsidRDefault="00046FFD" w:rsidP="00202CE9">
      <w:pPr>
        <w:tabs>
          <w:tab w:val="left" w:pos="8364"/>
        </w:tabs>
        <w:ind w:right="-1"/>
        <w:jc w:val="center"/>
        <w:rPr>
          <w:rFonts w:asciiTheme="minorHAnsi" w:hAnsiTheme="minorHAnsi" w:cstheme="minorHAnsi"/>
          <w:b/>
          <w:sz w:val="22"/>
          <w:szCs w:val="22"/>
        </w:rPr>
      </w:pPr>
      <w:bookmarkStart w:id="145" w:name="_Toc480996180"/>
      <w:bookmarkStart w:id="146" w:name="_Toc534190297"/>
      <w:bookmarkStart w:id="147" w:name="_Toc21074272"/>
      <w:bookmarkStart w:id="148" w:name="_Toc38266222"/>
      <w:bookmarkStart w:id="149" w:name="_Toc43107494"/>
      <w:bookmarkStart w:id="150" w:name="_Toc63281782"/>
      <w:bookmarkStart w:id="151" w:name="_Toc118549377"/>
      <w:bookmarkStart w:id="152" w:name="_Toc144654185"/>
      <w:r w:rsidRPr="00E01239">
        <w:rPr>
          <w:rFonts w:asciiTheme="minorHAnsi" w:hAnsiTheme="minorHAnsi" w:cstheme="minorHAnsi"/>
          <w:b/>
          <w:bCs/>
          <w:sz w:val="22"/>
          <w:szCs w:val="22"/>
        </w:rPr>
        <w:t xml:space="preserve">Tableau </w:t>
      </w:r>
      <w:r w:rsidRPr="00E01239">
        <w:rPr>
          <w:rFonts w:asciiTheme="minorHAnsi" w:hAnsiTheme="minorHAnsi" w:cstheme="minorHAnsi"/>
          <w:b/>
          <w:bCs/>
          <w:sz w:val="22"/>
          <w:szCs w:val="22"/>
        </w:rPr>
        <w:fldChar w:fldCharType="begin"/>
      </w:r>
      <w:r w:rsidRPr="00E01239">
        <w:rPr>
          <w:rFonts w:asciiTheme="minorHAnsi" w:hAnsiTheme="minorHAnsi" w:cstheme="minorHAnsi"/>
          <w:b/>
          <w:bCs/>
          <w:sz w:val="22"/>
          <w:szCs w:val="22"/>
        </w:rPr>
        <w:instrText xml:space="preserve"> SEQ Tableau \* ARABIC </w:instrText>
      </w:r>
      <w:r w:rsidRPr="00E01239">
        <w:rPr>
          <w:rFonts w:asciiTheme="minorHAnsi" w:hAnsiTheme="minorHAnsi" w:cstheme="minorHAnsi"/>
          <w:b/>
          <w:bCs/>
          <w:sz w:val="22"/>
          <w:szCs w:val="22"/>
        </w:rPr>
        <w:fldChar w:fldCharType="separate"/>
      </w:r>
      <w:r w:rsidR="005C3166">
        <w:rPr>
          <w:rFonts w:asciiTheme="minorHAnsi" w:hAnsiTheme="minorHAnsi" w:cstheme="minorHAnsi"/>
          <w:b/>
          <w:bCs/>
          <w:noProof/>
          <w:sz w:val="22"/>
          <w:szCs w:val="22"/>
        </w:rPr>
        <w:t>5</w:t>
      </w:r>
      <w:r w:rsidRPr="00E01239">
        <w:rPr>
          <w:rFonts w:asciiTheme="minorHAnsi" w:hAnsiTheme="minorHAnsi" w:cstheme="minorHAnsi"/>
          <w:b/>
          <w:bCs/>
          <w:sz w:val="22"/>
          <w:szCs w:val="22"/>
        </w:rPr>
        <w:fldChar w:fldCharType="end"/>
      </w:r>
      <w:r w:rsidRPr="00E01239">
        <w:rPr>
          <w:rFonts w:asciiTheme="minorHAnsi" w:hAnsiTheme="minorHAnsi" w:cstheme="minorHAnsi"/>
          <w:b/>
          <w:bCs/>
          <w:sz w:val="22"/>
          <w:szCs w:val="22"/>
        </w:rPr>
        <w:t>:</w:t>
      </w:r>
      <w:r w:rsidRPr="00E01239">
        <w:rPr>
          <w:rFonts w:asciiTheme="minorHAnsi" w:hAnsiTheme="minorHAnsi" w:cstheme="minorHAnsi"/>
          <w:sz w:val="22"/>
          <w:szCs w:val="22"/>
        </w:rPr>
        <w:t xml:space="preserve"> </w:t>
      </w:r>
      <w:r w:rsidR="008E4D64" w:rsidRPr="00E01239">
        <w:rPr>
          <w:rFonts w:asciiTheme="minorHAnsi" w:hAnsiTheme="minorHAnsi" w:cstheme="minorHAnsi"/>
          <w:bCs/>
          <w:sz w:val="22"/>
          <w:szCs w:val="22"/>
        </w:rPr>
        <w:t>Dispositions juridiques relatives à la prévention et à la lutte contre les pollutions et nuisances</w:t>
      </w:r>
      <w:bookmarkEnd w:id="145"/>
      <w:bookmarkEnd w:id="146"/>
      <w:bookmarkEnd w:id="147"/>
      <w:bookmarkEnd w:id="148"/>
      <w:bookmarkEnd w:id="149"/>
      <w:bookmarkEnd w:id="150"/>
      <w:bookmarkEnd w:id="151"/>
      <w:bookmarkEnd w:id="152"/>
    </w:p>
    <w:tbl>
      <w:tblPr>
        <w:tblW w:w="5362"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95"/>
        <w:gridCol w:w="4346"/>
        <w:gridCol w:w="2776"/>
      </w:tblGrid>
      <w:tr w:rsidR="008E4D64" w:rsidRPr="00E01239" w14:paraId="67E5C94C" w14:textId="77777777" w:rsidTr="7CB1727A">
        <w:trPr>
          <w:trHeight w:val="675"/>
          <w:tblHeader/>
          <w:jc w:val="center"/>
        </w:trPr>
        <w:tc>
          <w:tcPr>
            <w:tcW w:w="1335" w:type="pct"/>
            <w:shd w:val="clear" w:color="auto" w:fill="1F3864" w:themeFill="accent5" w:themeFillShade="80"/>
            <w:vAlign w:val="center"/>
          </w:tcPr>
          <w:p w14:paraId="3532AB95"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Texte de référence</w:t>
            </w:r>
          </w:p>
        </w:tc>
        <w:tc>
          <w:tcPr>
            <w:tcW w:w="2236" w:type="pct"/>
            <w:shd w:val="clear" w:color="auto" w:fill="1F3864" w:themeFill="accent5" w:themeFillShade="80"/>
            <w:vAlign w:val="center"/>
          </w:tcPr>
          <w:p w14:paraId="73ED43AD"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Domaine réglementé</w:t>
            </w:r>
          </w:p>
        </w:tc>
        <w:tc>
          <w:tcPr>
            <w:tcW w:w="1428" w:type="pct"/>
            <w:shd w:val="clear" w:color="auto" w:fill="1F3864" w:themeFill="accent5" w:themeFillShade="80"/>
            <w:vAlign w:val="center"/>
          </w:tcPr>
          <w:p w14:paraId="704A27CD" w14:textId="77777777" w:rsidR="008E4D64" w:rsidRPr="00E01239" w:rsidRDefault="008E4D64" w:rsidP="00F43E8A">
            <w:pPr>
              <w:jc w:val="center"/>
              <w:rPr>
                <w:rFonts w:asciiTheme="minorHAnsi" w:hAnsiTheme="minorHAnsi" w:cstheme="minorHAnsi"/>
                <w:b/>
                <w:bCs/>
                <w:sz w:val="20"/>
                <w:szCs w:val="20"/>
              </w:rPr>
            </w:pPr>
            <w:r w:rsidRPr="00E01239">
              <w:rPr>
                <w:rFonts w:asciiTheme="minorHAnsi" w:hAnsiTheme="minorHAnsi" w:cstheme="minorHAnsi"/>
                <w:bCs/>
                <w:sz w:val="20"/>
                <w:szCs w:val="20"/>
              </w:rPr>
              <w:t>Pertinence pour le projet</w:t>
            </w:r>
          </w:p>
        </w:tc>
      </w:tr>
      <w:tr w:rsidR="008E4D64" w:rsidRPr="00E01239" w14:paraId="5BE7B7FE" w14:textId="77777777" w:rsidTr="7CB1727A">
        <w:trPr>
          <w:trHeight w:val="1317"/>
          <w:jc w:val="center"/>
        </w:trPr>
        <w:tc>
          <w:tcPr>
            <w:tcW w:w="1335" w:type="pct"/>
            <w:shd w:val="clear" w:color="auto" w:fill="auto"/>
            <w:vAlign w:val="center"/>
          </w:tcPr>
          <w:p w14:paraId="7568631D" w14:textId="77777777" w:rsidR="008E4D64" w:rsidRPr="00E01239" w:rsidRDefault="008E4D64" w:rsidP="00F43E8A">
            <w:pPr>
              <w:rPr>
                <w:rFonts w:asciiTheme="minorHAnsi" w:hAnsiTheme="minorHAnsi" w:cstheme="minorHAnsi"/>
                <w:b/>
                <w:bCs/>
                <w:sz w:val="20"/>
                <w:szCs w:val="20"/>
                <w:shd w:val="clear" w:color="auto" w:fill="FFFFFF"/>
              </w:rPr>
            </w:pPr>
            <w:r w:rsidRPr="00E01239">
              <w:rPr>
                <w:rFonts w:asciiTheme="minorHAnsi" w:eastAsia="Calibri" w:hAnsiTheme="minorHAnsi" w:cstheme="minorHAnsi"/>
                <w:bCs/>
                <w:sz w:val="20"/>
                <w:szCs w:val="20"/>
              </w:rPr>
              <w:t>Norme NS 05-061 sur les rejets d’eaux usées </w:t>
            </w:r>
          </w:p>
        </w:tc>
        <w:tc>
          <w:tcPr>
            <w:tcW w:w="2236" w:type="pct"/>
            <w:shd w:val="clear" w:color="auto" w:fill="auto"/>
            <w:vAlign w:val="center"/>
          </w:tcPr>
          <w:p w14:paraId="40AF4F10" w14:textId="77777777" w:rsidR="008E4D64" w:rsidRPr="00E01239" w:rsidRDefault="008E4D64" w:rsidP="00F43E8A">
            <w:pPr>
              <w:suppressAutoHyphens/>
              <w:jc w:val="both"/>
              <w:rPr>
                <w:rFonts w:asciiTheme="minorHAnsi" w:hAnsiTheme="minorHAnsi" w:cstheme="minorHAnsi"/>
                <w:sz w:val="20"/>
                <w:szCs w:val="20"/>
                <w:shd w:val="clear" w:color="auto" w:fill="FFFFFF"/>
              </w:rPr>
            </w:pPr>
            <w:r w:rsidRPr="00E01239">
              <w:rPr>
                <w:rFonts w:asciiTheme="minorHAnsi" w:eastAsia="Calibri" w:hAnsiTheme="minorHAnsi" w:cstheme="minorHAnsi"/>
                <w:sz w:val="20"/>
                <w:szCs w:val="20"/>
              </w:rPr>
              <w:t xml:space="preserve">C’est un document fixant les valeurs limites de rejets dans les milieux récepteurs et dans le réseau de l’ONAS. Elles prennent en considération les capacités d’autoépuration du milieu et visent à préserver leurs valeurs d’usage. </w:t>
            </w:r>
          </w:p>
        </w:tc>
        <w:tc>
          <w:tcPr>
            <w:tcW w:w="1428" w:type="pct"/>
            <w:shd w:val="clear" w:color="auto" w:fill="auto"/>
            <w:vAlign w:val="center"/>
          </w:tcPr>
          <w:p w14:paraId="2078F8A6" w14:textId="77777777" w:rsidR="008E4D64" w:rsidRPr="00E01239" w:rsidRDefault="008E4D64" w:rsidP="00F43E8A">
            <w:pPr>
              <w:jc w:val="both"/>
              <w:rPr>
                <w:rFonts w:asciiTheme="minorHAnsi" w:hAnsiTheme="minorHAnsi" w:cstheme="minorHAnsi"/>
                <w:sz w:val="20"/>
                <w:szCs w:val="20"/>
                <w:shd w:val="clear" w:color="auto" w:fill="FFFFFF"/>
              </w:rPr>
            </w:pPr>
            <w:r w:rsidRPr="00E01239">
              <w:rPr>
                <w:rFonts w:asciiTheme="minorHAnsi" w:eastAsia="Calibri" w:hAnsiTheme="minorHAnsi" w:cstheme="minorHAnsi"/>
                <w:sz w:val="20"/>
                <w:szCs w:val="20"/>
              </w:rPr>
              <w:t>Cette disposition est applicable en phase de chantier et d’exploitation du périmètre.</w:t>
            </w:r>
          </w:p>
        </w:tc>
      </w:tr>
      <w:tr w:rsidR="008E4D64" w:rsidRPr="00E01239" w14:paraId="33FE2620" w14:textId="77777777" w:rsidTr="7CB1727A">
        <w:trPr>
          <w:trHeight w:val="1707"/>
          <w:jc w:val="center"/>
        </w:trPr>
        <w:tc>
          <w:tcPr>
            <w:tcW w:w="1335" w:type="pct"/>
            <w:shd w:val="clear" w:color="auto" w:fill="auto"/>
            <w:vAlign w:val="center"/>
          </w:tcPr>
          <w:p w14:paraId="638A743F" w14:textId="77777777" w:rsidR="008E4D64" w:rsidRPr="00E01239" w:rsidRDefault="008E4D64" w:rsidP="00F43E8A">
            <w:pPr>
              <w:rPr>
                <w:rFonts w:asciiTheme="minorHAnsi" w:hAnsiTheme="minorHAnsi" w:cstheme="minorHAnsi"/>
                <w:b/>
                <w:bCs/>
                <w:iCs/>
                <w:sz w:val="20"/>
                <w:szCs w:val="20"/>
              </w:rPr>
            </w:pPr>
            <w:r w:rsidRPr="00E01239">
              <w:rPr>
                <w:rFonts w:asciiTheme="minorHAnsi" w:hAnsiTheme="minorHAnsi" w:cstheme="minorHAnsi"/>
                <w:sz w:val="20"/>
                <w:szCs w:val="20"/>
                <w:shd w:val="clear" w:color="auto" w:fill="FFFFFF"/>
              </w:rPr>
              <w:t>Arrêté interministériel n°7358 du 5 novembre 2003 fixant les conditions d’application de la norme NS 05 - 062 sur la pollution atmosphérique</w:t>
            </w:r>
          </w:p>
        </w:tc>
        <w:tc>
          <w:tcPr>
            <w:tcW w:w="2236" w:type="pct"/>
            <w:shd w:val="clear" w:color="auto" w:fill="auto"/>
            <w:vAlign w:val="center"/>
          </w:tcPr>
          <w:p w14:paraId="519A8115" w14:textId="77777777" w:rsidR="008E4D64" w:rsidRPr="00E01239" w:rsidRDefault="008E4D64" w:rsidP="00F43E8A">
            <w:pPr>
              <w:jc w:val="both"/>
              <w:rPr>
                <w:rFonts w:asciiTheme="minorHAnsi" w:hAnsiTheme="minorHAnsi" w:cstheme="minorHAnsi"/>
                <w:sz w:val="20"/>
                <w:szCs w:val="20"/>
                <w:shd w:val="clear" w:color="auto" w:fill="FFFFFF"/>
              </w:rPr>
            </w:pPr>
            <w:r w:rsidRPr="00E01239">
              <w:rPr>
                <w:rFonts w:asciiTheme="minorHAnsi" w:hAnsiTheme="minorHAnsi" w:cstheme="minorHAnsi"/>
                <w:sz w:val="20"/>
                <w:szCs w:val="20"/>
                <w:shd w:val="clear" w:color="auto" w:fill="FFFFFF"/>
              </w:rPr>
              <w:t xml:space="preserve">Il a pour objet d’appliquer la norme NS 05-062 réglementant les conditions de rejets de polluants atmosphériques dans l’air ambiant. La norme </w:t>
            </w:r>
            <w:r w:rsidRPr="00E01239">
              <w:rPr>
                <w:rFonts w:asciiTheme="minorHAnsi" w:hAnsiTheme="minorHAnsi" w:cstheme="minorHAnsi"/>
                <w:sz w:val="20"/>
                <w:szCs w:val="20"/>
              </w:rPr>
              <w:t>s’applique aux installations stationnaires existantes et nouvelles et aux véhicules susceptibles d’engendrer des effluents gazeux.</w:t>
            </w:r>
          </w:p>
        </w:tc>
        <w:tc>
          <w:tcPr>
            <w:tcW w:w="1428" w:type="pct"/>
            <w:shd w:val="clear" w:color="auto" w:fill="auto"/>
            <w:vAlign w:val="center"/>
          </w:tcPr>
          <w:p w14:paraId="2F56E78F" w14:textId="77777777" w:rsidR="008E4D64" w:rsidRPr="00E01239" w:rsidRDefault="008E4D64" w:rsidP="00F43E8A">
            <w:pPr>
              <w:jc w:val="both"/>
              <w:rPr>
                <w:rFonts w:asciiTheme="minorHAnsi" w:hAnsiTheme="minorHAnsi" w:cstheme="minorHAnsi"/>
                <w:sz w:val="20"/>
                <w:szCs w:val="20"/>
                <w:shd w:val="clear" w:color="auto" w:fill="FFFFFF"/>
              </w:rPr>
            </w:pPr>
            <w:r w:rsidRPr="00E01239">
              <w:rPr>
                <w:rFonts w:asciiTheme="minorHAnsi" w:hAnsiTheme="minorHAnsi" w:cstheme="minorHAnsi"/>
                <w:sz w:val="20"/>
                <w:szCs w:val="20"/>
                <w:shd w:val="clear" w:color="auto" w:fill="FFFFFF"/>
              </w:rPr>
              <w:t>Le projet est concerné par ces dispositions dans la mesure où les travaux pourraient dégrader la qualité de l’air (particules fines, gaz).</w:t>
            </w:r>
          </w:p>
        </w:tc>
      </w:tr>
      <w:tr w:rsidR="008E4D64" w:rsidRPr="00E01239" w14:paraId="275CDE41" w14:textId="77777777" w:rsidTr="7CB1727A">
        <w:trPr>
          <w:trHeight w:val="1249"/>
          <w:jc w:val="center"/>
        </w:trPr>
        <w:tc>
          <w:tcPr>
            <w:tcW w:w="1335" w:type="pct"/>
            <w:shd w:val="clear" w:color="auto" w:fill="auto"/>
            <w:vAlign w:val="center"/>
          </w:tcPr>
          <w:p w14:paraId="380976E9" w14:textId="77777777" w:rsidR="008E4D64" w:rsidRPr="00E01239" w:rsidRDefault="008E4D64" w:rsidP="00F43E8A">
            <w:pPr>
              <w:autoSpaceDE w:val="0"/>
              <w:autoSpaceDN w:val="0"/>
              <w:adjustRightInd w:val="0"/>
              <w:rPr>
                <w:rFonts w:asciiTheme="minorHAnsi" w:hAnsiTheme="minorHAnsi" w:cstheme="minorHAnsi"/>
                <w:b/>
                <w:bCs/>
                <w:iCs/>
                <w:sz w:val="20"/>
                <w:szCs w:val="20"/>
              </w:rPr>
            </w:pPr>
            <w:r w:rsidRPr="00E01239">
              <w:rPr>
                <w:rFonts w:asciiTheme="minorHAnsi" w:hAnsiTheme="minorHAnsi" w:cstheme="minorHAnsi"/>
                <w:iCs/>
                <w:sz w:val="20"/>
                <w:szCs w:val="20"/>
              </w:rPr>
              <w:t xml:space="preserve">Arrêté interministériel n° 09311du 05 octobre 2007 portant gestion des huiles usagées </w:t>
            </w:r>
          </w:p>
        </w:tc>
        <w:tc>
          <w:tcPr>
            <w:tcW w:w="2236" w:type="pct"/>
            <w:shd w:val="clear" w:color="auto" w:fill="auto"/>
            <w:vAlign w:val="center"/>
          </w:tcPr>
          <w:p w14:paraId="5E23A7F4" w14:textId="77777777" w:rsidR="008E4D64" w:rsidRPr="00E01239" w:rsidRDefault="008E4D64" w:rsidP="00F43E8A">
            <w:pPr>
              <w:jc w:val="both"/>
              <w:rPr>
                <w:rFonts w:asciiTheme="minorHAnsi" w:hAnsiTheme="minorHAnsi" w:cstheme="minorHAnsi"/>
                <w:sz w:val="20"/>
                <w:szCs w:val="20"/>
              </w:rPr>
            </w:pPr>
            <w:r w:rsidRPr="00E01239">
              <w:rPr>
                <w:rFonts w:asciiTheme="minorHAnsi" w:hAnsiTheme="minorHAnsi" w:cstheme="minorHAnsi"/>
                <w:sz w:val="20"/>
                <w:szCs w:val="20"/>
              </w:rPr>
              <w:t xml:space="preserve">L’arrêté interministériel fixe les conditions de gestion des huiles usagées. </w:t>
            </w:r>
          </w:p>
        </w:tc>
        <w:tc>
          <w:tcPr>
            <w:tcW w:w="1428" w:type="pct"/>
            <w:shd w:val="clear" w:color="auto" w:fill="auto"/>
            <w:vAlign w:val="center"/>
          </w:tcPr>
          <w:p w14:paraId="18EF1748" w14:textId="77777777" w:rsidR="008E4D64" w:rsidRPr="00E01239" w:rsidRDefault="008E4D64" w:rsidP="00F43E8A">
            <w:pPr>
              <w:jc w:val="both"/>
              <w:rPr>
                <w:rFonts w:asciiTheme="minorHAnsi" w:hAnsiTheme="minorHAnsi" w:cstheme="minorHAnsi"/>
                <w:sz w:val="20"/>
                <w:szCs w:val="20"/>
              </w:rPr>
            </w:pPr>
            <w:r w:rsidRPr="00E01239">
              <w:rPr>
                <w:rFonts w:asciiTheme="minorHAnsi" w:hAnsiTheme="minorHAnsi" w:cstheme="minorHAnsi"/>
                <w:sz w:val="20"/>
                <w:szCs w:val="20"/>
              </w:rPr>
              <w:t xml:space="preserve">Le projet est concerné </w:t>
            </w:r>
            <w:r w:rsidRPr="00E01239">
              <w:rPr>
                <w:rFonts w:asciiTheme="minorHAnsi" w:hAnsiTheme="minorHAnsi" w:cstheme="minorHAnsi"/>
                <w:sz w:val="20"/>
                <w:szCs w:val="20"/>
                <w:shd w:val="clear" w:color="auto" w:fill="FFFFFF"/>
              </w:rPr>
              <w:t>par ces dispositions dans la mesure où certaines machines et équipements pourraient produire des huiles usagées.</w:t>
            </w:r>
          </w:p>
        </w:tc>
      </w:tr>
      <w:tr w:rsidR="008E4D64" w:rsidRPr="00E01239" w14:paraId="24A971A2" w14:textId="77777777" w:rsidTr="7CB1727A">
        <w:trPr>
          <w:trHeight w:val="589"/>
          <w:jc w:val="center"/>
        </w:trPr>
        <w:tc>
          <w:tcPr>
            <w:tcW w:w="1335" w:type="pct"/>
            <w:shd w:val="clear" w:color="auto" w:fill="auto"/>
            <w:vAlign w:val="center"/>
          </w:tcPr>
          <w:p w14:paraId="30C726D3" w14:textId="77777777" w:rsidR="008E4D64" w:rsidRPr="00E01239" w:rsidRDefault="008E4D64" w:rsidP="00F43E8A">
            <w:pPr>
              <w:autoSpaceDE w:val="0"/>
              <w:autoSpaceDN w:val="0"/>
              <w:adjustRightInd w:val="0"/>
              <w:rPr>
                <w:rFonts w:asciiTheme="minorHAnsi" w:hAnsiTheme="minorHAnsi" w:cstheme="minorHAnsi"/>
                <w:iCs/>
                <w:sz w:val="20"/>
                <w:szCs w:val="20"/>
              </w:rPr>
            </w:pPr>
            <w:bookmarkStart w:id="153" w:name="_Toc26504951"/>
            <w:bookmarkStart w:id="154" w:name="_Toc63285551"/>
            <w:bookmarkStart w:id="155" w:name="_Hlk17567789"/>
            <w:r w:rsidRPr="00E01239">
              <w:rPr>
                <w:rFonts w:asciiTheme="minorHAnsi" w:hAnsiTheme="minorHAnsi" w:cstheme="minorHAnsi"/>
                <w:iCs/>
                <w:sz w:val="20"/>
                <w:szCs w:val="20"/>
              </w:rPr>
              <w:t>Décision numéro 00041 /ASN/PCA/sc du 12 décembre 2018 d’homologation de la norme sénégalaise NS 05-062, pollution atmosphérique - Norme de rejet : Caractéristiques des émissions</w:t>
            </w:r>
          </w:p>
        </w:tc>
        <w:tc>
          <w:tcPr>
            <w:tcW w:w="2236" w:type="pct"/>
            <w:shd w:val="clear" w:color="auto" w:fill="auto"/>
            <w:vAlign w:val="center"/>
          </w:tcPr>
          <w:p w14:paraId="632943DE" w14:textId="77777777" w:rsidR="008E4D64" w:rsidRPr="00E01239" w:rsidRDefault="008E4D64" w:rsidP="00F43E8A">
            <w:pPr>
              <w:jc w:val="both"/>
              <w:rPr>
                <w:rFonts w:asciiTheme="minorHAnsi" w:hAnsiTheme="minorHAnsi" w:cstheme="minorHAnsi"/>
                <w:sz w:val="20"/>
                <w:szCs w:val="20"/>
              </w:rPr>
            </w:pPr>
            <w:r w:rsidRPr="00E01239">
              <w:rPr>
                <w:rFonts w:asciiTheme="minorHAnsi" w:hAnsiTheme="minorHAnsi" w:cstheme="minorHAnsi"/>
                <w:sz w:val="20"/>
                <w:szCs w:val="20"/>
              </w:rPr>
              <w:t>Les installations existantes et nouvelles, stationnaires, doivent être équipées et exploitées de manière à respecter la limitation maximale des émissions fixée aux annexes I, II, III de la norme. Les émissions sont captées aussi complètement et aussi près que possible de leur source et évacuées de telle sorte qu’il n'en résulte pas d’émissions excessives. Leur rejet s’effectuera en général au-dessus des toits, par une cheminée ou un conduit d’évacuation. Des appareils, indiquant la direction et la vitesse, si nécessaire, du vent doivent être mis en place à proximité des installations susceptibles d'émettre dans l'atmosphère des substances dangereuses en cas de dysfonctionnement. Le débit des effluents gazeux est exprimé en mètres cubes par heure rapporté à des conditions normales de température (273 kelvins) et de pression (101,3 kilopascals) après déduction de la vapeur d’eau (gaz secs) et les concentrations en polluants sont exprimées en grammes (s) par mètre cube ou si nécessaire en d’autres unités rapportées aux mêmes conditions normales. L’arrêté d’autorisation doit préciser la teneur en oxygène des gaz résiduaires à laquelle sont rapportées les valeurs limites.</w:t>
            </w:r>
          </w:p>
        </w:tc>
        <w:tc>
          <w:tcPr>
            <w:tcW w:w="1428" w:type="pct"/>
            <w:shd w:val="clear" w:color="auto" w:fill="auto"/>
            <w:vAlign w:val="center"/>
          </w:tcPr>
          <w:p w14:paraId="411D85F9" w14:textId="0E4F13BF" w:rsidR="008E4D64" w:rsidRPr="00E01239" w:rsidRDefault="008E4D64" w:rsidP="00F43E8A">
            <w:pPr>
              <w:jc w:val="both"/>
              <w:rPr>
                <w:rFonts w:asciiTheme="minorHAnsi" w:hAnsiTheme="minorHAnsi" w:cstheme="minorHAnsi"/>
                <w:sz w:val="20"/>
                <w:szCs w:val="20"/>
              </w:rPr>
            </w:pPr>
            <w:r w:rsidRPr="00E01239">
              <w:rPr>
                <w:rFonts w:asciiTheme="minorHAnsi" w:hAnsiTheme="minorHAnsi" w:cstheme="minorHAnsi"/>
                <w:sz w:val="20"/>
                <w:szCs w:val="20"/>
              </w:rPr>
              <w:t xml:space="preserve">Le projet est concerné par ces dispositions dans la mesure où le secteur de l’élevage contribue aux émissions de GES. De plus, l’incinération des déchets biomédicaux issus des campagnes de vaccination contribue </w:t>
            </w:r>
            <w:r w:rsidR="00E35413">
              <w:rPr>
                <w:rFonts w:asciiTheme="minorHAnsi" w:hAnsiTheme="minorHAnsi" w:cstheme="minorHAnsi"/>
                <w:sz w:val="20"/>
                <w:szCs w:val="20"/>
              </w:rPr>
              <w:t>à</w:t>
            </w:r>
            <w:r w:rsidR="00E35413" w:rsidRPr="00E01239">
              <w:rPr>
                <w:rFonts w:asciiTheme="minorHAnsi" w:hAnsiTheme="minorHAnsi" w:cstheme="minorHAnsi"/>
                <w:sz w:val="20"/>
                <w:szCs w:val="20"/>
              </w:rPr>
              <w:t xml:space="preserve"> </w:t>
            </w:r>
            <w:r w:rsidRPr="00E01239">
              <w:rPr>
                <w:rFonts w:asciiTheme="minorHAnsi" w:hAnsiTheme="minorHAnsi" w:cstheme="minorHAnsi"/>
                <w:sz w:val="20"/>
                <w:szCs w:val="20"/>
              </w:rPr>
              <w:t>la dégradation de la qualité de l’air et aux émissions de particules fines et de GES.</w:t>
            </w:r>
          </w:p>
        </w:tc>
      </w:tr>
    </w:tbl>
    <w:p w14:paraId="4D5754CD" w14:textId="2812012D" w:rsidR="7CB1727A" w:rsidRPr="00E01239" w:rsidRDefault="7CB1727A" w:rsidP="00522938">
      <w:pPr>
        <w:pStyle w:val="Normaltableau0"/>
      </w:pPr>
    </w:p>
    <w:p w14:paraId="27261BA7" w14:textId="05F4C50E" w:rsidR="008E4D64" w:rsidRPr="00E01239" w:rsidRDefault="17050DAF" w:rsidP="7CB1727A">
      <w:pPr>
        <w:pStyle w:val="Titre2"/>
        <w:numPr>
          <w:ilvl w:val="1"/>
          <w:numId w:val="0"/>
        </w:numPr>
        <w:spacing w:before="120" w:line="360" w:lineRule="exact"/>
        <w:rPr>
          <w:rFonts w:asciiTheme="minorHAnsi" w:hAnsiTheme="minorHAnsi" w:cstheme="minorBidi"/>
          <w:color w:val="auto"/>
        </w:rPr>
      </w:pPr>
      <w:bookmarkStart w:id="156" w:name="_Toc118549323"/>
      <w:bookmarkStart w:id="157" w:name="_Toc144654065"/>
      <w:r w:rsidRPr="00E01239">
        <w:rPr>
          <w:rFonts w:asciiTheme="minorHAnsi" w:hAnsiTheme="minorHAnsi" w:cstheme="minorBidi"/>
          <w:color w:val="auto"/>
        </w:rPr>
        <w:lastRenderedPageBreak/>
        <w:t xml:space="preserve">4.3. </w:t>
      </w:r>
      <w:r w:rsidR="629FE571" w:rsidRPr="00E01239">
        <w:rPr>
          <w:rFonts w:asciiTheme="minorHAnsi" w:hAnsiTheme="minorHAnsi" w:cstheme="minorBidi"/>
          <w:color w:val="auto"/>
        </w:rPr>
        <w:t>CONVENTIONS INTERNATIONALES</w:t>
      </w:r>
      <w:bookmarkEnd w:id="153"/>
      <w:bookmarkEnd w:id="154"/>
      <w:bookmarkEnd w:id="156"/>
      <w:bookmarkEnd w:id="157"/>
    </w:p>
    <w:p w14:paraId="7BFF99ED"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place des textes internationaux dans le dispositif juridique national est précisée par le titre IX de la Constitution consacré aux traités internationaux. L’article 98 précise que les « </w:t>
      </w:r>
      <w:r w:rsidRPr="00E01239">
        <w:rPr>
          <w:rFonts w:asciiTheme="minorHAnsi" w:hAnsiTheme="minorHAnsi" w:cstheme="minorHAnsi"/>
          <w:b/>
          <w:bCs/>
          <w:sz w:val="22"/>
          <w:szCs w:val="22"/>
        </w:rPr>
        <w:t>traités ou accords régulièrement ratifiés ou approuvés ont, dès leur publication, une autorité supérieure à celle des lois, sous réserve, pour chaque accord ou traité, de son application par l’autre partie</w:t>
      </w:r>
      <w:r w:rsidRPr="00E01239">
        <w:rPr>
          <w:rFonts w:asciiTheme="minorHAnsi" w:hAnsiTheme="minorHAnsi" w:cstheme="minorHAnsi"/>
          <w:sz w:val="22"/>
          <w:szCs w:val="22"/>
        </w:rPr>
        <w:t xml:space="preserve"> ». Le Sénégal a signé et ratifié la plupart des conventions internationales relatives à la protection de l’environnement. </w:t>
      </w:r>
    </w:p>
    <w:p w14:paraId="17C10526" w14:textId="0D610F4D"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engagements souscrits par le Sénégal et qui intéressent le projet en question sont consignés dans le tableau </w:t>
      </w:r>
      <w:r w:rsidR="00FD3E9F" w:rsidRPr="00E01239">
        <w:rPr>
          <w:rFonts w:asciiTheme="minorHAnsi" w:hAnsiTheme="minorHAnsi" w:cstheme="minorHAnsi"/>
          <w:sz w:val="22"/>
          <w:szCs w:val="22"/>
        </w:rPr>
        <w:t xml:space="preserve">n°6 </w:t>
      </w:r>
      <w:r w:rsidRPr="00E01239">
        <w:rPr>
          <w:rFonts w:asciiTheme="minorHAnsi" w:hAnsiTheme="minorHAnsi" w:cstheme="minorHAnsi"/>
          <w:sz w:val="22"/>
          <w:szCs w:val="22"/>
        </w:rPr>
        <w:t>ci-après.</w:t>
      </w:r>
    </w:p>
    <w:p w14:paraId="62EF3395" w14:textId="77777777" w:rsidR="008E4D64" w:rsidRPr="00E01239" w:rsidRDefault="008E4D64" w:rsidP="00202CE9">
      <w:pPr>
        <w:spacing w:before="120" w:line="280" w:lineRule="exact"/>
        <w:jc w:val="both"/>
        <w:rPr>
          <w:rFonts w:asciiTheme="minorHAnsi" w:hAnsiTheme="minorHAnsi" w:cstheme="minorHAnsi"/>
          <w:sz w:val="22"/>
          <w:szCs w:val="22"/>
        </w:rPr>
        <w:sectPr w:rsidR="008E4D64" w:rsidRPr="00E01239" w:rsidSect="00F43E8A">
          <w:pgSz w:w="11907" w:h="16840" w:code="9"/>
          <w:pgMar w:top="1418" w:right="1418" w:bottom="1418" w:left="1418" w:header="720" w:footer="720" w:gutter="0"/>
          <w:cols w:space="60"/>
          <w:noEndnote/>
        </w:sectPr>
      </w:pPr>
    </w:p>
    <w:p w14:paraId="0D9ABE7D" w14:textId="314BF4C0" w:rsidR="008E4D64" w:rsidRPr="00E01239" w:rsidRDefault="00FD3E9F" w:rsidP="008E4D64">
      <w:pPr>
        <w:jc w:val="center"/>
        <w:rPr>
          <w:rFonts w:asciiTheme="minorHAnsi" w:hAnsiTheme="minorHAnsi" w:cstheme="minorHAnsi"/>
          <w:bCs/>
          <w:sz w:val="22"/>
          <w:szCs w:val="22"/>
        </w:rPr>
      </w:pPr>
      <w:bookmarkStart w:id="158" w:name="_Toc43107495"/>
      <w:bookmarkStart w:id="159" w:name="_Toc63281783"/>
      <w:bookmarkStart w:id="160" w:name="_Toc118549378"/>
      <w:r w:rsidRPr="00E01239">
        <w:rPr>
          <w:rFonts w:asciiTheme="minorHAnsi" w:hAnsiTheme="minorHAnsi" w:cstheme="minorHAnsi"/>
          <w:b/>
          <w:bCs/>
          <w:sz w:val="22"/>
          <w:szCs w:val="22"/>
        </w:rPr>
        <w:lastRenderedPageBreak/>
        <w:t xml:space="preserve"> </w:t>
      </w:r>
      <w:bookmarkStart w:id="161" w:name="_Toc144654186"/>
      <w:r w:rsidRPr="00E01239">
        <w:rPr>
          <w:rFonts w:asciiTheme="minorHAnsi" w:hAnsiTheme="minorHAnsi" w:cstheme="minorHAnsi"/>
          <w:b/>
          <w:bCs/>
          <w:sz w:val="22"/>
          <w:szCs w:val="22"/>
        </w:rPr>
        <w:t xml:space="preserve">Tableau </w:t>
      </w:r>
      <w:r w:rsidRPr="00E01239">
        <w:rPr>
          <w:rFonts w:asciiTheme="minorHAnsi" w:hAnsiTheme="minorHAnsi" w:cstheme="minorHAnsi"/>
          <w:b/>
          <w:bCs/>
          <w:sz w:val="22"/>
          <w:szCs w:val="22"/>
        </w:rPr>
        <w:fldChar w:fldCharType="begin"/>
      </w:r>
      <w:r w:rsidRPr="00E01239">
        <w:rPr>
          <w:rFonts w:asciiTheme="minorHAnsi" w:hAnsiTheme="minorHAnsi" w:cstheme="minorHAnsi"/>
          <w:b/>
          <w:bCs/>
          <w:sz w:val="22"/>
          <w:szCs w:val="22"/>
        </w:rPr>
        <w:instrText xml:space="preserve"> SEQ Tableau \* ARABIC </w:instrText>
      </w:r>
      <w:r w:rsidRPr="00E01239">
        <w:rPr>
          <w:rFonts w:asciiTheme="minorHAnsi" w:hAnsiTheme="minorHAnsi" w:cstheme="minorHAnsi"/>
          <w:b/>
          <w:bCs/>
          <w:sz w:val="22"/>
          <w:szCs w:val="22"/>
        </w:rPr>
        <w:fldChar w:fldCharType="separate"/>
      </w:r>
      <w:r w:rsidR="005C3166">
        <w:rPr>
          <w:rFonts w:asciiTheme="minorHAnsi" w:hAnsiTheme="minorHAnsi" w:cstheme="minorHAnsi"/>
          <w:b/>
          <w:bCs/>
          <w:noProof/>
          <w:sz w:val="22"/>
          <w:szCs w:val="22"/>
        </w:rPr>
        <w:t>6</w:t>
      </w:r>
      <w:r w:rsidRPr="00E01239">
        <w:rPr>
          <w:rFonts w:asciiTheme="minorHAnsi" w:hAnsiTheme="minorHAnsi" w:cstheme="minorHAnsi"/>
          <w:b/>
          <w:bCs/>
          <w:sz w:val="22"/>
          <w:szCs w:val="22"/>
        </w:rPr>
        <w:fldChar w:fldCharType="end"/>
      </w:r>
      <w:r w:rsidRPr="00E01239">
        <w:rPr>
          <w:rFonts w:asciiTheme="minorHAnsi" w:hAnsiTheme="minorHAnsi" w:cstheme="minorHAnsi"/>
          <w:b/>
          <w:bCs/>
          <w:sz w:val="22"/>
          <w:szCs w:val="22"/>
        </w:rPr>
        <w:t>:</w:t>
      </w:r>
      <w:r w:rsidR="008E4D64" w:rsidRPr="00E01239">
        <w:rPr>
          <w:rFonts w:asciiTheme="minorHAnsi" w:hAnsiTheme="minorHAnsi" w:cstheme="minorHAnsi"/>
          <w:b/>
          <w:sz w:val="22"/>
          <w:szCs w:val="22"/>
        </w:rPr>
        <w:t xml:space="preserve"> </w:t>
      </w:r>
      <w:r w:rsidR="008E4D64" w:rsidRPr="00E01239">
        <w:rPr>
          <w:rFonts w:asciiTheme="minorHAnsi" w:hAnsiTheme="minorHAnsi" w:cstheme="minorHAnsi"/>
          <w:bCs/>
          <w:sz w:val="22"/>
          <w:szCs w:val="22"/>
        </w:rPr>
        <w:t>Conventions et traités internationaux applicables au projet</w:t>
      </w:r>
      <w:bookmarkEnd w:id="158"/>
      <w:bookmarkEnd w:id="159"/>
      <w:bookmarkEnd w:id="160"/>
      <w:bookmarkEnd w:id="161"/>
    </w:p>
    <w:tbl>
      <w:tblPr>
        <w:tblW w:w="4948"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6799"/>
        <w:gridCol w:w="7049"/>
      </w:tblGrid>
      <w:tr w:rsidR="008E4D64" w:rsidRPr="00E01239" w14:paraId="62D84E32" w14:textId="77777777" w:rsidTr="00202CE9">
        <w:trPr>
          <w:trHeight w:val="531"/>
          <w:tblHeader/>
          <w:jc w:val="center"/>
        </w:trPr>
        <w:tc>
          <w:tcPr>
            <w:tcW w:w="2455" w:type="pct"/>
            <w:shd w:val="clear" w:color="auto" w:fill="1F3864" w:themeFill="accent5" w:themeFillShade="80"/>
            <w:vAlign w:val="center"/>
            <w:hideMark/>
          </w:tcPr>
          <w:p w14:paraId="048A6F58" w14:textId="77777777" w:rsidR="008E4D64" w:rsidRPr="00E01239" w:rsidRDefault="008E4D64" w:rsidP="00F43E8A">
            <w:pPr>
              <w:pStyle w:val="cg"/>
              <w:spacing w:before="0" w:after="0"/>
              <w:jc w:val="center"/>
              <w:rPr>
                <w:rFonts w:asciiTheme="minorHAnsi" w:eastAsia="Calibri" w:hAnsiTheme="minorHAnsi" w:cstheme="minorHAnsi"/>
                <w:sz w:val="20"/>
                <w:szCs w:val="22"/>
                <w:lang w:eastAsia="en-US"/>
              </w:rPr>
            </w:pPr>
            <w:r w:rsidRPr="00E01239">
              <w:rPr>
                <w:rFonts w:asciiTheme="minorHAnsi" w:eastAsia="Calibri" w:hAnsiTheme="minorHAnsi" w:cstheme="minorHAnsi"/>
                <w:sz w:val="20"/>
                <w:szCs w:val="22"/>
                <w:lang w:eastAsia="en-US"/>
              </w:rPr>
              <w:t>Convention/Traité international</w:t>
            </w:r>
          </w:p>
        </w:tc>
        <w:tc>
          <w:tcPr>
            <w:tcW w:w="2545" w:type="pct"/>
            <w:shd w:val="clear" w:color="auto" w:fill="1F3864" w:themeFill="accent5" w:themeFillShade="80"/>
            <w:vAlign w:val="center"/>
            <w:hideMark/>
          </w:tcPr>
          <w:p w14:paraId="4DDE43B5" w14:textId="77777777" w:rsidR="008E4D64" w:rsidRPr="00E01239" w:rsidRDefault="008E4D64" w:rsidP="00F43E8A">
            <w:pPr>
              <w:pStyle w:val="cg"/>
              <w:spacing w:before="0" w:after="0"/>
              <w:jc w:val="center"/>
              <w:rPr>
                <w:rFonts w:asciiTheme="minorHAnsi" w:eastAsia="Calibri" w:hAnsiTheme="minorHAnsi" w:cstheme="minorHAnsi"/>
                <w:sz w:val="20"/>
                <w:szCs w:val="22"/>
                <w:lang w:eastAsia="en-US"/>
              </w:rPr>
            </w:pPr>
            <w:r w:rsidRPr="00E01239">
              <w:rPr>
                <w:rFonts w:asciiTheme="minorHAnsi" w:eastAsia="Calibri" w:hAnsiTheme="minorHAnsi" w:cstheme="minorHAnsi"/>
                <w:sz w:val="20"/>
                <w:szCs w:val="22"/>
                <w:lang w:eastAsia="en-US"/>
              </w:rPr>
              <w:t>Pertinence par rapport au projet</w:t>
            </w:r>
          </w:p>
        </w:tc>
      </w:tr>
      <w:tr w:rsidR="008E4D64" w:rsidRPr="00E01239" w14:paraId="671B8814" w14:textId="77777777" w:rsidTr="00F43E8A">
        <w:trPr>
          <w:trHeight w:val="605"/>
          <w:jc w:val="center"/>
        </w:trPr>
        <w:tc>
          <w:tcPr>
            <w:tcW w:w="2455" w:type="pct"/>
            <w:shd w:val="clear" w:color="auto" w:fill="auto"/>
            <w:vAlign w:val="center"/>
            <w:hideMark/>
          </w:tcPr>
          <w:p w14:paraId="1F3CAD08"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Convention de Bâle sur le contrôle des mouvements transfrontaliers de déchets dangereux et de leur élimination (1989)</w:t>
            </w:r>
          </w:p>
        </w:tc>
        <w:tc>
          <w:tcPr>
            <w:tcW w:w="2545" w:type="pct"/>
            <w:vMerge w:val="restart"/>
            <w:shd w:val="clear" w:color="auto" w:fill="auto"/>
            <w:vAlign w:val="center"/>
            <w:hideMark/>
          </w:tcPr>
          <w:p w14:paraId="75C6CFB7" w14:textId="0AB538BC"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 xml:space="preserve">Ces </w:t>
            </w:r>
            <w:r w:rsidR="003E3A9F">
              <w:rPr>
                <w:rFonts w:asciiTheme="minorHAnsi" w:hAnsiTheme="minorHAnsi" w:cstheme="minorHAnsi"/>
                <w:sz w:val="20"/>
                <w:szCs w:val="22"/>
                <w:shd w:val="clear" w:color="auto" w:fill="FFFFFF"/>
              </w:rPr>
              <w:t>deux</w:t>
            </w:r>
            <w:r w:rsidR="003E3A9F" w:rsidRPr="00E01239">
              <w:rPr>
                <w:rFonts w:asciiTheme="minorHAnsi" w:hAnsiTheme="minorHAnsi" w:cstheme="minorHAnsi"/>
                <w:sz w:val="20"/>
                <w:szCs w:val="22"/>
                <w:shd w:val="clear" w:color="auto" w:fill="FFFFFF"/>
              </w:rPr>
              <w:t xml:space="preserve"> </w:t>
            </w:r>
            <w:r w:rsidRPr="00E01239">
              <w:rPr>
                <w:rFonts w:asciiTheme="minorHAnsi" w:hAnsiTheme="minorHAnsi" w:cstheme="minorHAnsi"/>
                <w:sz w:val="20"/>
                <w:szCs w:val="22"/>
                <w:shd w:val="clear" w:color="auto" w:fill="FFFFFF"/>
              </w:rPr>
              <w:t>conventions s’appliquent au projet qui revêt une composante gestion des déchets biomédicaux et qui font usage de pesticides</w:t>
            </w:r>
          </w:p>
        </w:tc>
      </w:tr>
      <w:tr w:rsidR="008E4D64" w:rsidRPr="00E01239" w14:paraId="30CE6226" w14:textId="77777777" w:rsidTr="00F43E8A">
        <w:trPr>
          <w:trHeight w:val="1124"/>
          <w:jc w:val="center"/>
        </w:trPr>
        <w:tc>
          <w:tcPr>
            <w:tcW w:w="2455" w:type="pct"/>
            <w:shd w:val="clear" w:color="auto" w:fill="auto"/>
            <w:vAlign w:val="center"/>
            <w:hideMark/>
          </w:tcPr>
          <w:p w14:paraId="264056FC"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 xml:space="preserve">Convention africaine sur l’interdiction de l’importation en Afrique de déchets dangereux sous toutes les formes et le contrôle transfrontière de pareils déchets produits en Afrique ; adoptée à Bamako le 30 janvier 1991 </w:t>
            </w:r>
          </w:p>
        </w:tc>
        <w:tc>
          <w:tcPr>
            <w:tcW w:w="2545" w:type="pct"/>
            <w:vMerge/>
            <w:shd w:val="clear" w:color="auto" w:fill="auto"/>
            <w:vAlign w:val="center"/>
            <w:hideMark/>
          </w:tcPr>
          <w:p w14:paraId="0D55D4B8"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p>
        </w:tc>
      </w:tr>
      <w:tr w:rsidR="008E4D64" w:rsidRPr="00E01239" w14:paraId="26A65FC2" w14:textId="77777777" w:rsidTr="00F43E8A">
        <w:trPr>
          <w:trHeight w:val="403"/>
          <w:jc w:val="center"/>
        </w:trPr>
        <w:tc>
          <w:tcPr>
            <w:tcW w:w="2455" w:type="pct"/>
            <w:shd w:val="clear" w:color="auto" w:fill="auto"/>
            <w:vAlign w:val="center"/>
            <w:hideMark/>
          </w:tcPr>
          <w:p w14:paraId="78981455"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Convention Cadre des Nations Unies sur les Changements Climatiques adoptée à Rio le 5 juin 1992</w:t>
            </w:r>
          </w:p>
        </w:tc>
        <w:tc>
          <w:tcPr>
            <w:tcW w:w="2545" w:type="pct"/>
            <w:vMerge w:val="restart"/>
            <w:shd w:val="clear" w:color="auto" w:fill="auto"/>
            <w:vAlign w:val="center"/>
          </w:tcPr>
          <w:p w14:paraId="7D50FA7C"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La machinerie utilisée dans le cadre des travaux est susceptible d’émettre des Gaz à Effet de Serre (CO2) qui participent au réchauffement climatique.</w:t>
            </w:r>
          </w:p>
        </w:tc>
      </w:tr>
      <w:tr w:rsidR="008E4D64" w:rsidRPr="00E01239" w14:paraId="564E5577" w14:textId="77777777" w:rsidTr="00F43E8A">
        <w:trPr>
          <w:trHeight w:val="778"/>
          <w:jc w:val="center"/>
        </w:trPr>
        <w:tc>
          <w:tcPr>
            <w:tcW w:w="2455" w:type="pct"/>
            <w:shd w:val="clear" w:color="auto" w:fill="auto"/>
            <w:vAlign w:val="center"/>
            <w:hideMark/>
          </w:tcPr>
          <w:p w14:paraId="57B460EE"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Protocole de Montréal relatif aux substances qui appauvrissent la couche d’ozone adopté à Montréal en 1987, ajusté et/ou amendé à Londres (1990), Copenhague (1992), Vienne (1995), Montréal (1997) et Beijing (1999).</w:t>
            </w:r>
          </w:p>
        </w:tc>
        <w:tc>
          <w:tcPr>
            <w:tcW w:w="2545" w:type="pct"/>
            <w:vMerge/>
            <w:shd w:val="clear" w:color="auto" w:fill="auto"/>
            <w:vAlign w:val="center"/>
            <w:hideMark/>
          </w:tcPr>
          <w:p w14:paraId="3DF760EE"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p>
        </w:tc>
      </w:tr>
      <w:tr w:rsidR="008E4D64" w:rsidRPr="00E01239" w14:paraId="7E8250F4" w14:textId="77777777" w:rsidTr="00F43E8A">
        <w:trPr>
          <w:trHeight w:val="353"/>
          <w:jc w:val="center"/>
        </w:trPr>
        <w:tc>
          <w:tcPr>
            <w:tcW w:w="2455" w:type="pct"/>
            <w:shd w:val="clear" w:color="auto" w:fill="auto"/>
            <w:vAlign w:val="center"/>
            <w:hideMark/>
          </w:tcPr>
          <w:p w14:paraId="16318941"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Le Protocole de Kyoto relatif à la Convention Cadre des Nations Unies sur les Changements Climatiques signée à Kyoto (Japon) le 11 décembre 1997</w:t>
            </w:r>
          </w:p>
        </w:tc>
        <w:tc>
          <w:tcPr>
            <w:tcW w:w="2545" w:type="pct"/>
            <w:vMerge/>
            <w:shd w:val="clear" w:color="auto" w:fill="auto"/>
            <w:vAlign w:val="center"/>
            <w:hideMark/>
          </w:tcPr>
          <w:p w14:paraId="056B3FFC"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p>
        </w:tc>
      </w:tr>
      <w:tr w:rsidR="008E4D64" w:rsidRPr="00E01239" w14:paraId="10F0A50E" w14:textId="77777777" w:rsidTr="00F43E8A">
        <w:trPr>
          <w:trHeight w:val="476"/>
          <w:jc w:val="center"/>
        </w:trPr>
        <w:tc>
          <w:tcPr>
            <w:tcW w:w="2455" w:type="pct"/>
            <w:shd w:val="clear" w:color="auto" w:fill="auto"/>
            <w:vAlign w:val="center"/>
            <w:hideMark/>
          </w:tcPr>
          <w:p w14:paraId="6868997F"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Convention sur les Polluants Organiques Persistants (POP) adopté à Stockholm (Suède) le 22 mai 2001</w:t>
            </w:r>
          </w:p>
        </w:tc>
        <w:tc>
          <w:tcPr>
            <w:tcW w:w="2545" w:type="pct"/>
            <w:shd w:val="clear" w:color="auto" w:fill="auto"/>
            <w:vAlign w:val="center"/>
            <w:hideMark/>
          </w:tcPr>
          <w:p w14:paraId="0FD59CE5"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Les déchets organiques doivent faire l’objet d’un traitement spécifique.</w:t>
            </w:r>
          </w:p>
        </w:tc>
      </w:tr>
      <w:tr w:rsidR="008E4D64" w:rsidRPr="00E01239" w14:paraId="56A2B7A9" w14:textId="77777777" w:rsidTr="00F43E8A">
        <w:trPr>
          <w:trHeight w:val="680"/>
          <w:jc w:val="center"/>
        </w:trPr>
        <w:tc>
          <w:tcPr>
            <w:tcW w:w="2455" w:type="pct"/>
            <w:shd w:val="clear" w:color="auto" w:fill="auto"/>
            <w:vAlign w:val="center"/>
          </w:tcPr>
          <w:p w14:paraId="7AF8D5D6"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Accord de Paris sur le Climat, 2015</w:t>
            </w:r>
          </w:p>
        </w:tc>
        <w:tc>
          <w:tcPr>
            <w:tcW w:w="2545" w:type="pct"/>
            <w:shd w:val="clear" w:color="auto" w:fill="auto"/>
            <w:vAlign w:val="center"/>
          </w:tcPr>
          <w:p w14:paraId="37306515"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 xml:space="preserve">Le secteur de l’élevage participe pour beaucoup aux émissions de gaz à effet de serre. Les animaux d’élevage représentent environ 16,5 % des émissions de gaz à effet de serre. La production de viande, de lait et d’œufs exerce une pression accrue sur l’environnement notamment sur l’utilisation des terres. </w:t>
            </w:r>
          </w:p>
        </w:tc>
      </w:tr>
      <w:tr w:rsidR="008E4D64" w:rsidRPr="00E01239" w14:paraId="70BE8168" w14:textId="77777777" w:rsidTr="00F43E8A">
        <w:trPr>
          <w:trHeight w:val="569"/>
          <w:jc w:val="center"/>
        </w:trPr>
        <w:tc>
          <w:tcPr>
            <w:tcW w:w="2455" w:type="pct"/>
            <w:shd w:val="clear" w:color="auto" w:fill="auto"/>
            <w:vAlign w:val="center"/>
          </w:tcPr>
          <w:p w14:paraId="3B6CB0DA"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Charte africaine des droits de l’Homme et des peuples adoptés à Nairobi le 23 septembre 1981</w:t>
            </w:r>
          </w:p>
        </w:tc>
        <w:tc>
          <w:tcPr>
            <w:tcW w:w="2545" w:type="pct"/>
            <w:shd w:val="clear" w:color="auto" w:fill="auto"/>
            <w:vAlign w:val="center"/>
          </w:tcPr>
          <w:p w14:paraId="53C96898"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Le projet doit respecter le droit des populations à vivre dans un environnement sain</w:t>
            </w:r>
          </w:p>
        </w:tc>
      </w:tr>
      <w:tr w:rsidR="008E4D64" w:rsidRPr="00E01239" w14:paraId="473AB2AA" w14:textId="77777777" w:rsidTr="00F43E8A">
        <w:trPr>
          <w:trHeight w:val="1155"/>
          <w:jc w:val="center"/>
        </w:trPr>
        <w:tc>
          <w:tcPr>
            <w:tcW w:w="2455" w:type="pct"/>
            <w:shd w:val="clear" w:color="auto" w:fill="auto"/>
            <w:vAlign w:val="center"/>
          </w:tcPr>
          <w:p w14:paraId="57776C17" w14:textId="77777777" w:rsidR="008E4D64" w:rsidRPr="00E01239" w:rsidRDefault="008E4D64" w:rsidP="00F43E8A">
            <w:pPr>
              <w:rPr>
                <w:rFonts w:asciiTheme="minorHAnsi" w:eastAsia="Calibri" w:hAnsiTheme="minorHAnsi" w:cstheme="minorHAnsi"/>
                <w:sz w:val="20"/>
                <w:szCs w:val="22"/>
              </w:rPr>
            </w:pPr>
            <w:r w:rsidRPr="00E01239">
              <w:rPr>
                <w:rFonts w:asciiTheme="minorHAnsi" w:eastAsia="Calibri" w:hAnsiTheme="minorHAnsi" w:cstheme="minorHAnsi"/>
                <w:sz w:val="20"/>
                <w:szCs w:val="22"/>
              </w:rPr>
              <w:t>Convention n° 161 sur les services de santé au travail, 1985</w:t>
            </w:r>
          </w:p>
        </w:tc>
        <w:tc>
          <w:tcPr>
            <w:tcW w:w="2545" w:type="pct"/>
            <w:shd w:val="clear" w:color="auto" w:fill="auto"/>
            <w:vAlign w:val="center"/>
          </w:tcPr>
          <w:p w14:paraId="1B7A8B32" w14:textId="77777777" w:rsidR="008E4D64" w:rsidRPr="00E01239" w:rsidRDefault="008E4D64" w:rsidP="00F43E8A">
            <w:pPr>
              <w:pStyle w:val="cg"/>
              <w:spacing w:before="0" w:after="0"/>
              <w:jc w:val="both"/>
              <w:rPr>
                <w:rFonts w:asciiTheme="minorHAnsi" w:eastAsia="Calibri" w:hAnsiTheme="minorHAnsi" w:cstheme="minorHAnsi"/>
                <w:sz w:val="20"/>
                <w:szCs w:val="22"/>
                <w:lang w:eastAsia="en-US"/>
              </w:rPr>
            </w:pPr>
            <w:r w:rsidRPr="00E01239">
              <w:rPr>
                <w:rFonts w:asciiTheme="minorHAnsi" w:hAnsiTheme="minorHAnsi" w:cstheme="minorHAnsi"/>
                <w:sz w:val="20"/>
                <w:szCs w:val="22"/>
                <w:shd w:val="clear" w:color="auto" w:fill="FFFFFF"/>
              </w:rPr>
              <w:t>Les entreprises de travaux et certaines infrastructures doivent instituer des services de santé au travail pour tous les travailleurs, y compris ceux du secteur public et les opérateurs des coopératives de production, dans toutes les branches d'activité économique et toutes les entreprises ; les dispositions prises devraient être adéquates et appropriées aux risques spécifiques prévalant dans les entreprises.</w:t>
            </w:r>
          </w:p>
        </w:tc>
      </w:tr>
      <w:tr w:rsidR="008E4D64" w:rsidRPr="00E01239" w14:paraId="348B4447" w14:textId="77777777" w:rsidTr="00F43E8A">
        <w:trPr>
          <w:trHeight w:val="975"/>
          <w:jc w:val="center"/>
        </w:trPr>
        <w:tc>
          <w:tcPr>
            <w:tcW w:w="2455" w:type="pct"/>
            <w:shd w:val="clear" w:color="auto" w:fill="auto"/>
            <w:vAlign w:val="center"/>
          </w:tcPr>
          <w:p w14:paraId="31E4F1C2" w14:textId="77777777" w:rsidR="008E4D64" w:rsidRPr="00E01239" w:rsidRDefault="008E4D64" w:rsidP="00F43E8A">
            <w:pPr>
              <w:rPr>
                <w:rFonts w:asciiTheme="minorHAnsi" w:eastAsia="Calibri" w:hAnsiTheme="minorHAnsi" w:cstheme="minorHAnsi"/>
                <w:sz w:val="20"/>
                <w:szCs w:val="22"/>
              </w:rPr>
            </w:pPr>
            <w:r w:rsidRPr="00E01239">
              <w:rPr>
                <w:rFonts w:asciiTheme="minorHAnsi" w:eastAsia="Calibri" w:hAnsiTheme="minorHAnsi" w:cstheme="minorHAnsi"/>
                <w:sz w:val="20"/>
                <w:szCs w:val="22"/>
              </w:rPr>
              <w:lastRenderedPageBreak/>
              <w:t>Convention n° 187 de l’Organisation Internationale du travail sur le cadre promotionnel pour la sécurité et la santé au travail, 2006</w:t>
            </w:r>
          </w:p>
        </w:tc>
        <w:tc>
          <w:tcPr>
            <w:tcW w:w="2545" w:type="pct"/>
            <w:shd w:val="clear" w:color="auto" w:fill="auto"/>
            <w:vAlign w:val="center"/>
          </w:tcPr>
          <w:p w14:paraId="371B7CB0" w14:textId="77777777" w:rsidR="008E4D64" w:rsidRPr="00E01239" w:rsidRDefault="008E4D64" w:rsidP="00F43E8A">
            <w:pPr>
              <w:pStyle w:val="cg"/>
              <w:spacing w:before="0" w:after="0"/>
              <w:jc w:val="both"/>
              <w:rPr>
                <w:rFonts w:asciiTheme="minorHAnsi" w:hAnsiTheme="minorHAnsi" w:cstheme="minorHAnsi"/>
                <w:sz w:val="20"/>
                <w:szCs w:val="22"/>
                <w:shd w:val="clear" w:color="auto" w:fill="FFFFFF"/>
              </w:rPr>
            </w:pPr>
            <w:r w:rsidRPr="00E01239">
              <w:rPr>
                <w:rFonts w:asciiTheme="minorHAnsi" w:hAnsiTheme="minorHAnsi" w:cstheme="minorHAnsi"/>
                <w:sz w:val="20"/>
                <w:szCs w:val="22"/>
                <w:shd w:val="clear" w:color="auto" w:fill="FFFFFF"/>
              </w:rPr>
              <w:t>Les entreprises de travaux doivent promouvoir l'amélioration continue de la sécurité et de la santé au travail pour prévenir les lésions et maladies professionnelles et les décès imputables au travail par le développement, en consultation avec les organisations d'employeurs et de travailleurs les plus représentatives, d'une politique nationale, d'un système national et d'un programme national.</w:t>
            </w:r>
          </w:p>
        </w:tc>
      </w:tr>
      <w:tr w:rsidR="008E4D64" w:rsidRPr="00E01239" w14:paraId="4077CC6F" w14:textId="77777777" w:rsidTr="00F43E8A">
        <w:trPr>
          <w:trHeight w:val="1065"/>
          <w:jc w:val="center"/>
        </w:trPr>
        <w:tc>
          <w:tcPr>
            <w:tcW w:w="2455" w:type="pct"/>
            <w:shd w:val="clear" w:color="auto" w:fill="auto"/>
            <w:vAlign w:val="center"/>
          </w:tcPr>
          <w:p w14:paraId="5DC7378D" w14:textId="77777777" w:rsidR="008E4D64" w:rsidRPr="00E01239" w:rsidRDefault="008E4D64" w:rsidP="00F43E8A">
            <w:pPr>
              <w:rPr>
                <w:rFonts w:asciiTheme="minorHAnsi" w:eastAsia="Calibri" w:hAnsiTheme="minorHAnsi" w:cstheme="minorHAnsi"/>
                <w:sz w:val="20"/>
                <w:szCs w:val="22"/>
              </w:rPr>
            </w:pPr>
            <w:r w:rsidRPr="00E01239">
              <w:rPr>
                <w:rFonts w:asciiTheme="minorHAnsi" w:eastAsia="Calibri" w:hAnsiTheme="minorHAnsi" w:cstheme="minorHAnsi"/>
                <w:sz w:val="20"/>
                <w:szCs w:val="22"/>
              </w:rPr>
              <w:t>Convention 155 de l’OIT (1981) sur la sécurité et la santé au travail</w:t>
            </w:r>
          </w:p>
        </w:tc>
        <w:tc>
          <w:tcPr>
            <w:tcW w:w="2545" w:type="pct"/>
            <w:shd w:val="clear" w:color="auto" w:fill="auto"/>
            <w:vAlign w:val="center"/>
          </w:tcPr>
          <w:p w14:paraId="3EAAFB4F" w14:textId="77777777" w:rsidR="008E4D64" w:rsidRPr="00E01239" w:rsidRDefault="008E4D64" w:rsidP="00F43E8A">
            <w:pPr>
              <w:pStyle w:val="cg"/>
              <w:spacing w:before="0" w:after="0"/>
              <w:jc w:val="both"/>
              <w:rPr>
                <w:rFonts w:asciiTheme="minorHAnsi" w:eastAsia="Calibri" w:hAnsiTheme="minorHAnsi" w:cstheme="minorHAnsi"/>
                <w:sz w:val="20"/>
                <w:szCs w:val="22"/>
                <w:lang w:eastAsia="en-US"/>
              </w:rPr>
            </w:pPr>
            <w:r w:rsidRPr="00E01239">
              <w:rPr>
                <w:rFonts w:asciiTheme="minorHAnsi" w:eastAsia="Calibri" w:hAnsiTheme="minorHAnsi" w:cstheme="minorHAnsi"/>
                <w:sz w:val="20"/>
                <w:szCs w:val="22"/>
                <w:lang w:eastAsia="en-US"/>
              </w:rPr>
              <w:t>La Convention dispose que l’autorité étatique doit consulter les organisations professionnelles représentatives des employeurs et des travailleurs, pour assurer l’application des dispositions législatives, coordonner les activités en matière de sécurité et santé des travailleurs et promouvoir des échanges entre les différents acteurs du milieu du travail.</w:t>
            </w:r>
          </w:p>
        </w:tc>
      </w:tr>
    </w:tbl>
    <w:p w14:paraId="4EEA83C8" w14:textId="77777777" w:rsidR="008E4D64" w:rsidRPr="00E01239" w:rsidRDefault="008E4D64" w:rsidP="008E4D64">
      <w:pPr>
        <w:spacing w:before="120" w:line="360" w:lineRule="exact"/>
        <w:jc w:val="both"/>
        <w:rPr>
          <w:rFonts w:asciiTheme="minorHAnsi" w:hAnsiTheme="minorHAnsi" w:cstheme="minorHAnsi"/>
          <w:sz w:val="22"/>
          <w:szCs w:val="22"/>
        </w:rPr>
      </w:pPr>
    </w:p>
    <w:p w14:paraId="15CE781C" w14:textId="77777777" w:rsidR="008E4D64" w:rsidRPr="00E01239" w:rsidRDefault="008E4D64" w:rsidP="008E4D64">
      <w:pPr>
        <w:spacing w:before="120" w:line="360" w:lineRule="exact"/>
        <w:jc w:val="both"/>
        <w:rPr>
          <w:rFonts w:asciiTheme="minorHAnsi" w:hAnsiTheme="minorHAnsi" w:cstheme="minorHAnsi"/>
          <w:color w:val="0070C0"/>
          <w:sz w:val="22"/>
          <w:szCs w:val="22"/>
        </w:rPr>
        <w:sectPr w:rsidR="008E4D64" w:rsidRPr="00E01239" w:rsidSect="00F43E8A">
          <w:pgSz w:w="16840" w:h="11907" w:orient="landscape" w:code="9"/>
          <w:pgMar w:top="1418" w:right="1418" w:bottom="1418" w:left="1418" w:header="720" w:footer="720" w:gutter="0"/>
          <w:cols w:space="60"/>
          <w:noEndnote/>
        </w:sectPr>
      </w:pPr>
    </w:p>
    <w:p w14:paraId="1ABD5A2F" w14:textId="074E29B6" w:rsidR="00B11B00" w:rsidRPr="00E01239" w:rsidRDefault="21DE0BC5" w:rsidP="7CB1727A">
      <w:pPr>
        <w:pStyle w:val="Titre2"/>
        <w:numPr>
          <w:ilvl w:val="1"/>
          <w:numId w:val="0"/>
        </w:numPr>
        <w:rPr>
          <w:rFonts w:asciiTheme="minorHAnsi" w:hAnsiTheme="minorHAnsi" w:cstheme="minorBidi"/>
          <w:color w:val="auto"/>
        </w:rPr>
      </w:pPr>
      <w:bookmarkStart w:id="162" w:name="_Toc144654066"/>
      <w:bookmarkStart w:id="163" w:name="_Toc118549324"/>
      <w:bookmarkEnd w:id="155"/>
      <w:r w:rsidRPr="00E01239">
        <w:rPr>
          <w:rFonts w:asciiTheme="minorHAnsi" w:hAnsiTheme="minorHAnsi" w:cstheme="minorBidi"/>
          <w:color w:val="auto"/>
        </w:rPr>
        <w:lastRenderedPageBreak/>
        <w:t xml:space="preserve">4.4 </w:t>
      </w:r>
      <w:r w:rsidR="41713554" w:rsidRPr="00E01239">
        <w:rPr>
          <w:rFonts w:asciiTheme="minorHAnsi" w:hAnsiTheme="minorHAnsi" w:cstheme="minorBidi"/>
          <w:color w:val="auto"/>
        </w:rPr>
        <w:t>CADRE INSTITUTIONNEL NATIONAL DE GESTION ENVIRONNEMENTALE ET SOCIALE DU PROJET</w:t>
      </w:r>
      <w:bookmarkEnd w:id="162"/>
      <w:r w:rsidR="41713554" w:rsidRPr="00E01239">
        <w:rPr>
          <w:rFonts w:asciiTheme="minorHAnsi" w:hAnsiTheme="minorHAnsi" w:cstheme="minorBidi"/>
          <w:color w:val="auto"/>
        </w:rPr>
        <w:t xml:space="preserve"> </w:t>
      </w:r>
    </w:p>
    <w:p w14:paraId="6D397006" w14:textId="69666518" w:rsidR="00B11B00" w:rsidRPr="00E01239" w:rsidRDefault="41713554" w:rsidP="7CB1727A">
      <w:pPr>
        <w:spacing w:before="120" w:line="280" w:lineRule="exact"/>
        <w:jc w:val="both"/>
        <w:rPr>
          <w:rFonts w:asciiTheme="minorHAnsi" w:hAnsiTheme="minorHAnsi" w:cstheme="minorBidi"/>
          <w:sz w:val="22"/>
          <w:szCs w:val="22"/>
        </w:rPr>
      </w:pPr>
      <w:r w:rsidRPr="00E01239">
        <w:rPr>
          <w:rFonts w:asciiTheme="minorHAnsi" w:hAnsiTheme="minorHAnsi" w:cstheme="minorBidi"/>
          <w:sz w:val="22"/>
          <w:szCs w:val="22"/>
        </w:rPr>
        <w:t xml:space="preserve">Plusieurs institutions seront impliquées à l’échelle nationale et locale dans la gestion environnementale et sociale du FSRP. Le tableau </w:t>
      </w:r>
      <w:r w:rsidR="24DF52B3" w:rsidRPr="00E01239">
        <w:rPr>
          <w:rFonts w:asciiTheme="minorHAnsi" w:hAnsiTheme="minorHAnsi" w:cstheme="minorBidi"/>
          <w:sz w:val="22"/>
          <w:szCs w:val="22"/>
        </w:rPr>
        <w:t xml:space="preserve">n°7 </w:t>
      </w:r>
      <w:bookmarkStart w:id="164" w:name="_Int_ldt2xsvA"/>
      <w:proofErr w:type="gramStart"/>
      <w:r w:rsidRPr="00E01239">
        <w:rPr>
          <w:rFonts w:asciiTheme="minorHAnsi" w:hAnsiTheme="minorHAnsi" w:cstheme="minorBidi"/>
          <w:sz w:val="22"/>
          <w:szCs w:val="22"/>
        </w:rPr>
        <w:t>suivant</w:t>
      </w:r>
      <w:bookmarkEnd w:id="164"/>
      <w:proofErr w:type="gramEnd"/>
      <w:r w:rsidRPr="00E01239">
        <w:rPr>
          <w:rFonts w:asciiTheme="minorHAnsi" w:hAnsiTheme="minorHAnsi" w:cstheme="minorBidi"/>
          <w:sz w:val="22"/>
          <w:szCs w:val="22"/>
        </w:rPr>
        <w:t xml:space="preserve"> présente les rôles et responsabilités de ces différentes structures.</w:t>
      </w:r>
    </w:p>
    <w:p w14:paraId="4F8B83CD" w14:textId="77777777" w:rsidR="00B11B00" w:rsidRPr="00E01239" w:rsidRDefault="00B11B00" w:rsidP="00B11B00">
      <w:pPr>
        <w:spacing w:before="120" w:line="280" w:lineRule="exact"/>
        <w:jc w:val="both"/>
        <w:rPr>
          <w:rFonts w:asciiTheme="minorHAnsi" w:hAnsiTheme="minorHAnsi" w:cstheme="minorHAnsi"/>
          <w:sz w:val="22"/>
          <w:szCs w:val="22"/>
        </w:rPr>
      </w:pPr>
    </w:p>
    <w:p w14:paraId="364C1F6C" w14:textId="77777777" w:rsidR="00B11B00" w:rsidRPr="00E01239" w:rsidRDefault="00B11B00" w:rsidP="00B11B00">
      <w:pPr>
        <w:spacing w:before="120" w:line="280" w:lineRule="exact"/>
        <w:jc w:val="both"/>
        <w:rPr>
          <w:rFonts w:asciiTheme="minorHAnsi" w:hAnsiTheme="minorHAnsi" w:cstheme="minorHAnsi"/>
          <w:sz w:val="22"/>
          <w:szCs w:val="22"/>
        </w:rPr>
        <w:sectPr w:rsidR="00B11B00" w:rsidRPr="00E01239" w:rsidSect="00F43E8A">
          <w:pgSz w:w="11907" w:h="16840" w:code="9"/>
          <w:pgMar w:top="1418" w:right="1418" w:bottom="1418" w:left="1418" w:header="720" w:footer="720" w:gutter="0"/>
          <w:cols w:space="60"/>
          <w:noEndnote/>
        </w:sectPr>
      </w:pPr>
    </w:p>
    <w:p w14:paraId="215E44CF" w14:textId="5D8BA6BF" w:rsidR="00B11B00" w:rsidRPr="00E01239" w:rsidRDefault="00B11B00" w:rsidP="00B11B00">
      <w:pPr>
        <w:pStyle w:val="Lgende"/>
        <w:jc w:val="center"/>
        <w:rPr>
          <w:rFonts w:asciiTheme="minorHAnsi" w:hAnsiTheme="minorHAnsi" w:cstheme="minorHAnsi"/>
          <w:sz w:val="22"/>
          <w:szCs w:val="22"/>
        </w:rPr>
      </w:pPr>
      <w:bookmarkStart w:id="165" w:name="_Toc144654187"/>
      <w:r w:rsidRPr="00E01239">
        <w:rPr>
          <w:rFonts w:asciiTheme="minorHAnsi" w:hAnsiTheme="minorHAnsi" w:cstheme="minorHAnsi"/>
          <w:sz w:val="22"/>
          <w:szCs w:val="22"/>
        </w:rPr>
        <w:lastRenderedPageBreak/>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7</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xml:space="preserve"> : Cadre institutionnel de la gestion environnementale et sociale du Projet</w:t>
      </w:r>
      <w:bookmarkEnd w:id="165"/>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89"/>
        <w:gridCol w:w="2718"/>
        <w:gridCol w:w="8587"/>
      </w:tblGrid>
      <w:tr w:rsidR="00B11B00" w:rsidRPr="00E01239" w14:paraId="1FDA747F" w14:textId="77777777" w:rsidTr="00F43E8A">
        <w:trPr>
          <w:trHeight w:val="552"/>
          <w:tblHeader/>
          <w:jc w:val="center"/>
        </w:trPr>
        <w:tc>
          <w:tcPr>
            <w:tcW w:w="961" w:type="pct"/>
            <w:shd w:val="clear" w:color="auto" w:fill="000000"/>
            <w:vAlign w:val="center"/>
          </w:tcPr>
          <w:p w14:paraId="3882731F" w14:textId="77777777" w:rsidR="00B11B00" w:rsidRPr="00E01239" w:rsidRDefault="00B11B00" w:rsidP="00F43E8A">
            <w:pPr>
              <w:jc w:val="center"/>
              <w:rPr>
                <w:rFonts w:asciiTheme="minorHAnsi" w:hAnsiTheme="minorHAnsi" w:cstheme="minorHAnsi"/>
                <w:sz w:val="20"/>
                <w:szCs w:val="20"/>
              </w:rPr>
            </w:pPr>
            <w:r w:rsidRPr="00E01239">
              <w:rPr>
                <w:rFonts w:asciiTheme="minorHAnsi" w:hAnsiTheme="minorHAnsi" w:cstheme="minorHAnsi"/>
                <w:sz w:val="20"/>
                <w:szCs w:val="20"/>
              </w:rPr>
              <w:t>Institutions</w:t>
            </w:r>
          </w:p>
        </w:tc>
        <w:tc>
          <w:tcPr>
            <w:tcW w:w="971" w:type="pct"/>
            <w:shd w:val="clear" w:color="auto" w:fill="000000"/>
            <w:vAlign w:val="center"/>
          </w:tcPr>
          <w:p w14:paraId="7F872F65" w14:textId="77777777" w:rsidR="00B11B00" w:rsidRPr="00E01239" w:rsidRDefault="00B11B00" w:rsidP="00F43E8A">
            <w:pPr>
              <w:jc w:val="center"/>
              <w:rPr>
                <w:rFonts w:asciiTheme="minorHAnsi" w:hAnsiTheme="minorHAnsi" w:cstheme="minorHAnsi"/>
                <w:sz w:val="20"/>
                <w:szCs w:val="20"/>
              </w:rPr>
            </w:pPr>
            <w:r w:rsidRPr="00E01239">
              <w:rPr>
                <w:rFonts w:asciiTheme="minorHAnsi" w:hAnsiTheme="minorHAnsi" w:cstheme="minorHAnsi"/>
                <w:sz w:val="20"/>
                <w:szCs w:val="20"/>
              </w:rPr>
              <w:t>Départements Opérationnels</w:t>
            </w:r>
          </w:p>
        </w:tc>
        <w:tc>
          <w:tcPr>
            <w:tcW w:w="3068" w:type="pct"/>
            <w:shd w:val="clear" w:color="auto" w:fill="000000"/>
            <w:vAlign w:val="center"/>
          </w:tcPr>
          <w:p w14:paraId="00322C4F" w14:textId="77777777" w:rsidR="00B11B00" w:rsidRPr="00E01239" w:rsidRDefault="00B11B00" w:rsidP="00F43E8A">
            <w:pPr>
              <w:jc w:val="center"/>
              <w:rPr>
                <w:rFonts w:asciiTheme="minorHAnsi" w:hAnsiTheme="minorHAnsi" w:cstheme="minorHAnsi"/>
                <w:sz w:val="20"/>
                <w:szCs w:val="20"/>
              </w:rPr>
            </w:pPr>
            <w:r w:rsidRPr="00E01239">
              <w:rPr>
                <w:rFonts w:asciiTheme="minorHAnsi" w:hAnsiTheme="minorHAnsi" w:cstheme="minorHAnsi"/>
                <w:sz w:val="20"/>
                <w:szCs w:val="20"/>
              </w:rPr>
              <w:t>Rôle et Responsabilités</w:t>
            </w:r>
          </w:p>
        </w:tc>
      </w:tr>
      <w:tr w:rsidR="00B11B00" w:rsidRPr="00E01239" w14:paraId="01208F66" w14:textId="77777777" w:rsidTr="00F43E8A">
        <w:trPr>
          <w:trHeight w:val="440"/>
          <w:jc w:val="center"/>
        </w:trPr>
        <w:tc>
          <w:tcPr>
            <w:tcW w:w="5000" w:type="pct"/>
            <w:gridSpan w:val="3"/>
            <w:shd w:val="clear" w:color="auto" w:fill="D9D9D9"/>
            <w:vAlign w:val="center"/>
          </w:tcPr>
          <w:p w14:paraId="1AB3DC8B" w14:textId="77777777" w:rsidR="00B11B00" w:rsidRPr="00E01239" w:rsidRDefault="00B11B00" w:rsidP="00F43E8A">
            <w:pPr>
              <w:rPr>
                <w:rFonts w:asciiTheme="minorHAnsi" w:hAnsiTheme="minorHAnsi" w:cstheme="minorHAnsi"/>
                <w:b/>
                <w:sz w:val="20"/>
                <w:szCs w:val="20"/>
              </w:rPr>
            </w:pPr>
            <w:r w:rsidRPr="00E01239">
              <w:rPr>
                <w:rFonts w:asciiTheme="minorHAnsi" w:hAnsiTheme="minorHAnsi" w:cstheme="minorHAnsi"/>
                <w:b/>
                <w:sz w:val="20"/>
                <w:szCs w:val="20"/>
              </w:rPr>
              <w:t>Acteurs Principaux/Niveau National</w:t>
            </w:r>
          </w:p>
        </w:tc>
      </w:tr>
      <w:tr w:rsidR="005619F6" w:rsidRPr="00E01239" w14:paraId="63A7D072" w14:textId="77777777" w:rsidTr="00F43E8A">
        <w:trPr>
          <w:trHeight w:val="2115"/>
          <w:jc w:val="center"/>
        </w:trPr>
        <w:tc>
          <w:tcPr>
            <w:tcW w:w="961" w:type="pct"/>
            <w:vMerge w:val="restart"/>
            <w:vAlign w:val="center"/>
          </w:tcPr>
          <w:p w14:paraId="5929F9CB" w14:textId="77777777" w:rsidR="00B11B00" w:rsidRPr="00E01239" w:rsidRDefault="00B11B00" w:rsidP="00F43E8A">
            <w:pPr>
              <w:rPr>
                <w:rFonts w:asciiTheme="minorHAnsi" w:hAnsiTheme="minorHAnsi" w:cstheme="minorHAnsi"/>
                <w:sz w:val="20"/>
                <w:szCs w:val="20"/>
              </w:rPr>
            </w:pPr>
            <w:r w:rsidRPr="00E01239">
              <w:rPr>
                <w:rFonts w:asciiTheme="minorHAnsi" w:hAnsiTheme="minorHAnsi" w:cstheme="minorHAnsi"/>
                <w:sz w:val="20"/>
                <w:szCs w:val="20"/>
              </w:rPr>
              <w:t>Ministère de l’Environnement, du Développement et de la Transition Écologique</w:t>
            </w:r>
          </w:p>
          <w:p w14:paraId="3A60D45D" w14:textId="77777777" w:rsidR="00B11B00" w:rsidRPr="00E01239" w:rsidRDefault="00B11B00" w:rsidP="00F43E8A">
            <w:pPr>
              <w:rPr>
                <w:rFonts w:asciiTheme="minorHAnsi" w:hAnsiTheme="minorHAnsi" w:cstheme="minorHAnsi"/>
                <w:sz w:val="20"/>
                <w:szCs w:val="20"/>
              </w:rPr>
            </w:pPr>
          </w:p>
        </w:tc>
        <w:tc>
          <w:tcPr>
            <w:tcW w:w="971" w:type="pct"/>
            <w:vAlign w:val="center"/>
          </w:tcPr>
          <w:p w14:paraId="2FBFBD24" w14:textId="77777777" w:rsidR="00B11B00" w:rsidRPr="00E01239" w:rsidRDefault="00B11B00" w:rsidP="00F43E8A">
            <w:pPr>
              <w:rPr>
                <w:rFonts w:asciiTheme="minorHAnsi" w:hAnsiTheme="minorHAnsi" w:cstheme="minorHAnsi"/>
                <w:sz w:val="20"/>
                <w:szCs w:val="20"/>
              </w:rPr>
            </w:pPr>
            <w:r w:rsidRPr="00E01239">
              <w:rPr>
                <w:rFonts w:asciiTheme="minorHAnsi" w:hAnsiTheme="minorHAnsi" w:cstheme="minorHAnsi"/>
                <w:bCs/>
                <w:sz w:val="20"/>
                <w:szCs w:val="20"/>
              </w:rPr>
              <w:t>Direction de l’Environnement et des Etablissements Classées (DEEC)</w:t>
            </w:r>
          </w:p>
        </w:tc>
        <w:tc>
          <w:tcPr>
            <w:tcW w:w="3068" w:type="pct"/>
            <w:vAlign w:val="center"/>
          </w:tcPr>
          <w:p w14:paraId="69C7E13F"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 xml:space="preserve">Mettre en œuvre la politique nationale en matière d’environnement ; </w:t>
            </w:r>
          </w:p>
          <w:p w14:paraId="34191F8E" w14:textId="260EF066"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Suivre</w:t>
            </w:r>
            <w:r w:rsidR="00B11B00" w:rsidRPr="00E01239">
              <w:rPr>
                <w:rFonts w:asciiTheme="minorHAnsi" w:hAnsiTheme="minorHAnsi" w:cstheme="minorHAnsi"/>
                <w:bCs/>
                <w:sz w:val="20"/>
                <w:szCs w:val="20"/>
              </w:rPr>
              <w:t xml:space="preserve"> de l’ensemble des actions des divers services et organismes intervenant dans le domaine de l’Environnement ;</w:t>
            </w:r>
          </w:p>
          <w:p w14:paraId="42DC531E" w14:textId="262933E0"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Élaborer</w:t>
            </w:r>
            <w:r w:rsidR="00B11B00" w:rsidRPr="00E01239">
              <w:rPr>
                <w:rFonts w:asciiTheme="minorHAnsi" w:hAnsiTheme="minorHAnsi" w:cstheme="minorHAnsi"/>
                <w:bCs/>
                <w:sz w:val="20"/>
                <w:szCs w:val="20"/>
              </w:rPr>
              <w:t xml:space="preserve"> des textes législatifs et réglementaires qui favorisent une gestion rationnelle des ressources de base ;</w:t>
            </w:r>
          </w:p>
          <w:p w14:paraId="196D7925" w14:textId="15B7E268"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Lutter</w:t>
            </w:r>
            <w:r w:rsidR="00B11B00" w:rsidRPr="00E01239">
              <w:rPr>
                <w:rFonts w:asciiTheme="minorHAnsi" w:hAnsiTheme="minorHAnsi" w:cstheme="minorHAnsi"/>
                <w:bCs/>
                <w:sz w:val="20"/>
                <w:szCs w:val="20"/>
              </w:rPr>
              <w:t xml:space="preserve"> contre les pollutions et nuisances et les changements climatiques ; </w:t>
            </w:r>
          </w:p>
          <w:p w14:paraId="17CD52B7" w14:textId="17140E21"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Veiller</w:t>
            </w:r>
            <w:r w:rsidR="00B11B00" w:rsidRPr="00E01239">
              <w:rPr>
                <w:rFonts w:asciiTheme="minorHAnsi" w:hAnsiTheme="minorHAnsi" w:cstheme="minorHAnsi"/>
                <w:bCs/>
                <w:sz w:val="20"/>
                <w:szCs w:val="20"/>
              </w:rPr>
              <w:t xml:space="preserve"> à l’application des dispositions relatives aux Evaluations Environnementales et Sociales (Validation des TDR pour les EIES approfondies ; convocation du Comité Technique National pour l’Environnement ; suivi du processus ; etc.) ;  </w:t>
            </w:r>
          </w:p>
          <w:p w14:paraId="3AEAFAE4" w14:textId="776ED3E3"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Préparer</w:t>
            </w:r>
            <w:r w:rsidR="00B11B00" w:rsidRPr="00E01239">
              <w:rPr>
                <w:rFonts w:asciiTheme="minorHAnsi" w:hAnsiTheme="minorHAnsi" w:cstheme="minorHAnsi"/>
                <w:bCs/>
                <w:sz w:val="20"/>
                <w:szCs w:val="20"/>
              </w:rPr>
              <w:t>, pour le Ministre chargé de l’Environnement, les avis et décisions relatifs aux EIES.</w:t>
            </w:r>
          </w:p>
        </w:tc>
      </w:tr>
      <w:tr w:rsidR="005619F6" w:rsidRPr="00E01239" w14:paraId="3B759414" w14:textId="77777777" w:rsidTr="00F43E8A">
        <w:trPr>
          <w:trHeight w:val="789"/>
          <w:jc w:val="center"/>
        </w:trPr>
        <w:tc>
          <w:tcPr>
            <w:tcW w:w="961" w:type="pct"/>
            <w:vMerge/>
            <w:vAlign w:val="center"/>
          </w:tcPr>
          <w:p w14:paraId="37F49A87"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3DD90336"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Direction des Eaux et Forêts, Chasses et de la Conservation des Sols (DEFCCS)</w:t>
            </w:r>
          </w:p>
        </w:tc>
        <w:tc>
          <w:tcPr>
            <w:tcW w:w="3068" w:type="pct"/>
            <w:vAlign w:val="center"/>
          </w:tcPr>
          <w:p w14:paraId="495D041C"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 xml:space="preserve">Elaborer et mettre en œuvre la politique forestière nationale ; </w:t>
            </w:r>
          </w:p>
          <w:p w14:paraId="107389AE" w14:textId="71C3ABBD"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Exercer</w:t>
            </w:r>
            <w:r w:rsidR="00B11B00" w:rsidRPr="00E01239">
              <w:rPr>
                <w:rFonts w:asciiTheme="minorHAnsi" w:hAnsiTheme="minorHAnsi" w:cstheme="minorHAnsi"/>
                <w:bCs/>
                <w:sz w:val="20"/>
                <w:szCs w:val="20"/>
              </w:rPr>
              <w:t xml:space="preserve"> les prérogatives de l’Etat dans les domaines de la conservation des sols, de la gestion de la faune et des écosystèmes forestiers.</w:t>
            </w:r>
          </w:p>
        </w:tc>
      </w:tr>
      <w:tr w:rsidR="005619F6" w:rsidRPr="00E01239" w14:paraId="0A20CC78" w14:textId="77777777" w:rsidTr="00F43E8A">
        <w:trPr>
          <w:trHeight w:val="824"/>
          <w:jc w:val="center"/>
        </w:trPr>
        <w:tc>
          <w:tcPr>
            <w:tcW w:w="961" w:type="pct"/>
            <w:vMerge/>
            <w:vAlign w:val="center"/>
          </w:tcPr>
          <w:p w14:paraId="28BEA220"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345E7DD1"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Direction des Parcs Nationaux</w:t>
            </w:r>
          </w:p>
        </w:tc>
        <w:tc>
          <w:tcPr>
            <w:tcW w:w="3068" w:type="pct"/>
            <w:vAlign w:val="center"/>
          </w:tcPr>
          <w:p w14:paraId="280D8CC0"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Mettre en œuvre la politique de l’Etat en matière de conservation de la biodiversité ;</w:t>
            </w:r>
          </w:p>
          <w:p w14:paraId="2ADD62B7" w14:textId="7AA070A9"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Exerce</w:t>
            </w:r>
            <w:r w:rsidR="00B11B00" w:rsidRPr="00E01239">
              <w:rPr>
                <w:rFonts w:asciiTheme="minorHAnsi" w:hAnsiTheme="minorHAnsi" w:cstheme="minorHAnsi"/>
                <w:bCs/>
                <w:sz w:val="20"/>
                <w:szCs w:val="20"/>
              </w:rPr>
              <w:t xml:space="preserve"> les prérogatives de l’Etat dans le domaine de la conservation des parcs nationaux, des réserves naturelles, des zones humides, etc.</w:t>
            </w:r>
          </w:p>
        </w:tc>
      </w:tr>
      <w:tr w:rsidR="005619F6" w:rsidRPr="00E01239" w14:paraId="3A6896B6" w14:textId="77777777" w:rsidTr="00F43E8A">
        <w:trPr>
          <w:trHeight w:val="428"/>
          <w:jc w:val="center"/>
        </w:trPr>
        <w:tc>
          <w:tcPr>
            <w:tcW w:w="961" w:type="pct"/>
            <w:vMerge/>
            <w:vAlign w:val="center"/>
          </w:tcPr>
          <w:p w14:paraId="2750BDBC"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5F8B9A3B"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Direction des aires marines communautaires protégées</w:t>
            </w:r>
          </w:p>
        </w:tc>
        <w:tc>
          <w:tcPr>
            <w:tcW w:w="3068" w:type="pct"/>
            <w:vAlign w:val="center"/>
          </w:tcPr>
          <w:p w14:paraId="09A8A779"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Participer à la mise en œuvre de la politique de l’Etat en matière de conservation de la biodiversité ;</w:t>
            </w:r>
          </w:p>
          <w:p w14:paraId="262D7EDC" w14:textId="780EFF19"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Exercer</w:t>
            </w:r>
            <w:r w:rsidR="00B11B00" w:rsidRPr="00E01239">
              <w:rPr>
                <w:rFonts w:asciiTheme="minorHAnsi" w:hAnsiTheme="minorHAnsi" w:cstheme="minorHAnsi"/>
                <w:bCs/>
                <w:sz w:val="20"/>
                <w:szCs w:val="20"/>
              </w:rPr>
              <w:t xml:space="preserve"> les prérogatives de l’Etat dans le domaine de la conservation des aires marines communautaires.</w:t>
            </w:r>
          </w:p>
        </w:tc>
      </w:tr>
      <w:tr w:rsidR="005619F6" w:rsidRPr="00E01239" w14:paraId="29DBE2E2" w14:textId="77777777" w:rsidTr="00F43E8A">
        <w:trPr>
          <w:trHeight w:val="822"/>
          <w:jc w:val="center"/>
        </w:trPr>
        <w:tc>
          <w:tcPr>
            <w:tcW w:w="961" w:type="pct"/>
            <w:vMerge/>
            <w:vAlign w:val="center"/>
          </w:tcPr>
          <w:p w14:paraId="596AA752"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6BA1E182"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 xml:space="preserve">Comité Technique National pour l’Environnement (CTNE)  </w:t>
            </w:r>
          </w:p>
        </w:tc>
        <w:tc>
          <w:tcPr>
            <w:tcW w:w="3068" w:type="pct"/>
            <w:vAlign w:val="center"/>
          </w:tcPr>
          <w:p w14:paraId="3C552792" w14:textId="6ED9BE8E"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Appuyer le MEDD dans la validation des évaluations environnementales</w:t>
            </w:r>
            <w:r w:rsidR="00804E33">
              <w:rPr>
                <w:rFonts w:asciiTheme="minorHAnsi" w:hAnsiTheme="minorHAnsi" w:cstheme="minorHAnsi"/>
                <w:bCs/>
                <w:sz w:val="20"/>
                <w:szCs w:val="20"/>
              </w:rPr>
              <w:t xml:space="preserve"> et sociales</w:t>
            </w:r>
            <w:r w:rsidRPr="00E01239">
              <w:rPr>
                <w:rFonts w:asciiTheme="minorHAnsi" w:hAnsiTheme="minorHAnsi" w:cstheme="minorHAnsi"/>
                <w:bCs/>
                <w:sz w:val="20"/>
                <w:szCs w:val="20"/>
              </w:rPr>
              <w:t>. Ce comité est constitué des services techniques nationaux et régionaux qui sont convoqués en séance pour la validation des rapports d’évaluation environnementale et sociale.</w:t>
            </w:r>
          </w:p>
        </w:tc>
      </w:tr>
      <w:tr w:rsidR="00B11B00" w:rsidRPr="00E01239" w14:paraId="3093F51D" w14:textId="77777777" w:rsidTr="00F43E8A">
        <w:trPr>
          <w:trHeight w:val="701"/>
          <w:jc w:val="center"/>
        </w:trPr>
        <w:tc>
          <w:tcPr>
            <w:tcW w:w="961" w:type="pct"/>
            <w:vAlign w:val="center"/>
          </w:tcPr>
          <w:p w14:paraId="739BBF95" w14:textId="77777777" w:rsidR="00B11B00" w:rsidRPr="00E01239" w:rsidRDefault="00B11B00" w:rsidP="00F43E8A">
            <w:pPr>
              <w:jc w:val="center"/>
              <w:rPr>
                <w:rFonts w:asciiTheme="minorHAnsi" w:hAnsiTheme="minorHAnsi" w:cstheme="minorHAnsi"/>
                <w:sz w:val="20"/>
                <w:szCs w:val="20"/>
              </w:rPr>
            </w:pPr>
            <w:r w:rsidRPr="00E01239">
              <w:rPr>
                <w:rFonts w:asciiTheme="minorHAnsi" w:hAnsiTheme="minorHAnsi" w:cstheme="minorHAnsi"/>
                <w:sz w:val="20"/>
                <w:szCs w:val="20"/>
              </w:rPr>
              <w:t>Ministère de l’Agriculture, de l’Equipement Rural et de la Souveraineté Alimentaire (MAERSA)</w:t>
            </w:r>
          </w:p>
        </w:tc>
        <w:tc>
          <w:tcPr>
            <w:tcW w:w="971" w:type="pct"/>
            <w:vAlign w:val="center"/>
          </w:tcPr>
          <w:p w14:paraId="39119BE9"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UCP/FSRP-SN/MAERSA</w:t>
            </w:r>
          </w:p>
        </w:tc>
        <w:tc>
          <w:tcPr>
            <w:tcW w:w="3068" w:type="pct"/>
            <w:vAlign w:val="center"/>
          </w:tcPr>
          <w:p w14:paraId="7396F8F5" w14:textId="725D5E16"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 xml:space="preserve">Elaboration des procédures de gestion environnementale et sociale du FSRP-SN comprenant la gestion des risques environnementaux et sociaux, les procédures de gestion de la main d’œuvre, les procédures de </w:t>
            </w:r>
            <w:r w:rsidR="00EF19D6" w:rsidRPr="00E01239">
              <w:rPr>
                <w:rFonts w:asciiTheme="minorHAnsi" w:hAnsiTheme="minorHAnsi" w:cstheme="minorHAnsi"/>
                <w:bCs/>
                <w:sz w:val="20"/>
                <w:szCs w:val="20"/>
              </w:rPr>
              <w:t>mobilisation</w:t>
            </w:r>
            <w:r w:rsidRPr="00E01239">
              <w:rPr>
                <w:rFonts w:asciiTheme="minorHAnsi" w:hAnsiTheme="minorHAnsi" w:cstheme="minorHAnsi"/>
                <w:bCs/>
                <w:sz w:val="20"/>
                <w:szCs w:val="20"/>
              </w:rPr>
              <w:t xml:space="preserve"> des parties prenantes, le mécanisme de gestion des différents types de plaintes, les procédures de gestion des cas de violences basées sur le genre, les procédures de réinstallation, etc.</w:t>
            </w:r>
          </w:p>
          <w:p w14:paraId="01D9BB81"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lastRenderedPageBreak/>
              <w:t>Elabore la classification environnementale des sous-projets en collaboration avec la DEEC</w:t>
            </w:r>
          </w:p>
          <w:p w14:paraId="18FAF7F1"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Elabore les termes de référence des études environnementales et sociales spécifiques</w:t>
            </w:r>
          </w:p>
          <w:p w14:paraId="6F06953E"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Supervise et participe à l’approbation des études environnementales et sociales spécifiques</w:t>
            </w:r>
          </w:p>
          <w:p w14:paraId="6A98614F"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Supervise la mise en œuvre des PGES et des PAR des différents sous-projets</w:t>
            </w:r>
          </w:p>
          <w:p w14:paraId="72DA0237"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Supervise la mise en œuvre du mécanisme de gestion des plaintes</w:t>
            </w:r>
          </w:p>
        </w:tc>
      </w:tr>
      <w:tr w:rsidR="00B11B00" w:rsidRPr="00E01239" w14:paraId="62D13450" w14:textId="77777777" w:rsidTr="00F43E8A">
        <w:trPr>
          <w:trHeight w:val="1082"/>
          <w:jc w:val="center"/>
        </w:trPr>
        <w:tc>
          <w:tcPr>
            <w:tcW w:w="961" w:type="pct"/>
            <w:vAlign w:val="center"/>
          </w:tcPr>
          <w:p w14:paraId="372F1A33" w14:textId="77777777" w:rsidR="00B11B00" w:rsidRPr="00E01239" w:rsidRDefault="00B11B00" w:rsidP="00F43E8A">
            <w:pPr>
              <w:jc w:val="center"/>
              <w:rPr>
                <w:rFonts w:asciiTheme="minorHAnsi" w:hAnsiTheme="minorHAnsi" w:cstheme="minorHAnsi"/>
                <w:sz w:val="20"/>
                <w:szCs w:val="20"/>
              </w:rPr>
            </w:pPr>
            <w:r w:rsidRPr="00E01239">
              <w:rPr>
                <w:rFonts w:asciiTheme="minorHAnsi" w:hAnsiTheme="minorHAnsi" w:cstheme="minorHAnsi"/>
                <w:sz w:val="20"/>
                <w:szCs w:val="20"/>
              </w:rPr>
              <w:lastRenderedPageBreak/>
              <w:t>Ministère de l'Elevage et des Productions Animales</w:t>
            </w:r>
          </w:p>
        </w:tc>
        <w:tc>
          <w:tcPr>
            <w:tcW w:w="971" w:type="pct"/>
            <w:vAlign w:val="center"/>
          </w:tcPr>
          <w:p w14:paraId="250CE701" w14:textId="77777777" w:rsidR="00B11B00" w:rsidRPr="00E01239" w:rsidRDefault="00B11B00" w:rsidP="00F43E8A">
            <w:pPr>
              <w:rPr>
                <w:rFonts w:asciiTheme="minorHAnsi" w:hAnsiTheme="minorHAnsi" w:cstheme="minorHAnsi"/>
                <w:sz w:val="20"/>
                <w:szCs w:val="20"/>
              </w:rPr>
            </w:pPr>
            <w:r w:rsidRPr="00E01239">
              <w:rPr>
                <w:rFonts w:asciiTheme="minorHAnsi" w:hAnsiTheme="minorHAnsi" w:cstheme="minorHAnsi"/>
                <w:sz w:val="20"/>
                <w:szCs w:val="20"/>
              </w:rPr>
              <w:t>UCP/FSRP-SN/MEPA</w:t>
            </w:r>
          </w:p>
        </w:tc>
        <w:tc>
          <w:tcPr>
            <w:tcW w:w="3068" w:type="pct"/>
            <w:vAlign w:val="center"/>
          </w:tcPr>
          <w:p w14:paraId="7B06C7FC" w14:textId="02EF6383"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 xml:space="preserve">Elaboration des procédures de gestion environnementale et sociale du FSRP-SN comprenant la gestion des risques environnementaux et sociaux, les procédures de gestion de la main d’œuvre, les procédures de </w:t>
            </w:r>
            <w:r w:rsidR="00EF19D6" w:rsidRPr="00E01239">
              <w:rPr>
                <w:rFonts w:asciiTheme="minorHAnsi" w:hAnsiTheme="minorHAnsi" w:cstheme="minorHAnsi"/>
                <w:bCs/>
                <w:sz w:val="20"/>
                <w:szCs w:val="20"/>
              </w:rPr>
              <w:t>mobilisation</w:t>
            </w:r>
            <w:r w:rsidRPr="00E01239">
              <w:rPr>
                <w:rFonts w:asciiTheme="minorHAnsi" w:hAnsiTheme="minorHAnsi" w:cstheme="minorHAnsi"/>
                <w:bCs/>
                <w:sz w:val="20"/>
                <w:szCs w:val="20"/>
              </w:rPr>
              <w:t xml:space="preserve"> des parties prenantes, le mécanisme de gestion des différents types de plaintes, les procédures de gestion des cas de violences basées sur le genre, les procédures de réinstallation, etc.</w:t>
            </w:r>
          </w:p>
          <w:p w14:paraId="4E32F858" w14:textId="5B721C1C"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 xml:space="preserve">Elabore la classification environnementale </w:t>
            </w:r>
            <w:r w:rsidR="00C02FE9">
              <w:rPr>
                <w:rFonts w:asciiTheme="minorHAnsi" w:hAnsiTheme="minorHAnsi" w:cstheme="minorHAnsi"/>
                <w:bCs/>
                <w:sz w:val="20"/>
                <w:szCs w:val="20"/>
              </w:rPr>
              <w:t xml:space="preserve">et sociale </w:t>
            </w:r>
            <w:r w:rsidRPr="00E01239">
              <w:rPr>
                <w:rFonts w:asciiTheme="minorHAnsi" w:hAnsiTheme="minorHAnsi" w:cstheme="minorHAnsi"/>
                <w:bCs/>
                <w:sz w:val="20"/>
                <w:szCs w:val="20"/>
              </w:rPr>
              <w:t>des sous-projets en collaboration avec la DEEC</w:t>
            </w:r>
          </w:p>
          <w:p w14:paraId="146E3418"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Elabore les termes de référence des études environnementales et sociales spécifiques</w:t>
            </w:r>
          </w:p>
        </w:tc>
      </w:tr>
      <w:tr w:rsidR="005619F6" w:rsidRPr="00E01239" w14:paraId="06FB4827" w14:textId="77777777" w:rsidTr="00F43E8A">
        <w:trPr>
          <w:trHeight w:val="418"/>
          <w:jc w:val="center"/>
        </w:trPr>
        <w:tc>
          <w:tcPr>
            <w:tcW w:w="961" w:type="pct"/>
            <w:vMerge w:val="restart"/>
            <w:vAlign w:val="center"/>
          </w:tcPr>
          <w:p w14:paraId="0ED0D8BA" w14:textId="77777777" w:rsidR="00B11B00" w:rsidRPr="00E01239" w:rsidRDefault="00B11B00" w:rsidP="00F43E8A">
            <w:pPr>
              <w:rPr>
                <w:rFonts w:asciiTheme="minorHAnsi" w:hAnsiTheme="minorHAnsi" w:cstheme="minorHAnsi"/>
                <w:sz w:val="20"/>
                <w:szCs w:val="20"/>
              </w:rPr>
            </w:pPr>
            <w:r w:rsidRPr="00E01239">
              <w:rPr>
                <w:rFonts w:asciiTheme="minorHAnsi" w:hAnsiTheme="minorHAnsi" w:cstheme="minorHAnsi"/>
                <w:sz w:val="20"/>
                <w:szCs w:val="20"/>
              </w:rPr>
              <w:t>Ministère de la Santé et de l’Action Sociale</w:t>
            </w:r>
          </w:p>
        </w:tc>
        <w:tc>
          <w:tcPr>
            <w:tcW w:w="971" w:type="pct"/>
            <w:vAlign w:val="center"/>
          </w:tcPr>
          <w:p w14:paraId="7D170E1D"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Service national de l’hygiène </w:t>
            </w:r>
          </w:p>
        </w:tc>
        <w:tc>
          <w:tcPr>
            <w:tcW w:w="3068" w:type="pct"/>
            <w:vAlign w:val="center"/>
          </w:tcPr>
          <w:p w14:paraId="788577BA"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Préparer et mettre en œuvre la politique de santé, en matière d’hygiène ; </w:t>
            </w:r>
          </w:p>
          <w:p w14:paraId="334F0AE4" w14:textId="34C95342"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Éduquer</w:t>
            </w:r>
            <w:r w:rsidR="00B11B00" w:rsidRPr="00E01239">
              <w:rPr>
                <w:rFonts w:asciiTheme="minorHAnsi" w:hAnsiTheme="minorHAnsi" w:cstheme="minorHAnsi"/>
                <w:bCs/>
                <w:sz w:val="20"/>
                <w:szCs w:val="20"/>
              </w:rPr>
              <w:t xml:space="preserve"> les populations en matière d’hygiène et de salubrité publique ; </w:t>
            </w:r>
          </w:p>
          <w:p w14:paraId="7A618B17" w14:textId="2A8BED70"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Faire</w:t>
            </w:r>
            <w:r w:rsidR="00B11B00" w:rsidRPr="00E01239">
              <w:rPr>
                <w:rFonts w:asciiTheme="minorHAnsi" w:hAnsiTheme="minorHAnsi" w:cstheme="minorHAnsi"/>
                <w:bCs/>
                <w:sz w:val="20"/>
                <w:szCs w:val="20"/>
              </w:rPr>
              <w:t xml:space="preserve"> respecter la législation et la réglementation en matière d’hygiène dans les agglomérations urbaines et en zones rurales ;</w:t>
            </w:r>
          </w:p>
          <w:p w14:paraId="0B21EF63" w14:textId="55209FBA"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Surveiller</w:t>
            </w:r>
            <w:r w:rsidR="00B11B00" w:rsidRPr="00E01239">
              <w:rPr>
                <w:rFonts w:asciiTheme="minorHAnsi" w:hAnsiTheme="minorHAnsi" w:cstheme="minorHAnsi"/>
                <w:bCs/>
                <w:sz w:val="20"/>
                <w:szCs w:val="20"/>
              </w:rPr>
              <w:t xml:space="preserve"> les frontières et contrôler la circulation des personnes en matière d’hygiène sanitaire</w:t>
            </w:r>
          </w:p>
          <w:p w14:paraId="2FE97086" w14:textId="5F9C8BB1"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Rechercher</w:t>
            </w:r>
            <w:r w:rsidR="00B11B00" w:rsidRPr="00E01239">
              <w:rPr>
                <w:rFonts w:asciiTheme="minorHAnsi" w:hAnsiTheme="minorHAnsi" w:cstheme="minorHAnsi"/>
                <w:bCs/>
                <w:sz w:val="20"/>
                <w:szCs w:val="20"/>
              </w:rPr>
              <w:t xml:space="preserve"> et constater des infractions en matière d’hygiène ;</w:t>
            </w:r>
          </w:p>
          <w:p w14:paraId="298E8A11" w14:textId="13A7FF70"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Assister</w:t>
            </w:r>
            <w:r w:rsidR="00B11B00" w:rsidRPr="00E01239">
              <w:rPr>
                <w:rFonts w:asciiTheme="minorHAnsi" w:hAnsiTheme="minorHAnsi" w:cstheme="minorHAnsi"/>
                <w:bCs/>
                <w:sz w:val="20"/>
                <w:szCs w:val="20"/>
              </w:rPr>
              <w:t xml:space="preserve"> les autorités administratives dans le domaine de l’hygiène et de la salubrité publique ;</w:t>
            </w:r>
          </w:p>
          <w:p w14:paraId="5C53694B" w14:textId="2EFF2203"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Mener</w:t>
            </w:r>
            <w:r w:rsidR="00B11B00" w:rsidRPr="00E01239">
              <w:rPr>
                <w:rFonts w:asciiTheme="minorHAnsi" w:hAnsiTheme="minorHAnsi" w:cstheme="minorHAnsi"/>
                <w:bCs/>
                <w:sz w:val="20"/>
                <w:szCs w:val="20"/>
              </w:rPr>
              <w:t xml:space="preserve"> la lutte antivectorielle et la prophylaxie des maladies endémo-épidémiques.</w:t>
            </w:r>
          </w:p>
        </w:tc>
      </w:tr>
      <w:tr w:rsidR="005619F6" w:rsidRPr="00E01239" w14:paraId="29413FAB" w14:textId="77777777" w:rsidTr="00F43E8A">
        <w:trPr>
          <w:trHeight w:val="496"/>
          <w:jc w:val="center"/>
        </w:trPr>
        <w:tc>
          <w:tcPr>
            <w:tcW w:w="961" w:type="pct"/>
            <w:vMerge/>
            <w:vAlign w:val="center"/>
          </w:tcPr>
          <w:p w14:paraId="710BB4D7"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6925908B"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Cellule de la santé communautaire </w:t>
            </w:r>
          </w:p>
        </w:tc>
        <w:tc>
          <w:tcPr>
            <w:tcW w:w="3068" w:type="pct"/>
            <w:vAlign w:val="center"/>
          </w:tcPr>
          <w:p w14:paraId="612708D3"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Promouvoir et impulser la politique de santé communautaire ;</w:t>
            </w:r>
          </w:p>
          <w:p w14:paraId="318A68CF" w14:textId="0CC89B05"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Renforcer</w:t>
            </w:r>
            <w:r w:rsidR="00B11B00" w:rsidRPr="00E01239">
              <w:rPr>
                <w:rFonts w:asciiTheme="minorHAnsi" w:hAnsiTheme="minorHAnsi" w:cstheme="minorHAnsi"/>
                <w:bCs/>
                <w:sz w:val="20"/>
                <w:szCs w:val="20"/>
              </w:rPr>
              <w:t xml:space="preserve"> les systèmes locaux de santé ;</w:t>
            </w:r>
          </w:p>
          <w:p w14:paraId="25E3A518" w14:textId="06EFBEB3"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Développer</w:t>
            </w:r>
            <w:r w:rsidR="00B11B00" w:rsidRPr="00E01239">
              <w:rPr>
                <w:rFonts w:asciiTheme="minorHAnsi" w:hAnsiTheme="minorHAnsi" w:cstheme="minorHAnsi"/>
                <w:bCs/>
                <w:sz w:val="20"/>
                <w:szCs w:val="20"/>
              </w:rPr>
              <w:t xml:space="preserve"> la stratégie des soins de santé primaire.</w:t>
            </w:r>
          </w:p>
        </w:tc>
      </w:tr>
      <w:tr w:rsidR="005619F6" w:rsidRPr="00E01239" w14:paraId="2631EAF9" w14:textId="77777777" w:rsidTr="00654F25">
        <w:trPr>
          <w:trHeight w:val="559"/>
          <w:jc w:val="center"/>
        </w:trPr>
        <w:tc>
          <w:tcPr>
            <w:tcW w:w="961" w:type="pct"/>
            <w:vMerge/>
            <w:vAlign w:val="center"/>
          </w:tcPr>
          <w:p w14:paraId="47345491"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3D9D2986"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Service national de l’éducation et de l’information pour la santé </w:t>
            </w:r>
          </w:p>
        </w:tc>
        <w:tc>
          <w:tcPr>
            <w:tcW w:w="3068" w:type="pct"/>
            <w:vAlign w:val="center"/>
          </w:tcPr>
          <w:p w14:paraId="514ED444"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Assurer l’information, la sensibilisation et la communication en matière de santé ;</w:t>
            </w:r>
          </w:p>
          <w:p w14:paraId="583225B2" w14:textId="36738F20"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Créer</w:t>
            </w:r>
            <w:r w:rsidR="00B11B00" w:rsidRPr="00E01239">
              <w:rPr>
                <w:rFonts w:asciiTheme="minorHAnsi" w:hAnsiTheme="minorHAnsi" w:cstheme="minorHAnsi"/>
                <w:bCs/>
                <w:sz w:val="20"/>
                <w:szCs w:val="20"/>
              </w:rPr>
              <w:t xml:space="preserve"> chez les individus, les familles et les collectivités, la demande en soins de santé, notamment en les informant sur les principales causes de nuisance à la santé et sur les moyens de lutte disponibles ;</w:t>
            </w:r>
          </w:p>
          <w:p w14:paraId="16DCF436" w14:textId="0A469E03" w:rsidR="00B11B00" w:rsidRPr="00E01239" w:rsidRDefault="00EF19D6"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Amener</w:t>
            </w:r>
            <w:r w:rsidR="00B11B00" w:rsidRPr="00E01239">
              <w:rPr>
                <w:rFonts w:asciiTheme="minorHAnsi" w:hAnsiTheme="minorHAnsi" w:cstheme="minorHAnsi"/>
                <w:bCs/>
                <w:sz w:val="20"/>
                <w:szCs w:val="20"/>
              </w:rPr>
              <w:t xml:space="preserve"> les individus, les familles et les collectivités à adopter des comportements favorables à la santé ;</w:t>
            </w:r>
          </w:p>
          <w:p w14:paraId="3591673A" w14:textId="52289555"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Promouvoir</w:t>
            </w:r>
            <w:r w:rsidR="00B11B00" w:rsidRPr="00E01239">
              <w:rPr>
                <w:rFonts w:asciiTheme="minorHAnsi" w:hAnsiTheme="minorHAnsi" w:cstheme="minorHAnsi"/>
                <w:bCs/>
                <w:sz w:val="20"/>
                <w:szCs w:val="20"/>
              </w:rPr>
              <w:t xml:space="preserve"> la participation des individus, des familles et des collectivités à la prise en charge des problèmes de santé.</w:t>
            </w:r>
          </w:p>
        </w:tc>
      </w:tr>
      <w:tr w:rsidR="005619F6" w:rsidRPr="00E01239" w14:paraId="6AFBD558" w14:textId="77777777" w:rsidTr="00F43E8A">
        <w:trPr>
          <w:trHeight w:val="1082"/>
          <w:jc w:val="center"/>
        </w:trPr>
        <w:tc>
          <w:tcPr>
            <w:tcW w:w="961" w:type="pct"/>
            <w:vMerge w:val="restart"/>
            <w:vAlign w:val="center"/>
          </w:tcPr>
          <w:p w14:paraId="64101032" w14:textId="77777777" w:rsidR="00B11B00" w:rsidRPr="00E01239" w:rsidRDefault="00B11B00" w:rsidP="00F43E8A">
            <w:pPr>
              <w:rPr>
                <w:rFonts w:asciiTheme="minorHAnsi" w:hAnsiTheme="minorHAnsi" w:cstheme="minorHAnsi"/>
                <w:sz w:val="20"/>
                <w:szCs w:val="20"/>
              </w:rPr>
            </w:pPr>
            <w:r w:rsidRPr="00E01239">
              <w:rPr>
                <w:rFonts w:asciiTheme="minorHAnsi" w:hAnsiTheme="minorHAnsi" w:cstheme="minorHAnsi"/>
                <w:sz w:val="20"/>
                <w:szCs w:val="20"/>
              </w:rPr>
              <w:lastRenderedPageBreak/>
              <w:t>Ministre des Collectivités territoriales, du Développement et de l’Aménagement des Territoires</w:t>
            </w:r>
          </w:p>
        </w:tc>
        <w:tc>
          <w:tcPr>
            <w:tcW w:w="971" w:type="pct"/>
            <w:vAlign w:val="center"/>
          </w:tcPr>
          <w:p w14:paraId="574A41C7"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Collectivités territoriales</w:t>
            </w:r>
          </w:p>
        </w:tc>
        <w:tc>
          <w:tcPr>
            <w:tcW w:w="3068" w:type="pct"/>
            <w:vAlign w:val="center"/>
          </w:tcPr>
          <w:p w14:paraId="56CA538C" w14:textId="7D8E7126" w:rsidR="00B11B00" w:rsidRPr="00E01239" w:rsidRDefault="00B11B00" w:rsidP="00027669">
            <w:pPr>
              <w:pStyle w:val="Paragraphedeliste"/>
              <w:numPr>
                <w:ilvl w:val="0"/>
                <w:numId w:val="166"/>
              </w:numPr>
              <w:autoSpaceDE w:val="0"/>
              <w:autoSpaceDN w:val="0"/>
              <w:adjustRightInd w:val="0"/>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Assurer la protection des sites classés installés dans les entités locales ainsi que celle des monuments</w:t>
            </w:r>
            <w:r w:rsidR="00DE092C" w:rsidRPr="00E01239">
              <w:rPr>
                <w:rFonts w:asciiTheme="minorHAnsi" w:hAnsiTheme="minorHAnsi" w:cstheme="minorHAnsi"/>
                <w:bCs/>
                <w:sz w:val="20"/>
                <w:szCs w:val="20"/>
              </w:rPr>
              <w:t xml:space="preserve"> </w:t>
            </w:r>
            <w:r w:rsidRPr="00E01239">
              <w:rPr>
                <w:rFonts w:asciiTheme="minorHAnsi" w:hAnsiTheme="minorHAnsi" w:cstheme="minorHAnsi"/>
                <w:bCs/>
                <w:sz w:val="20"/>
                <w:szCs w:val="20"/>
              </w:rPr>
              <w:t xml:space="preserve">; </w:t>
            </w:r>
          </w:p>
          <w:p w14:paraId="2AF3FD0C" w14:textId="79F5B937" w:rsidR="00B11B00" w:rsidRPr="00E01239" w:rsidRDefault="00DE092C" w:rsidP="00027669">
            <w:pPr>
              <w:pStyle w:val="Paragraphedeliste"/>
              <w:numPr>
                <w:ilvl w:val="0"/>
                <w:numId w:val="166"/>
              </w:numPr>
              <w:autoSpaceDE w:val="0"/>
              <w:autoSpaceDN w:val="0"/>
              <w:adjustRightInd w:val="0"/>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Sensibiliser</w:t>
            </w:r>
            <w:r w:rsidR="00B11B00" w:rsidRPr="00E01239">
              <w:rPr>
                <w:rFonts w:asciiTheme="minorHAnsi" w:hAnsiTheme="minorHAnsi" w:cstheme="minorHAnsi"/>
                <w:bCs/>
                <w:sz w:val="20"/>
                <w:szCs w:val="20"/>
              </w:rPr>
              <w:t xml:space="preserve"> la population en matière d’hygiène du milieu ;</w:t>
            </w:r>
          </w:p>
          <w:p w14:paraId="6D3F915E" w14:textId="62CF5CED" w:rsidR="00B11B00" w:rsidRPr="00E01239" w:rsidRDefault="00DE092C" w:rsidP="00027669">
            <w:pPr>
              <w:pStyle w:val="Paragraphedeliste"/>
              <w:numPr>
                <w:ilvl w:val="0"/>
                <w:numId w:val="166"/>
              </w:numPr>
              <w:autoSpaceDE w:val="0"/>
              <w:autoSpaceDN w:val="0"/>
              <w:adjustRightInd w:val="0"/>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Délivrer</w:t>
            </w:r>
            <w:r w:rsidR="00B11B00" w:rsidRPr="00E01239">
              <w:rPr>
                <w:rFonts w:asciiTheme="minorHAnsi" w:hAnsiTheme="minorHAnsi" w:cstheme="minorHAnsi"/>
                <w:bCs/>
                <w:sz w:val="20"/>
                <w:szCs w:val="20"/>
              </w:rPr>
              <w:t xml:space="preserve"> des permis d’exploitation et de contrôle des établissements dangereux, insalubres et incommodes ;</w:t>
            </w:r>
          </w:p>
          <w:p w14:paraId="3AB8C573" w14:textId="482CEA4E" w:rsidR="00B11B00" w:rsidRPr="00E01239" w:rsidRDefault="00DE092C" w:rsidP="00027669">
            <w:pPr>
              <w:pStyle w:val="Paragraphedeliste"/>
              <w:numPr>
                <w:ilvl w:val="0"/>
                <w:numId w:val="166"/>
              </w:numPr>
              <w:autoSpaceDE w:val="0"/>
              <w:autoSpaceDN w:val="0"/>
              <w:adjustRightInd w:val="0"/>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Assurer</w:t>
            </w:r>
            <w:r w:rsidR="00B11B00" w:rsidRPr="00E01239">
              <w:rPr>
                <w:rFonts w:asciiTheme="minorHAnsi" w:hAnsiTheme="minorHAnsi" w:cstheme="minorHAnsi"/>
                <w:bCs/>
                <w:sz w:val="20"/>
                <w:szCs w:val="20"/>
              </w:rPr>
              <w:t xml:space="preserve"> le drainage et curage des collecteurs et égouts des eaux usées ;</w:t>
            </w:r>
          </w:p>
          <w:p w14:paraId="5D7BA1D2" w14:textId="7E2595FD"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Assurer</w:t>
            </w:r>
            <w:r w:rsidR="00B11B00" w:rsidRPr="00E01239">
              <w:rPr>
                <w:rFonts w:asciiTheme="minorHAnsi" w:hAnsiTheme="minorHAnsi" w:cstheme="minorHAnsi"/>
                <w:bCs/>
                <w:sz w:val="20"/>
                <w:szCs w:val="20"/>
              </w:rPr>
              <w:t xml:space="preserve"> le nettoyage, la collecte et l’évacuation des ordures ménagères et immondices.</w:t>
            </w:r>
          </w:p>
        </w:tc>
      </w:tr>
      <w:tr w:rsidR="005619F6" w:rsidRPr="00E01239" w14:paraId="694AED28" w14:textId="77777777" w:rsidTr="00F43E8A">
        <w:trPr>
          <w:trHeight w:val="523"/>
          <w:jc w:val="center"/>
        </w:trPr>
        <w:tc>
          <w:tcPr>
            <w:tcW w:w="961" w:type="pct"/>
            <w:vMerge/>
            <w:vAlign w:val="center"/>
          </w:tcPr>
          <w:p w14:paraId="5A348BED" w14:textId="77777777" w:rsidR="00B11B00" w:rsidRPr="00E01239" w:rsidRDefault="00B11B00" w:rsidP="00F43E8A">
            <w:pPr>
              <w:rPr>
                <w:rFonts w:asciiTheme="minorHAnsi" w:hAnsiTheme="minorHAnsi" w:cstheme="minorHAnsi"/>
                <w:sz w:val="20"/>
                <w:szCs w:val="20"/>
              </w:rPr>
            </w:pPr>
          </w:p>
        </w:tc>
        <w:tc>
          <w:tcPr>
            <w:tcW w:w="971" w:type="pct"/>
            <w:vAlign w:val="center"/>
          </w:tcPr>
          <w:p w14:paraId="2CE8DFC9"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ONG, Associations communautaires</w:t>
            </w:r>
          </w:p>
        </w:tc>
        <w:tc>
          <w:tcPr>
            <w:tcW w:w="3068" w:type="pct"/>
            <w:vAlign w:val="center"/>
          </w:tcPr>
          <w:p w14:paraId="7CDDEFF1"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 xml:space="preserve">Processus de mobilisation des parties prenantes, notamment en termes de sensibilisation, communication et d’engagement citoyen.  </w:t>
            </w:r>
          </w:p>
        </w:tc>
      </w:tr>
      <w:tr w:rsidR="005619F6" w:rsidRPr="00E01239" w14:paraId="560217D2" w14:textId="77777777" w:rsidTr="00F43E8A">
        <w:trPr>
          <w:trHeight w:val="843"/>
          <w:jc w:val="center"/>
        </w:trPr>
        <w:tc>
          <w:tcPr>
            <w:tcW w:w="961" w:type="pct"/>
            <w:vMerge w:val="restart"/>
            <w:vAlign w:val="center"/>
          </w:tcPr>
          <w:p w14:paraId="7A78F410" w14:textId="77777777" w:rsidR="00B11B00" w:rsidRPr="00E01239" w:rsidRDefault="00B11B00" w:rsidP="00F43E8A">
            <w:pPr>
              <w:rPr>
                <w:rFonts w:asciiTheme="minorHAnsi" w:hAnsiTheme="minorHAnsi" w:cstheme="minorHAnsi"/>
                <w:sz w:val="20"/>
                <w:szCs w:val="20"/>
              </w:rPr>
            </w:pPr>
            <w:r w:rsidRPr="00E01239">
              <w:rPr>
                <w:rFonts w:asciiTheme="minorHAnsi" w:hAnsiTheme="minorHAnsi" w:cstheme="minorHAnsi"/>
                <w:sz w:val="20"/>
                <w:szCs w:val="20"/>
              </w:rPr>
              <w:t>Ministre de la Femme, de la Famille, du Genre et de la Protection des Enfants</w:t>
            </w:r>
          </w:p>
        </w:tc>
        <w:tc>
          <w:tcPr>
            <w:tcW w:w="971" w:type="pct"/>
            <w:vAlign w:val="center"/>
          </w:tcPr>
          <w:p w14:paraId="0D381688"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Direction de la Famille et de la Protection des groupes vulnérables</w:t>
            </w:r>
          </w:p>
        </w:tc>
        <w:tc>
          <w:tcPr>
            <w:tcW w:w="3068" w:type="pct"/>
            <w:vAlign w:val="center"/>
          </w:tcPr>
          <w:p w14:paraId="3BC517AE"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Élaborer et mettre en œuvre la politique familiale en lien avec les autres départements ;</w:t>
            </w:r>
          </w:p>
          <w:p w14:paraId="132A3180" w14:textId="02F7FB15"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Améliorer</w:t>
            </w:r>
            <w:r w:rsidR="00B11B00" w:rsidRPr="00E01239">
              <w:rPr>
                <w:rFonts w:asciiTheme="minorHAnsi" w:hAnsiTheme="minorHAnsi" w:cstheme="minorHAnsi"/>
                <w:bCs/>
                <w:sz w:val="20"/>
                <w:szCs w:val="20"/>
              </w:rPr>
              <w:t xml:space="preserve"> les conditions sociales, économiques et culturelles des familles ;</w:t>
            </w:r>
          </w:p>
          <w:p w14:paraId="54B9B352" w14:textId="7E6804F4"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Protéger</w:t>
            </w:r>
            <w:r w:rsidR="00B11B00" w:rsidRPr="00E01239">
              <w:rPr>
                <w:rFonts w:asciiTheme="minorHAnsi" w:hAnsiTheme="minorHAnsi" w:cstheme="minorHAnsi"/>
                <w:bCs/>
                <w:sz w:val="20"/>
                <w:szCs w:val="20"/>
              </w:rPr>
              <w:t xml:space="preserve"> les droits des groupes vulnérables ;</w:t>
            </w:r>
          </w:p>
          <w:p w14:paraId="732136FD" w14:textId="77930AE9"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Vulgariser</w:t>
            </w:r>
            <w:r w:rsidR="00B11B00" w:rsidRPr="00E01239">
              <w:rPr>
                <w:rFonts w:asciiTheme="minorHAnsi" w:hAnsiTheme="minorHAnsi" w:cstheme="minorHAnsi"/>
                <w:bCs/>
                <w:sz w:val="20"/>
                <w:szCs w:val="20"/>
              </w:rPr>
              <w:t xml:space="preserve"> les droits de la femme ;</w:t>
            </w:r>
          </w:p>
          <w:p w14:paraId="5C477ED2" w14:textId="5F1690BE"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Mettre</w:t>
            </w:r>
            <w:r w:rsidR="00B11B00" w:rsidRPr="00E01239">
              <w:rPr>
                <w:rFonts w:asciiTheme="minorHAnsi" w:hAnsiTheme="minorHAnsi" w:cstheme="minorHAnsi"/>
                <w:bCs/>
                <w:sz w:val="20"/>
                <w:szCs w:val="20"/>
              </w:rPr>
              <w:t xml:space="preserve"> en œuvre les recommandations de l’examen périodique universel relatives aux droits de la femme ;</w:t>
            </w:r>
          </w:p>
          <w:p w14:paraId="3DD92252" w14:textId="7FBBABDA"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Promouvoir</w:t>
            </w:r>
            <w:r w:rsidR="00B11B00" w:rsidRPr="00E01239">
              <w:rPr>
                <w:rFonts w:asciiTheme="minorHAnsi" w:hAnsiTheme="minorHAnsi" w:cstheme="minorHAnsi"/>
                <w:bCs/>
                <w:sz w:val="20"/>
                <w:szCs w:val="20"/>
              </w:rPr>
              <w:t xml:space="preserve"> les droits des entités de la famille ;</w:t>
            </w:r>
          </w:p>
          <w:p w14:paraId="4E066A12" w14:textId="5DBCBA70"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Assurer</w:t>
            </w:r>
            <w:r w:rsidR="00B11B00" w:rsidRPr="00E01239">
              <w:rPr>
                <w:rFonts w:asciiTheme="minorHAnsi" w:hAnsiTheme="minorHAnsi" w:cstheme="minorHAnsi"/>
                <w:bCs/>
                <w:sz w:val="20"/>
                <w:szCs w:val="20"/>
              </w:rPr>
              <w:t xml:space="preserve"> la conception, l’élaboration, la mise en œuvre et la coordination des activités inscrites dans les différents plans d’actions nationaux pour la promotion de l’abandon des violations des droits humains ;</w:t>
            </w:r>
          </w:p>
          <w:p w14:paraId="67201CE9" w14:textId="2C49386D"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Élaborer</w:t>
            </w:r>
            <w:r w:rsidR="00B11B00" w:rsidRPr="00E01239">
              <w:rPr>
                <w:rFonts w:asciiTheme="minorHAnsi" w:hAnsiTheme="minorHAnsi" w:cstheme="minorHAnsi"/>
                <w:bCs/>
                <w:sz w:val="20"/>
                <w:szCs w:val="20"/>
              </w:rPr>
              <w:t xml:space="preserve"> et de mettre en œuvre des projets et programmes en faveur de la famille et des groupes vulnérables ;</w:t>
            </w:r>
          </w:p>
        </w:tc>
      </w:tr>
      <w:tr w:rsidR="005619F6" w:rsidRPr="00E01239" w14:paraId="2BF0B6D1" w14:textId="77777777" w:rsidTr="00654F25">
        <w:trPr>
          <w:trHeight w:val="418"/>
          <w:jc w:val="center"/>
        </w:trPr>
        <w:tc>
          <w:tcPr>
            <w:tcW w:w="961" w:type="pct"/>
            <w:vMerge/>
            <w:vAlign w:val="center"/>
          </w:tcPr>
          <w:p w14:paraId="2958B2D3"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4AD112D5" w14:textId="77777777" w:rsidR="00B11B00" w:rsidRPr="00E01239" w:rsidRDefault="00B11B00" w:rsidP="00F43E8A">
            <w:pPr>
              <w:rPr>
                <w:rFonts w:asciiTheme="minorHAnsi" w:eastAsia="Calibri" w:hAnsiTheme="minorHAnsi" w:cstheme="minorHAnsi"/>
                <w:sz w:val="20"/>
                <w:szCs w:val="20"/>
              </w:rPr>
            </w:pPr>
            <w:r w:rsidRPr="00E01239">
              <w:rPr>
                <w:rFonts w:asciiTheme="minorHAnsi" w:eastAsia="Calibri" w:hAnsiTheme="minorHAnsi" w:cstheme="minorHAnsi"/>
                <w:sz w:val="20"/>
                <w:szCs w:val="20"/>
              </w:rPr>
              <w:t>Direction des Organisations féminines et de l'Entreprenariat féminin</w:t>
            </w:r>
          </w:p>
        </w:tc>
        <w:tc>
          <w:tcPr>
            <w:tcW w:w="3068" w:type="pct"/>
            <w:vAlign w:val="center"/>
          </w:tcPr>
          <w:p w14:paraId="51CC4879"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Elaborer et mettre en œuvre la stratégie de développement de l’entreprenariat féminin ;</w:t>
            </w:r>
          </w:p>
          <w:p w14:paraId="250534A8" w14:textId="100669FE"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Mener</w:t>
            </w:r>
            <w:r w:rsidR="00B11B00" w:rsidRPr="00E01239">
              <w:rPr>
                <w:rFonts w:asciiTheme="minorHAnsi" w:hAnsiTheme="minorHAnsi" w:cstheme="minorHAnsi"/>
                <w:bCs/>
                <w:sz w:val="20"/>
                <w:szCs w:val="20"/>
              </w:rPr>
              <w:t xml:space="preserve"> des études sur les caractéristiques et le profil de la femme chef d’entreprise et de l’entreprenariat féminin ;</w:t>
            </w:r>
          </w:p>
          <w:p w14:paraId="53C1DDAF" w14:textId="07FC7B43"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Mettre</w:t>
            </w:r>
            <w:r w:rsidR="00B11B00" w:rsidRPr="00E01239">
              <w:rPr>
                <w:rFonts w:asciiTheme="minorHAnsi" w:hAnsiTheme="minorHAnsi" w:cstheme="minorHAnsi"/>
                <w:bCs/>
                <w:sz w:val="20"/>
                <w:szCs w:val="20"/>
              </w:rPr>
              <w:t xml:space="preserve"> en place une banque de données sur l’entreprenariat, consolider le système d’informations sur les organisations féminines et assurer leur coordination ;</w:t>
            </w:r>
          </w:p>
          <w:p w14:paraId="4F625572" w14:textId="2F6A04C8"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Élaborer</w:t>
            </w:r>
            <w:r w:rsidR="00B11B00" w:rsidRPr="00E01239">
              <w:rPr>
                <w:rFonts w:asciiTheme="minorHAnsi" w:hAnsiTheme="minorHAnsi" w:cstheme="minorHAnsi"/>
                <w:bCs/>
                <w:sz w:val="20"/>
                <w:szCs w:val="20"/>
              </w:rPr>
              <w:t xml:space="preserve"> un guide et des outils de promotion de l’entreprenariat féminin afin d’appuyer le développement du secteur ;</w:t>
            </w:r>
          </w:p>
          <w:p w14:paraId="0A74CC36" w14:textId="1146411B"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Promouvoir</w:t>
            </w:r>
            <w:r w:rsidR="00B11B00" w:rsidRPr="00E01239">
              <w:rPr>
                <w:rFonts w:asciiTheme="minorHAnsi" w:hAnsiTheme="minorHAnsi" w:cstheme="minorHAnsi"/>
                <w:bCs/>
                <w:sz w:val="20"/>
                <w:szCs w:val="20"/>
              </w:rPr>
              <w:t xml:space="preserve"> les initiatives des femmes par la création d’activités génératrices de revenus ;</w:t>
            </w:r>
          </w:p>
          <w:p w14:paraId="3DCAE645" w14:textId="4F3C511F"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Coordonner</w:t>
            </w:r>
            <w:r w:rsidR="00B11B00" w:rsidRPr="00E01239">
              <w:rPr>
                <w:rFonts w:asciiTheme="minorHAnsi" w:hAnsiTheme="minorHAnsi" w:cstheme="minorHAnsi"/>
                <w:bCs/>
                <w:sz w:val="20"/>
                <w:szCs w:val="20"/>
              </w:rPr>
              <w:t xml:space="preserve"> les projets et programmes en faveur des organisations féminines.</w:t>
            </w:r>
          </w:p>
        </w:tc>
      </w:tr>
      <w:tr w:rsidR="005619F6" w:rsidRPr="00E01239" w14:paraId="12FA9389" w14:textId="77777777" w:rsidTr="00F43E8A">
        <w:trPr>
          <w:trHeight w:val="696"/>
          <w:jc w:val="center"/>
        </w:trPr>
        <w:tc>
          <w:tcPr>
            <w:tcW w:w="961" w:type="pct"/>
            <w:vMerge/>
            <w:vAlign w:val="center"/>
          </w:tcPr>
          <w:p w14:paraId="4CA229EB"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042F0CD8" w14:textId="77777777" w:rsidR="00B11B00" w:rsidRPr="00E01239" w:rsidRDefault="00B11B00" w:rsidP="00F43E8A">
            <w:pPr>
              <w:rPr>
                <w:rFonts w:asciiTheme="minorHAnsi" w:hAnsiTheme="minorHAnsi" w:cstheme="minorHAnsi"/>
                <w:sz w:val="20"/>
                <w:szCs w:val="20"/>
              </w:rPr>
            </w:pPr>
            <w:r w:rsidRPr="00E01239">
              <w:rPr>
                <w:rFonts w:asciiTheme="minorHAnsi" w:eastAsia="Calibri" w:hAnsiTheme="minorHAnsi" w:cstheme="minorHAnsi"/>
                <w:sz w:val="20"/>
                <w:szCs w:val="20"/>
              </w:rPr>
              <w:t>Direction de l'Equité et de l'Egalité du Genre</w:t>
            </w:r>
          </w:p>
        </w:tc>
        <w:tc>
          <w:tcPr>
            <w:tcW w:w="3068" w:type="pct"/>
            <w:vAlign w:val="center"/>
          </w:tcPr>
          <w:p w14:paraId="1C0C603C"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Elaborer et mettre en œuvre les politiques pour l’égalité et l’équité entre les sexes ;</w:t>
            </w:r>
          </w:p>
          <w:p w14:paraId="21D4A641" w14:textId="5800E176"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Veiller</w:t>
            </w:r>
            <w:r w:rsidR="00B11B00" w:rsidRPr="00E01239">
              <w:rPr>
                <w:rFonts w:asciiTheme="minorHAnsi" w:hAnsiTheme="minorHAnsi" w:cstheme="minorHAnsi"/>
                <w:bCs/>
                <w:sz w:val="20"/>
                <w:szCs w:val="20"/>
              </w:rPr>
              <w:t xml:space="preserve"> à l’intégration du genre dans les politiques et programmes sectoriels ;</w:t>
            </w:r>
          </w:p>
          <w:p w14:paraId="75FAD7E3" w14:textId="34D6457C"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Développer</w:t>
            </w:r>
            <w:r w:rsidR="00B11B00" w:rsidRPr="00E01239">
              <w:rPr>
                <w:rFonts w:asciiTheme="minorHAnsi" w:hAnsiTheme="minorHAnsi" w:cstheme="minorHAnsi"/>
                <w:bCs/>
                <w:sz w:val="20"/>
                <w:szCs w:val="20"/>
              </w:rPr>
              <w:t xml:space="preserve"> un partenariat dynamique avec les acteurs publics et privés, ainsi que la société civile ;</w:t>
            </w:r>
          </w:p>
          <w:p w14:paraId="33391C39" w14:textId="1B3462D1"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Coordonner</w:t>
            </w:r>
            <w:r w:rsidR="00B11B00" w:rsidRPr="00E01239">
              <w:rPr>
                <w:rFonts w:asciiTheme="minorHAnsi" w:hAnsiTheme="minorHAnsi" w:cstheme="minorHAnsi"/>
                <w:bCs/>
                <w:sz w:val="20"/>
                <w:szCs w:val="20"/>
              </w:rPr>
              <w:t xml:space="preserve"> l’élaboration du cadre d’actions annuel de toutes les parties prenantes ;</w:t>
            </w:r>
          </w:p>
          <w:p w14:paraId="30FC7AD1" w14:textId="43BFAB51"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Mettre</w:t>
            </w:r>
            <w:r w:rsidR="00B11B00" w:rsidRPr="00E01239">
              <w:rPr>
                <w:rFonts w:asciiTheme="minorHAnsi" w:hAnsiTheme="minorHAnsi" w:cstheme="minorHAnsi"/>
                <w:bCs/>
                <w:sz w:val="20"/>
                <w:szCs w:val="20"/>
              </w:rPr>
              <w:t xml:space="preserve"> en place une base de données sur la situation des hommes et des femmes dans les différents secteurs ;</w:t>
            </w:r>
          </w:p>
          <w:p w14:paraId="61008209" w14:textId="2B1C0F87"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Élaborer</w:t>
            </w:r>
            <w:r w:rsidR="00B11B00" w:rsidRPr="00E01239">
              <w:rPr>
                <w:rFonts w:asciiTheme="minorHAnsi" w:hAnsiTheme="minorHAnsi" w:cstheme="minorHAnsi"/>
                <w:bCs/>
                <w:sz w:val="20"/>
                <w:szCs w:val="20"/>
              </w:rPr>
              <w:t xml:space="preserve"> et mettre en œuvre un plan de communication de la Stratégie nationale pour l’Equité et l’Egalité de Genre (SNEEG) ;</w:t>
            </w:r>
          </w:p>
          <w:p w14:paraId="6B897280" w14:textId="6E8C845C"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Coordonner</w:t>
            </w:r>
            <w:r w:rsidR="00B11B00" w:rsidRPr="00E01239">
              <w:rPr>
                <w:rFonts w:asciiTheme="minorHAnsi" w:hAnsiTheme="minorHAnsi" w:cstheme="minorHAnsi"/>
                <w:bCs/>
                <w:sz w:val="20"/>
                <w:szCs w:val="20"/>
              </w:rPr>
              <w:t xml:space="preserve"> l’élaboration des rapports sur l’équité et l’égalité de genre.</w:t>
            </w:r>
          </w:p>
        </w:tc>
      </w:tr>
      <w:tr w:rsidR="00B11B00" w:rsidRPr="00E01239" w14:paraId="78AA8B7C" w14:textId="77777777" w:rsidTr="00F43E8A">
        <w:trPr>
          <w:trHeight w:val="701"/>
          <w:jc w:val="center"/>
        </w:trPr>
        <w:tc>
          <w:tcPr>
            <w:tcW w:w="5000" w:type="pct"/>
            <w:gridSpan w:val="3"/>
            <w:shd w:val="clear" w:color="auto" w:fill="D9D9D9"/>
            <w:vAlign w:val="center"/>
          </w:tcPr>
          <w:p w14:paraId="31FAAC23" w14:textId="7C117547" w:rsidR="00B11B00" w:rsidRPr="00E01239" w:rsidRDefault="00B11B00" w:rsidP="00F43E8A">
            <w:pPr>
              <w:rPr>
                <w:rFonts w:asciiTheme="minorHAnsi" w:hAnsiTheme="minorHAnsi" w:cstheme="minorHAnsi"/>
                <w:b/>
                <w:sz w:val="20"/>
                <w:szCs w:val="20"/>
              </w:rPr>
            </w:pPr>
            <w:r w:rsidRPr="00E01239">
              <w:rPr>
                <w:rFonts w:asciiTheme="minorHAnsi" w:hAnsiTheme="minorHAnsi" w:cstheme="minorHAnsi"/>
                <w:b/>
                <w:sz w:val="20"/>
                <w:szCs w:val="20"/>
              </w:rPr>
              <w:t xml:space="preserve">Acteurs Principaux </w:t>
            </w:r>
            <w:r w:rsidR="00C46151">
              <w:rPr>
                <w:rFonts w:asciiTheme="minorHAnsi" w:hAnsiTheme="minorHAnsi" w:cstheme="minorHAnsi"/>
                <w:b/>
                <w:sz w:val="20"/>
                <w:szCs w:val="20"/>
              </w:rPr>
              <w:t>/ N</w:t>
            </w:r>
            <w:r w:rsidRPr="00E01239">
              <w:rPr>
                <w:rFonts w:asciiTheme="minorHAnsi" w:hAnsiTheme="minorHAnsi" w:cstheme="minorHAnsi"/>
                <w:b/>
                <w:sz w:val="20"/>
                <w:szCs w:val="20"/>
              </w:rPr>
              <w:t>iveau local</w:t>
            </w:r>
          </w:p>
        </w:tc>
      </w:tr>
      <w:tr w:rsidR="005619F6" w:rsidRPr="00E01239" w14:paraId="68C17973" w14:textId="77777777" w:rsidTr="00F43E8A">
        <w:trPr>
          <w:trHeight w:val="835"/>
          <w:jc w:val="center"/>
        </w:trPr>
        <w:tc>
          <w:tcPr>
            <w:tcW w:w="961" w:type="pct"/>
            <w:vMerge w:val="restart"/>
            <w:vAlign w:val="center"/>
          </w:tcPr>
          <w:p w14:paraId="41B60CE8" w14:textId="77777777" w:rsidR="00B11B00" w:rsidRPr="00E01239" w:rsidRDefault="00B11B00" w:rsidP="00F43E8A">
            <w:pPr>
              <w:jc w:val="center"/>
              <w:rPr>
                <w:rFonts w:asciiTheme="minorHAnsi" w:hAnsiTheme="minorHAnsi" w:cstheme="minorHAnsi"/>
                <w:sz w:val="20"/>
                <w:szCs w:val="20"/>
              </w:rPr>
            </w:pPr>
            <w:r w:rsidRPr="00E01239">
              <w:rPr>
                <w:rFonts w:asciiTheme="minorHAnsi" w:hAnsiTheme="minorHAnsi" w:cstheme="minorHAnsi"/>
                <w:sz w:val="20"/>
                <w:szCs w:val="20"/>
              </w:rPr>
              <w:t>Autorités administratives et Services déconcentrés</w:t>
            </w:r>
          </w:p>
        </w:tc>
        <w:tc>
          <w:tcPr>
            <w:tcW w:w="971" w:type="pct"/>
            <w:vAlign w:val="center"/>
          </w:tcPr>
          <w:p w14:paraId="0019F9AD"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Gouverneur</w:t>
            </w:r>
          </w:p>
          <w:p w14:paraId="7F8C09B5"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Préfet</w:t>
            </w:r>
          </w:p>
          <w:p w14:paraId="3A5D56DF"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Sous-Préfet</w:t>
            </w:r>
          </w:p>
        </w:tc>
        <w:tc>
          <w:tcPr>
            <w:tcW w:w="3068" w:type="pct"/>
            <w:vAlign w:val="center"/>
          </w:tcPr>
          <w:p w14:paraId="29DA82B4"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Superviser le comité technique régional de validation des évaluations environnementales et sociales ;</w:t>
            </w:r>
          </w:p>
          <w:p w14:paraId="3ED4F720" w14:textId="1FBEA0DB"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Accompagner</w:t>
            </w:r>
            <w:r w:rsidR="00B11B00" w:rsidRPr="00E01239">
              <w:rPr>
                <w:rFonts w:asciiTheme="minorHAnsi" w:hAnsiTheme="minorHAnsi" w:cstheme="minorHAnsi"/>
                <w:bCs/>
                <w:sz w:val="20"/>
                <w:szCs w:val="20"/>
              </w:rPr>
              <w:t xml:space="preserve"> les procédures d’évaluation sociale ;</w:t>
            </w:r>
          </w:p>
          <w:p w14:paraId="0B196843" w14:textId="6F2DA688"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Accompagner</w:t>
            </w:r>
            <w:r w:rsidR="00B11B00" w:rsidRPr="00E01239">
              <w:rPr>
                <w:rFonts w:asciiTheme="minorHAnsi" w:hAnsiTheme="minorHAnsi" w:cstheme="minorHAnsi"/>
                <w:bCs/>
                <w:sz w:val="20"/>
                <w:szCs w:val="20"/>
              </w:rPr>
              <w:t xml:space="preserve"> les campagnes de sensibilisation et d’information sur le projet</w:t>
            </w:r>
          </w:p>
        </w:tc>
      </w:tr>
      <w:tr w:rsidR="005619F6" w:rsidRPr="00E01239" w14:paraId="51EF33EE" w14:textId="77777777" w:rsidTr="00F43E8A">
        <w:trPr>
          <w:trHeight w:val="40"/>
          <w:jc w:val="center"/>
        </w:trPr>
        <w:tc>
          <w:tcPr>
            <w:tcW w:w="961" w:type="pct"/>
            <w:vMerge/>
            <w:vAlign w:val="center"/>
          </w:tcPr>
          <w:p w14:paraId="615D29EF"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4E1EAB03"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Divisions Régionales de l’Environnement et des Établissements Classés</w:t>
            </w:r>
          </w:p>
        </w:tc>
        <w:tc>
          <w:tcPr>
            <w:tcW w:w="3068" w:type="pct"/>
            <w:vAlign w:val="center"/>
          </w:tcPr>
          <w:p w14:paraId="09936F3B"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Exécuter les mis</w:t>
            </w:r>
            <w:r w:rsidRPr="00E01239">
              <w:rPr>
                <w:rFonts w:asciiTheme="minorHAnsi" w:hAnsiTheme="minorHAnsi" w:cstheme="minorHAnsi"/>
                <w:bCs/>
                <w:sz w:val="20"/>
                <w:szCs w:val="20"/>
              </w:rPr>
              <w:softHyphen/>
              <w:t>sions de la DEEC au niveau régional ;</w:t>
            </w:r>
          </w:p>
          <w:p w14:paraId="781ED570" w14:textId="455A995B"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Assurer</w:t>
            </w:r>
            <w:r w:rsidR="00B11B00" w:rsidRPr="00E01239">
              <w:rPr>
                <w:rFonts w:asciiTheme="minorHAnsi" w:hAnsiTheme="minorHAnsi" w:cstheme="minorHAnsi"/>
                <w:bCs/>
                <w:sz w:val="20"/>
                <w:szCs w:val="20"/>
              </w:rPr>
              <w:t xml:space="preserve"> la coordination du processus de validation des Ana</w:t>
            </w:r>
            <w:r w:rsidR="00B11B00" w:rsidRPr="00E01239">
              <w:rPr>
                <w:rFonts w:asciiTheme="minorHAnsi" w:hAnsiTheme="minorHAnsi" w:cstheme="minorHAnsi"/>
                <w:bCs/>
                <w:sz w:val="20"/>
                <w:szCs w:val="20"/>
              </w:rPr>
              <w:softHyphen/>
              <w:t>lyses Environnementales Initiales (AEI) et du suivi environnemental et social des projets et programmes dans la région.</w:t>
            </w:r>
          </w:p>
        </w:tc>
      </w:tr>
      <w:tr w:rsidR="005619F6" w:rsidRPr="00E01239" w14:paraId="009B48BB" w14:textId="77777777" w:rsidTr="00F43E8A">
        <w:trPr>
          <w:trHeight w:val="560"/>
          <w:jc w:val="center"/>
        </w:trPr>
        <w:tc>
          <w:tcPr>
            <w:tcW w:w="961" w:type="pct"/>
            <w:vMerge/>
            <w:vAlign w:val="center"/>
          </w:tcPr>
          <w:p w14:paraId="60A8103E" w14:textId="77777777" w:rsidR="00B11B00" w:rsidRPr="00E01239" w:rsidRDefault="00B11B00" w:rsidP="00F43E8A">
            <w:pPr>
              <w:jc w:val="center"/>
              <w:rPr>
                <w:rFonts w:asciiTheme="minorHAnsi" w:hAnsiTheme="minorHAnsi" w:cstheme="minorHAnsi"/>
                <w:sz w:val="20"/>
                <w:szCs w:val="20"/>
              </w:rPr>
            </w:pPr>
          </w:p>
        </w:tc>
        <w:tc>
          <w:tcPr>
            <w:tcW w:w="971" w:type="pct"/>
            <w:vAlign w:val="center"/>
          </w:tcPr>
          <w:p w14:paraId="2A84121C" w14:textId="77777777" w:rsidR="00B11B00" w:rsidRPr="00E01239" w:rsidRDefault="00B11B00" w:rsidP="00F43E8A">
            <w:pPr>
              <w:rPr>
                <w:rFonts w:asciiTheme="minorHAnsi" w:hAnsiTheme="minorHAnsi" w:cstheme="minorHAnsi"/>
                <w:bCs/>
                <w:sz w:val="20"/>
                <w:szCs w:val="20"/>
              </w:rPr>
            </w:pPr>
            <w:r w:rsidRPr="00E01239">
              <w:rPr>
                <w:rFonts w:asciiTheme="minorHAnsi" w:hAnsiTheme="minorHAnsi" w:cstheme="minorHAnsi"/>
                <w:bCs/>
                <w:sz w:val="20"/>
                <w:szCs w:val="20"/>
              </w:rPr>
              <w:t>Services Techniques déconcentrés</w:t>
            </w:r>
          </w:p>
        </w:tc>
        <w:tc>
          <w:tcPr>
            <w:tcW w:w="3068" w:type="pct"/>
            <w:vAlign w:val="center"/>
          </w:tcPr>
          <w:p w14:paraId="27B7921E" w14:textId="77777777" w:rsidR="00B11B00" w:rsidRPr="00E01239" w:rsidRDefault="00B11B00"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Constitue le Comité technique régional ;</w:t>
            </w:r>
          </w:p>
          <w:p w14:paraId="486D497D" w14:textId="3FBA0BE7" w:rsidR="00B11B00" w:rsidRPr="00E01239" w:rsidRDefault="00DE092C" w:rsidP="00027669">
            <w:pPr>
              <w:pStyle w:val="Paragraphedeliste"/>
              <w:numPr>
                <w:ilvl w:val="0"/>
                <w:numId w:val="166"/>
              </w:numPr>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Forme</w:t>
            </w:r>
            <w:r w:rsidR="00B11B00" w:rsidRPr="00E01239">
              <w:rPr>
                <w:rFonts w:asciiTheme="minorHAnsi" w:hAnsiTheme="minorHAnsi" w:cstheme="minorHAnsi"/>
                <w:bCs/>
                <w:sz w:val="20"/>
                <w:szCs w:val="20"/>
              </w:rPr>
              <w:t xml:space="preserve"> le comité régional de suivi environnemental (CRSE) ;</w:t>
            </w:r>
          </w:p>
          <w:p w14:paraId="23A909EB" w14:textId="5F678092" w:rsidR="00B11B00" w:rsidRPr="00E01239" w:rsidRDefault="00DE092C" w:rsidP="00027669">
            <w:pPr>
              <w:pStyle w:val="Paragraphedeliste"/>
              <w:numPr>
                <w:ilvl w:val="0"/>
                <w:numId w:val="166"/>
              </w:numPr>
              <w:autoSpaceDE w:val="0"/>
              <w:autoSpaceDN w:val="0"/>
              <w:adjustRightInd w:val="0"/>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Appuyer</w:t>
            </w:r>
            <w:r w:rsidR="00B11B00" w:rsidRPr="00E01239">
              <w:rPr>
                <w:rFonts w:asciiTheme="minorHAnsi" w:hAnsiTheme="minorHAnsi" w:cstheme="minorHAnsi"/>
                <w:bCs/>
                <w:sz w:val="20"/>
                <w:szCs w:val="20"/>
              </w:rPr>
              <w:t xml:space="preserve"> l’évaluation environnementale et sociale des projets de développement local ;</w:t>
            </w:r>
          </w:p>
          <w:p w14:paraId="26EE371E" w14:textId="20BC5135" w:rsidR="00B11B00" w:rsidRPr="00E01239" w:rsidRDefault="00DE092C" w:rsidP="00027669">
            <w:pPr>
              <w:pStyle w:val="Paragraphedeliste"/>
              <w:numPr>
                <w:ilvl w:val="0"/>
                <w:numId w:val="166"/>
              </w:numPr>
              <w:autoSpaceDE w:val="0"/>
              <w:autoSpaceDN w:val="0"/>
              <w:adjustRightInd w:val="0"/>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Faire</w:t>
            </w:r>
            <w:r w:rsidR="00B11B00" w:rsidRPr="00E01239">
              <w:rPr>
                <w:rFonts w:asciiTheme="minorHAnsi" w:hAnsiTheme="minorHAnsi" w:cstheme="minorHAnsi"/>
                <w:bCs/>
                <w:sz w:val="20"/>
                <w:szCs w:val="20"/>
              </w:rPr>
              <w:t xml:space="preserve"> la revue des études éventuelles ;</w:t>
            </w:r>
          </w:p>
          <w:p w14:paraId="1BC53CF6" w14:textId="738434DE" w:rsidR="00B11B00" w:rsidRPr="00E01239" w:rsidRDefault="00DE092C" w:rsidP="00027669">
            <w:pPr>
              <w:pStyle w:val="Paragraphedeliste"/>
              <w:numPr>
                <w:ilvl w:val="0"/>
                <w:numId w:val="166"/>
              </w:numPr>
              <w:autoSpaceDE w:val="0"/>
              <w:autoSpaceDN w:val="0"/>
              <w:adjustRightInd w:val="0"/>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Suivre</w:t>
            </w:r>
            <w:r w:rsidR="00B11B00" w:rsidRPr="00E01239">
              <w:rPr>
                <w:rFonts w:asciiTheme="minorHAnsi" w:hAnsiTheme="minorHAnsi" w:cstheme="minorHAnsi"/>
                <w:bCs/>
                <w:sz w:val="20"/>
                <w:szCs w:val="20"/>
              </w:rPr>
              <w:t xml:space="preserve"> l’application des mesures d’atténuation/d’accompagnement ; </w:t>
            </w:r>
          </w:p>
          <w:p w14:paraId="78C072A5" w14:textId="31ED27F4" w:rsidR="00B11B00" w:rsidRPr="00E01239" w:rsidRDefault="00DE092C" w:rsidP="00027669">
            <w:pPr>
              <w:pStyle w:val="Paragraphedeliste"/>
              <w:numPr>
                <w:ilvl w:val="0"/>
                <w:numId w:val="166"/>
              </w:numPr>
              <w:autoSpaceDE w:val="0"/>
              <w:autoSpaceDN w:val="0"/>
              <w:adjustRightInd w:val="0"/>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Suivre</w:t>
            </w:r>
            <w:r w:rsidR="00B11B00" w:rsidRPr="00E01239">
              <w:rPr>
                <w:rFonts w:asciiTheme="minorHAnsi" w:hAnsiTheme="minorHAnsi" w:cstheme="minorHAnsi"/>
                <w:bCs/>
                <w:sz w:val="20"/>
                <w:szCs w:val="20"/>
              </w:rPr>
              <w:t xml:space="preserve"> la mise en œuvre des éventuels plans de gestion et de suivi des projets ;</w:t>
            </w:r>
          </w:p>
          <w:p w14:paraId="09FB1683" w14:textId="7222867E" w:rsidR="00B11B00" w:rsidRPr="00E01239" w:rsidRDefault="00DE092C" w:rsidP="00027669">
            <w:pPr>
              <w:pStyle w:val="Paragraphedeliste"/>
              <w:numPr>
                <w:ilvl w:val="0"/>
                <w:numId w:val="166"/>
              </w:numPr>
              <w:autoSpaceDE w:val="0"/>
              <w:autoSpaceDN w:val="0"/>
              <w:adjustRightInd w:val="0"/>
              <w:ind w:left="178" w:hanging="178"/>
              <w:jc w:val="both"/>
              <w:rPr>
                <w:rFonts w:asciiTheme="minorHAnsi" w:hAnsiTheme="minorHAnsi" w:cstheme="minorHAnsi"/>
                <w:bCs/>
                <w:sz w:val="20"/>
                <w:szCs w:val="20"/>
              </w:rPr>
            </w:pPr>
            <w:r w:rsidRPr="00E01239">
              <w:rPr>
                <w:rFonts w:asciiTheme="minorHAnsi" w:hAnsiTheme="minorHAnsi" w:cstheme="minorHAnsi"/>
                <w:bCs/>
                <w:sz w:val="20"/>
                <w:szCs w:val="20"/>
              </w:rPr>
              <w:t>Contribue</w:t>
            </w:r>
            <w:r w:rsidR="00B11B00" w:rsidRPr="00E01239">
              <w:rPr>
                <w:rFonts w:asciiTheme="minorHAnsi" w:hAnsiTheme="minorHAnsi" w:cstheme="minorHAnsi"/>
                <w:bCs/>
                <w:sz w:val="20"/>
                <w:szCs w:val="20"/>
              </w:rPr>
              <w:t xml:space="preserve"> au renforcement des capacités des acteurs locaux.</w:t>
            </w:r>
          </w:p>
        </w:tc>
      </w:tr>
    </w:tbl>
    <w:p w14:paraId="6041D6B1" w14:textId="77777777" w:rsidR="00B11B00" w:rsidRPr="00E01239" w:rsidRDefault="00B11B00" w:rsidP="00B11B00">
      <w:pPr>
        <w:autoSpaceDE w:val="0"/>
        <w:autoSpaceDN w:val="0"/>
        <w:adjustRightInd w:val="0"/>
        <w:rPr>
          <w:rFonts w:asciiTheme="minorHAnsi" w:eastAsia="Calibri" w:hAnsiTheme="minorHAnsi" w:cstheme="minorHAnsi"/>
          <w:b/>
          <w:bCs/>
          <w:sz w:val="22"/>
          <w:szCs w:val="22"/>
        </w:rPr>
        <w:sectPr w:rsidR="00B11B00" w:rsidRPr="00E01239" w:rsidSect="006866A4">
          <w:pgSz w:w="16840" w:h="11907" w:orient="landscape" w:code="9"/>
          <w:pgMar w:top="1418" w:right="1418" w:bottom="1418" w:left="1418" w:header="720" w:footer="720" w:gutter="0"/>
          <w:cols w:space="60"/>
          <w:noEndnote/>
        </w:sectPr>
      </w:pPr>
    </w:p>
    <w:p w14:paraId="36BDCB2E" w14:textId="77777777" w:rsidR="00B11B00" w:rsidRPr="00E01239" w:rsidRDefault="41713554" w:rsidP="00202CE9">
      <w:pPr>
        <w:pStyle w:val="Titre2"/>
        <w:rPr>
          <w:rFonts w:asciiTheme="minorHAnsi" w:hAnsiTheme="minorHAnsi" w:cstheme="minorHAnsi"/>
          <w:color w:val="auto"/>
        </w:rPr>
      </w:pPr>
      <w:bookmarkStart w:id="166" w:name="_Toc144654067"/>
      <w:r w:rsidRPr="00E01239">
        <w:rPr>
          <w:rFonts w:asciiTheme="minorHAnsi" w:hAnsiTheme="minorHAnsi" w:cstheme="minorBidi"/>
          <w:color w:val="auto"/>
        </w:rPr>
        <w:lastRenderedPageBreak/>
        <w:t>DIRECTIVES ENVIRONNEMENTALES, SANITAIRES ET SECURITAIRES (DIRECTIVES EHS) DU GROUPE DE LA BANQUE MONDIALE</w:t>
      </w:r>
      <w:bookmarkEnd w:id="166"/>
      <w:r w:rsidRPr="00E01239">
        <w:rPr>
          <w:rFonts w:asciiTheme="minorHAnsi" w:hAnsiTheme="minorHAnsi" w:cstheme="minorBidi"/>
          <w:color w:val="auto"/>
        </w:rPr>
        <w:t xml:space="preserve"> </w:t>
      </w:r>
    </w:p>
    <w:p w14:paraId="2A286FEA" w14:textId="7A6A5630" w:rsidR="00B11B00" w:rsidRPr="00E01239" w:rsidRDefault="00B11B00" w:rsidP="00B11B00">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Directives </w:t>
      </w:r>
      <w:r w:rsidR="00EE1213" w:rsidRPr="00E01239">
        <w:rPr>
          <w:rFonts w:asciiTheme="minorHAnsi" w:hAnsiTheme="minorHAnsi" w:cstheme="minorHAnsi"/>
          <w:sz w:val="22"/>
          <w:szCs w:val="22"/>
        </w:rPr>
        <w:t>E</w:t>
      </w:r>
      <w:r w:rsidRPr="00E01239">
        <w:rPr>
          <w:rFonts w:asciiTheme="minorHAnsi" w:hAnsiTheme="minorHAnsi" w:cstheme="minorHAnsi"/>
          <w:sz w:val="22"/>
          <w:szCs w:val="22"/>
        </w:rPr>
        <w:t xml:space="preserve">nvironnementales, </w:t>
      </w:r>
      <w:r w:rsidR="00EE1213" w:rsidRPr="00E01239">
        <w:rPr>
          <w:rFonts w:asciiTheme="minorHAnsi" w:hAnsiTheme="minorHAnsi" w:cstheme="minorHAnsi"/>
          <w:sz w:val="22"/>
          <w:szCs w:val="22"/>
        </w:rPr>
        <w:t>S</w:t>
      </w:r>
      <w:r w:rsidRPr="00E01239">
        <w:rPr>
          <w:rFonts w:asciiTheme="minorHAnsi" w:hAnsiTheme="minorHAnsi" w:cstheme="minorHAnsi"/>
          <w:sz w:val="22"/>
          <w:szCs w:val="22"/>
        </w:rPr>
        <w:t xml:space="preserve">anitaires et </w:t>
      </w:r>
      <w:r w:rsidR="00EE1213" w:rsidRPr="00E01239">
        <w:rPr>
          <w:rFonts w:asciiTheme="minorHAnsi" w:hAnsiTheme="minorHAnsi" w:cstheme="minorHAnsi"/>
          <w:sz w:val="22"/>
          <w:szCs w:val="22"/>
        </w:rPr>
        <w:t>S</w:t>
      </w:r>
      <w:r w:rsidRPr="00E01239">
        <w:rPr>
          <w:rFonts w:asciiTheme="minorHAnsi" w:hAnsiTheme="minorHAnsi" w:cstheme="minorHAnsi"/>
          <w:sz w:val="22"/>
          <w:szCs w:val="22"/>
        </w:rPr>
        <w:t>écuritaires (Directives EHS) du groupe de la Banque mondiale</w:t>
      </w:r>
      <w:r w:rsidRPr="00E01239">
        <w:rPr>
          <w:rStyle w:val="Appelnotedebasdep"/>
          <w:rFonts w:asciiTheme="minorHAnsi" w:hAnsiTheme="minorHAnsi" w:cstheme="minorHAnsi"/>
          <w:sz w:val="22"/>
          <w:szCs w:val="22"/>
        </w:rPr>
        <w:footnoteReference w:id="4"/>
      </w:r>
      <w:r w:rsidRPr="00E01239">
        <w:rPr>
          <w:rFonts w:asciiTheme="minorHAnsi" w:hAnsiTheme="minorHAnsi" w:cstheme="minorHAnsi"/>
          <w:sz w:val="22"/>
          <w:szCs w:val="22"/>
        </w:rPr>
        <w:t xml:space="preserve"> sont des documents de références techniques qui présentent des exemples de bonnes pratiques internationales, de portée générale ou concernant une branche d’activité particulière. Lorsqu’un ou plusieurs États membres participent à un projet du Groupe de la Banque mondiale, les Directives EHS doivent être suivies conformément aux politiques et normes de ces pays. </w:t>
      </w:r>
    </w:p>
    <w:p w14:paraId="510A9846" w14:textId="2410A3B1" w:rsidR="005A3EEB" w:rsidRPr="00E01239" w:rsidRDefault="005A3EEB" w:rsidP="00B11B00">
      <w:pPr>
        <w:spacing w:before="120" w:line="280" w:lineRule="exact"/>
        <w:jc w:val="both"/>
        <w:rPr>
          <w:rFonts w:asciiTheme="minorHAnsi" w:hAnsiTheme="minorHAnsi" w:cstheme="minorHAnsi"/>
          <w:sz w:val="22"/>
          <w:szCs w:val="22"/>
        </w:rPr>
      </w:pPr>
    </w:p>
    <w:p w14:paraId="5E7CE465" w14:textId="77777777" w:rsidR="005A3EEB" w:rsidRPr="00E01239" w:rsidRDefault="46A1DA71" w:rsidP="005A3EEB">
      <w:pPr>
        <w:pStyle w:val="Titre2"/>
        <w:rPr>
          <w:rFonts w:asciiTheme="minorHAnsi" w:hAnsiTheme="minorHAnsi" w:cstheme="minorHAnsi"/>
          <w:color w:val="auto"/>
        </w:rPr>
      </w:pPr>
      <w:bookmarkStart w:id="167" w:name="_Toc144654068"/>
      <w:r w:rsidRPr="00E01239">
        <w:rPr>
          <w:rFonts w:asciiTheme="minorHAnsi" w:hAnsiTheme="minorHAnsi" w:cstheme="minorBidi"/>
          <w:color w:val="auto"/>
        </w:rPr>
        <w:t>NORMES ENVIRONNEMENTALES ET SOCIALES DE LA BANQUE MONDIALE PERTINENTES POUR LE PROJET</w:t>
      </w:r>
      <w:bookmarkEnd w:id="167"/>
      <w:r w:rsidRPr="00E01239">
        <w:rPr>
          <w:rFonts w:asciiTheme="minorHAnsi" w:hAnsiTheme="minorHAnsi" w:cstheme="minorBidi"/>
          <w:color w:val="auto"/>
        </w:rPr>
        <w:t xml:space="preserve"> </w:t>
      </w:r>
    </w:p>
    <w:p w14:paraId="32F89DD4" w14:textId="77777777" w:rsidR="005A3EEB" w:rsidRPr="00E01239" w:rsidRDefault="005A3EEB" w:rsidP="005A3EEB">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Cadre Environnemental et Social (CES) de la Banque mondiale se décline à travers dix (10) Normes Environnementales et Sociales (NES), visant à protéger les personnes et l'environnement contre les impacts négatifs potentiels et risques qui pourraient découler des projets qu’elle finance et faisant la promotion du développement durable. Ce cadre offre une protection étendue, notamment des avancées importantes en matière de transparence, de non-discrimination, d'inclusion sociale, de participation publique et de responsabilité. </w:t>
      </w:r>
    </w:p>
    <w:p w14:paraId="06CBA3AA" w14:textId="77777777" w:rsidR="005A3EEB" w:rsidRPr="00E01239" w:rsidRDefault="005A3EEB" w:rsidP="005A3EEB">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CES met également l'accent sur le renforcement des capacités des gouvernements emprunteurs à traiter les questions environnementales et sociales. Il permet ainsi à la Banque mondiale et aux emprunteurs de mieux gérer les risques environnementaux et sociaux des projets et d'améliorer les résultats en matière de développement. </w:t>
      </w:r>
    </w:p>
    <w:p w14:paraId="4D525579" w14:textId="77777777" w:rsidR="005A3EEB" w:rsidRPr="00E01239" w:rsidRDefault="005A3EEB" w:rsidP="005A3EEB">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NES s’appliquent à tous les projets d’investissement de la Banque mondiale à l’instar du FSRP-SN. Ces normes définissent les obligations auxquelles les projets financés par la Banque devront se conformer tout au long de leur cycle de vie. </w:t>
      </w:r>
    </w:p>
    <w:p w14:paraId="2D647007" w14:textId="61A5D7B6" w:rsidR="005A3EEB" w:rsidRPr="00E01239" w:rsidRDefault="005A3EEB" w:rsidP="005A3EEB">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 tableau n°</w:t>
      </w:r>
      <w:r w:rsidR="00A1305E" w:rsidRPr="00E01239">
        <w:rPr>
          <w:rFonts w:asciiTheme="minorHAnsi" w:hAnsiTheme="minorHAnsi" w:cstheme="minorHAnsi"/>
          <w:sz w:val="22"/>
          <w:szCs w:val="22"/>
        </w:rPr>
        <w:t>8</w:t>
      </w:r>
      <w:r w:rsidRPr="00E01239">
        <w:rPr>
          <w:rFonts w:asciiTheme="minorHAnsi" w:hAnsiTheme="minorHAnsi" w:cstheme="minorHAnsi"/>
          <w:sz w:val="22"/>
          <w:szCs w:val="22"/>
        </w:rPr>
        <w:t xml:space="preserve"> ci-après récapitule les dix (10) NES et précise leur pertinence dans le cadre du FSRP-SN.</w:t>
      </w:r>
    </w:p>
    <w:p w14:paraId="3F844332" w14:textId="5012A88F" w:rsidR="005A3EEB" w:rsidRPr="00E01239" w:rsidRDefault="005A3EEB">
      <w:pPr>
        <w:rPr>
          <w:rFonts w:asciiTheme="minorHAnsi" w:hAnsiTheme="minorHAnsi" w:cstheme="minorHAnsi"/>
          <w:sz w:val="22"/>
          <w:szCs w:val="22"/>
        </w:rPr>
      </w:pPr>
      <w:r w:rsidRPr="00E01239">
        <w:rPr>
          <w:rFonts w:asciiTheme="minorHAnsi" w:hAnsiTheme="minorHAnsi" w:cstheme="minorHAnsi"/>
          <w:sz w:val="22"/>
          <w:szCs w:val="22"/>
        </w:rPr>
        <w:br w:type="page"/>
      </w:r>
    </w:p>
    <w:p w14:paraId="2D737D42" w14:textId="77777777" w:rsidR="005A3EEB" w:rsidRPr="00E01239" w:rsidRDefault="005A3EEB" w:rsidP="005A3EEB">
      <w:pPr>
        <w:spacing w:before="120" w:line="280" w:lineRule="exact"/>
        <w:jc w:val="both"/>
        <w:rPr>
          <w:rFonts w:asciiTheme="minorHAnsi" w:hAnsiTheme="minorHAnsi" w:cstheme="minorHAnsi"/>
          <w:sz w:val="22"/>
          <w:szCs w:val="22"/>
        </w:rPr>
        <w:sectPr w:rsidR="005A3EEB" w:rsidRPr="00E01239">
          <w:footerReference w:type="default" r:id="rId22"/>
          <w:pgSz w:w="11906" w:h="16838"/>
          <w:pgMar w:top="1417" w:right="1417" w:bottom="1417" w:left="1417" w:header="708" w:footer="708" w:gutter="0"/>
          <w:cols w:space="708"/>
          <w:docGrid w:linePitch="360"/>
        </w:sectPr>
      </w:pPr>
    </w:p>
    <w:p w14:paraId="1CFDBC59" w14:textId="6A460267" w:rsidR="005A3EEB" w:rsidRPr="00E01239" w:rsidRDefault="005A3EEB" w:rsidP="005A3EEB">
      <w:pPr>
        <w:jc w:val="center"/>
        <w:rPr>
          <w:rFonts w:asciiTheme="minorHAnsi" w:hAnsiTheme="minorHAnsi" w:cstheme="minorHAnsi"/>
          <w:bCs/>
          <w:sz w:val="22"/>
          <w:szCs w:val="22"/>
        </w:rPr>
      </w:pPr>
      <w:bookmarkStart w:id="168" w:name="_Toc69996764"/>
      <w:bookmarkStart w:id="169" w:name="_Toc70033432"/>
      <w:bookmarkStart w:id="170" w:name="_Toc129472056"/>
      <w:bookmarkStart w:id="171" w:name="_Toc144654188"/>
      <w:r w:rsidRPr="00E01239">
        <w:rPr>
          <w:rFonts w:asciiTheme="minorHAnsi" w:hAnsiTheme="minorHAnsi" w:cstheme="minorHAnsi"/>
          <w:b/>
          <w:bCs/>
          <w:sz w:val="22"/>
          <w:szCs w:val="22"/>
        </w:rPr>
        <w:lastRenderedPageBreak/>
        <w:t xml:space="preserve">Tableau </w:t>
      </w:r>
      <w:r w:rsidRPr="00E01239">
        <w:rPr>
          <w:rFonts w:asciiTheme="minorHAnsi" w:hAnsiTheme="minorHAnsi" w:cstheme="minorHAnsi"/>
          <w:b/>
          <w:bCs/>
          <w:sz w:val="22"/>
          <w:szCs w:val="22"/>
        </w:rPr>
        <w:fldChar w:fldCharType="begin"/>
      </w:r>
      <w:r w:rsidRPr="00E01239">
        <w:rPr>
          <w:rFonts w:asciiTheme="minorHAnsi" w:hAnsiTheme="minorHAnsi" w:cstheme="minorHAnsi"/>
          <w:b/>
          <w:bCs/>
          <w:sz w:val="22"/>
          <w:szCs w:val="22"/>
        </w:rPr>
        <w:instrText xml:space="preserve"> SEQ Tableau \* ARABIC </w:instrText>
      </w:r>
      <w:r w:rsidRPr="00E01239">
        <w:rPr>
          <w:rFonts w:asciiTheme="minorHAnsi" w:hAnsiTheme="minorHAnsi" w:cstheme="minorHAnsi"/>
          <w:b/>
          <w:bCs/>
          <w:sz w:val="22"/>
          <w:szCs w:val="22"/>
        </w:rPr>
        <w:fldChar w:fldCharType="separate"/>
      </w:r>
      <w:r w:rsidR="005C3166">
        <w:rPr>
          <w:rFonts w:asciiTheme="minorHAnsi" w:hAnsiTheme="minorHAnsi" w:cstheme="minorHAnsi"/>
          <w:b/>
          <w:bCs/>
          <w:noProof/>
          <w:sz w:val="22"/>
          <w:szCs w:val="22"/>
        </w:rPr>
        <w:t>8</w:t>
      </w:r>
      <w:r w:rsidRPr="00E01239">
        <w:rPr>
          <w:rFonts w:asciiTheme="minorHAnsi" w:hAnsiTheme="minorHAnsi" w:cstheme="minorHAnsi"/>
          <w:b/>
          <w:bCs/>
          <w:sz w:val="22"/>
          <w:szCs w:val="22"/>
        </w:rPr>
        <w:fldChar w:fldCharType="end"/>
      </w:r>
      <w:r w:rsidRPr="00E01239">
        <w:rPr>
          <w:rFonts w:asciiTheme="minorHAnsi" w:hAnsiTheme="minorHAnsi" w:cstheme="minorHAnsi"/>
          <w:b/>
          <w:bCs/>
          <w:sz w:val="22"/>
          <w:szCs w:val="22"/>
        </w:rPr>
        <w:t>:</w:t>
      </w:r>
      <w:r w:rsidRPr="00E01239">
        <w:rPr>
          <w:rFonts w:asciiTheme="minorHAnsi" w:hAnsiTheme="minorHAnsi" w:cstheme="minorHAnsi"/>
          <w:sz w:val="22"/>
          <w:szCs w:val="22"/>
        </w:rPr>
        <w:t xml:space="preserve"> </w:t>
      </w:r>
      <w:r w:rsidRPr="00E01239">
        <w:rPr>
          <w:rFonts w:asciiTheme="minorHAnsi" w:hAnsiTheme="minorHAnsi" w:cstheme="minorHAnsi"/>
          <w:bCs/>
          <w:sz w:val="22"/>
          <w:szCs w:val="22"/>
        </w:rPr>
        <w:t xml:space="preserve">Normes environnementales et Sociales de la Banque mondiale et pertinences pour le </w:t>
      </w:r>
      <w:bookmarkEnd w:id="168"/>
      <w:bookmarkEnd w:id="169"/>
      <w:bookmarkEnd w:id="170"/>
      <w:r w:rsidRPr="00E01239">
        <w:rPr>
          <w:rFonts w:asciiTheme="minorHAnsi" w:hAnsiTheme="minorHAnsi" w:cstheme="minorHAnsi"/>
          <w:bCs/>
          <w:sz w:val="22"/>
          <w:szCs w:val="22"/>
        </w:rPr>
        <w:t>FSRP-SN</w:t>
      </w:r>
      <w:bookmarkEnd w:id="171"/>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33"/>
        <w:gridCol w:w="2622"/>
        <w:gridCol w:w="5651"/>
        <w:gridCol w:w="5086"/>
      </w:tblGrid>
      <w:tr w:rsidR="005A3EEB" w:rsidRPr="00E01239" w14:paraId="5C7F48AB" w14:textId="77777777" w:rsidTr="005A3EEB">
        <w:trPr>
          <w:trHeight w:val="613"/>
          <w:tblHeader/>
        </w:trPr>
        <w:tc>
          <w:tcPr>
            <w:tcW w:w="0" w:type="auto"/>
            <w:shd w:val="clear" w:color="auto" w:fill="1F3864" w:themeFill="accent5" w:themeFillShade="80"/>
            <w:vAlign w:val="center"/>
          </w:tcPr>
          <w:p w14:paraId="1B5EEED3" w14:textId="77777777" w:rsidR="005A3EEB" w:rsidRPr="00E01239" w:rsidRDefault="005A3EEB" w:rsidP="005A3EEB">
            <w:pPr>
              <w:jc w:val="center"/>
              <w:rPr>
                <w:rFonts w:asciiTheme="minorHAnsi" w:hAnsiTheme="minorHAnsi" w:cstheme="minorHAnsi"/>
                <w:color w:val="FFFFFF"/>
                <w:sz w:val="20"/>
                <w:szCs w:val="20"/>
              </w:rPr>
            </w:pPr>
            <w:r w:rsidRPr="00E01239">
              <w:rPr>
                <w:rFonts w:asciiTheme="minorHAnsi" w:hAnsiTheme="minorHAnsi" w:cstheme="minorHAnsi"/>
                <w:color w:val="FFFFFF"/>
                <w:sz w:val="20"/>
                <w:szCs w:val="20"/>
              </w:rPr>
              <w:t>NES</w:t>
            </w:r>
          </w:p>
        </w:tc>
        <w:tc>
          <w:tcPr>
            <w:tcW w:w="0" w:type="auto"/>
            <w:shd w:val="clear" w:color="auto" w:fill="1F3864" w:themeFill="accent5" w:themeFillShade="80"/>
            <w:vAlign w:val="center"/>
          </w:tcPr>
          <w:p w14:paraId="23FCDE75" w14:textId="77777777" w:rsidR="005A3EEB" w:rsidRPr="00E01239" w:rsidRDefault="005A3EEB" w:rsidP="005A3EEB">
            <w:pPr>
              <w:jc w:val="center"/>
              <w:rPr>
                <w:rFonts w:asciiTheme="minorHAnsi" w:hAnsiTheme="minorHAnsi" w:cstheme="minorHAnsi"/>
                <w:color w:val="FFFFFF"/>
                <w:sz w:val="20"/>
                <w:szCs w:val="20"/>
              </w:rPr>
            </w:pPr>
            <w:r w:rsidRPr="00E01239">
              <w:rPr>
                <w:rFonts w:asciiTheme="minorHAnsi" w:hAnsiTheme="minorHAnsi" w:cstheme="minorHAnsi"/>
                <w:color w:val="FFFFFF"/>
                <w:sz w:val="20"/>
                <w:szCs w:val="20"/>
              </w:rPr>
              <w:t>Norme Environnementale et Sociale (NES)</w:t>
            </w:r>
          </w:p>
        </w:tc>
        <w:tc>
          <w:tcPr>
            <w:tcW w:w="0" w:type="auto"/>
            <w:shd w:val="clear" w:color="auto" w:fill="1F3864" w:themeFill="accent5" w:themeFillShade="80"/>
            <w:vAlign w:val="center"/>
          </w:tcPr>
          <w:p w14:paraId="36EF051F" w14:textId="77777777" w:rsidR="005A3EEB" w:rsidRPr="00E01239" w:rsidRDefault="005A3EEB" w:rsidP="005A3EEB">
            <w:pPr>
              <w:jc w:val="center"/>
              <w:rPr>
                <w:rFonts w:asciiTheme="minorHAnsi" w:hAnsiTheme="minorHAnsi" w:cstheme="minorHAnsi"/>
                <w:color w:val="FFFFFF"/>
                <w:sz w:val="20"/>
                <w:szCs w:val="20"/>
              </w:rPr>
            </w:pPr>
            <w:r w:rsidRPr="00E01239">
              <w:rPr>
                <w:rFonts w:asciiTheme="minorHAnsi" w:hAnsiTheme="minorHAnsi" w:cstheme="minorHAnsi"/>
                <w:color w:val="FFFFFF"/>
                <w:sz w:val="20"/>
                <w:szCs w:val="20"/>
              </w:rPr>
              <w:t>Aspects environnementaux et/ou sociaux couverts</w:t>
            </w:r>
          </w:p>
        </w:tc>
        <w:tc>
          <w:tcPr>
            <w:tcW w:w="0" w:type="auto"/>
            <w:shd w:val="clear" w:color="auto" w:fill="1F3864" w:themeFill="accent5" w:themeFillShade="80"/>
            <w:vAlign w:val="center"/>
          </w:tcPr>
          <w:p w14:paraId="0AA44F35" w14:textId="77777777" w:rsidR="005A3EEB" w:rsidRPr="00E01239" w:rsidRDefault="005A3EEB" w:rsidP="005A3EEB">
            <w:pPr>
              <w:jc w:val="center"/>
              <w:rPr>
                <w:rFonts w:asciiTheme="minorHAnsi" w:hAnsiTheme="minorHAnsi" w:cstheme="minorHAnsi"/>
                <w:color w:val="FFFFFF"/>
                <w:sz w:val="20"/>
                <w:szCs w:val="20"/>
              </w:rPr>
            </w:pPr>
            <w:r w:rsidRPr="00E01239">
              <w:rPr>
                <w:rFonts w:asciiTheme="minorHAnsi" w:hAnsiTheme="minorHAnsi" w:cstheme="minorHAnsi"/>
                <w:color w:val="FFFFFF"/>
                <w:sz w:val="20"/>
                <w:szCs w:val="20"/>
              </w:rPr>
              <w:t>Pertinence pour le FSRP</w:t>
            </w:r>
          </w:p>
        </w:tc>
      </w:tr>
      <w:tr w:rsidR="005A3EEB" w:rsidRPr="00E01239" w14:paraId="477FD8CD" w14:textId="77777777" w:rsidTr="005A3EEB">
        <w:tc>
          <w:tcPr>
            <w:tcW w:w="0" w:type="auto"/>
            <w:vAlign w:val="center"/>
          </w:tcPr>
          <w:p w14:paraId="1A13AC9A"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NES n°1</w:t>
            </w:r>
          </w:p>
        </w:tc>
        <w:tc>
          <w:tcPr>
            <w:tcW w:w="0" w:type="auto"/>
            <w:vAlign w:val="center"/>
          </w:tcPr>
          <w:p w14:paraId="7FD159AC"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Évaluation et gestion des risques et effets environnementaux et sociaux</w:t>
            </w:r>
          </w:p>
        </w:tc>
        <w:tc>
          <w:tcPr>
            <w:tcW w:w="0" w:type="auto"/>
            <w:vAlign w:val="center"/>
          </w:tcPr>
          <w:p w14:paraId="1D6A1180"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La NES n°1 énonce les responsabilités de l'Emprunteur pour évaluer, gérer et surveiller les risques et les impacts environnementaux et sociaux y compris les risques de EAS/HS associés à chaque étape d'un projet financé par la Banque par le biais du Financement des projets d'investissement (FPI), afin d'atteindre des résultats environnementaux et sociaux compatibles avec les NES.</w:t>
            </w:r>
          </w:p>
        </w:tc>
        <w:tc>
          <w:tcPr>
            <w:tcW w:w="0" w:type="auto"/>
            <w:vAlign w:val="center"/>
          </w:tcPr>
          <w:p w14:paraId="092E1247"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Le</w:t>
            </w:r>
            <w:r w:rsidRPr="00E01239">
              <w:rPr>
                <w:rFonts w:asciiTheme="minorHAnsi" w:hAnsiTheme="minorHAnsi" w:cstheme="minorHAnsi"/>
              </w:rPr>
              <w:t xml:space="preserve"> </w:t>
            </w:r>
            <w:r w:rsidRPr="00E01239">
              <w:rPr>
                <w:rFonts w:asciiTheme="minorHAnsi" w:hAnsiTheme="minorHAnsi" w:cstheme="minorHAnsi"/>
                <w:sz w:val="20"/>
                <w:szCs w:val="20"/>
              </w:rPr>
              <w:t xml:space="preserve">FSRP-SN est susceptible de générer des risques et impacts environnementaux et sociaux qu’il faudrait gérer durant tout le cycle de vie du projet. Dès lors, la NES n°1 est pertinente pour le projet. Ainsi en conformité avec la norme, le Gouvernement du Sénégal a préparé le présent CGES comme instrument d’évaluation environnementale et sociale du projet. Il a également préparé et mettra en œuvre un plan d’engagement environnemental et social (PEES) qui comprend l'engagement et le calendrier pour la préparation des instruments environnementaux et sociaux ultérieurs et d'autres actions et mesures pour se conformer aux exigences de la NES n°1 et des autres NES pertinentes. </w:t>
            </w:r>
          </w:p>
        </w:tc>
      </w:tr>
      <w:tr w:rsidR="005A3EEB" w:rsidRPr="00E01239" w14:paraId="24F0A575" w14:textId="77777777" w:rsidTr="005A3EEB">
        <w:tc>
          <w:tcPr>
            <w:tcW w:w="0" w:type="auto"/>
            <w:vAlign w:val="center"/>
          </w:tcPr>
          <w:p w14:paraId="0EAD145B"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NES n°2</w:t>
            </w:r>
          </w:p>
        </w:tc>
        <w:tc>
          <w:tcPr>
            <w:tcW w:w="0" w:type="auto"/>
            <w:vAlign w:val="center"/>
          </w:tcPr>
          <w:p w14:paraId="20F29F68"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Emploi et conditions de travail</w:t>
            </w:r>
          </w:p>
        </w:tc>
        <w:tc>
          <w:tcPr>
            <w:tcW w:w="0" w:type="auto"/>
            <w:vAlign w:val="center"/>
          </w:tcPr>
          <w:p w14:paraId="16DA230A"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 xml:space="preserve">La NES n°2 reconnaît l'importance de la création d'emplois et de la génération de revenus dans la poursuite de la réduction de la pauvreté et de la croissance économique inclusive. Les Emprunteurs peuvent promouvoir des relations constructives entre les travailleurs d'un projet et </w:t>
            </w:r>
            <w:proofErr w:type="gramStart"/>
            <w:r w:rsidRPr="00E01239">
              <w:rPr>
                <w:rFonts w:asciiTheme="minorHAnsi" w:hAnsiTheme="minorHAnsi" w:cstheme="minorHAnsi"/>
                <w:sz w:val="20"/>
                <w:szCs w:val="20"/>
              </w:rPr>
              <w:t>la</w:t>
            </w:r>
            <w:proofErr w:type="gramEnd"/>
            <w:r w:rsidRPr="00E01239">
              <w:rPr>
                <w:rFonts w:asciiTheme="minorHAnsi" w:hAnsiTheme="minorHAnsi" w:cstheme="minorHAnsi"/>
                <w:sz w:val="20"/>
                <w:szCs w:val="20"/>
              </w:rPr>
              <w:t xml:space="preserve"> coordination/gestionnaire, et renforcer les bénéfices du développement d'un projet en traitant les travailleurs de manière équitable et en garantissant des conditions de travail sûres et saines y compris l’application des Codes des Conduits interdisant l’EAS/HS. La NES-2 exclut le recours à toute forme de travail forcé et au travail des enfants et soutient les principes de liberté d’association et de conventions collectives des travailleurs du projet en accord avec le droit national ;</w:t>
            </w:r>
          </w:p>
        </w:tc>
        <w:tc>
          <w:tcPr>
            <w:tcW w:w="0" w:type="auto"/>
            <w:vAlign w:val="center"/>
          </w:tcPr>
          <w:p w14:paraId="497EEA55" w14:textId="77777777" w:rsidR="005A3EEB" w:rsidRPr="00E01239" w:rsidRDefault="005A3EEB" w:rsidP="005A3EEB">
            <w:pPr>
              <w:jc w:val="both"/>
              <w:rPr>
                <w:rFonts w:asciiTheme="minorHAnsi" w:eastAsia="Calibri" w:hAnsiTheme="minorHAnsi" w:cstheme="minorHAnsi"/>
                <w:sz w:val="20"/>
                <w:szCs w:val="20"/>
                <w:lang w:eastAsia="en-US"/>
              </w:rPr>
            </w:pPr>
            <w:r w:rsidRPr="00E01239">
              <w:rPr>
                <w:rFonts w:asciiTheme="minorHAnsi" w:hAnsiTheme="minorHAnsi" w:cstheme="minorHAnsi"/>
                <w:sz w:val="20"/>
                <w:szCs w:val="20"/>
              </w:rPr>
              <w:t>La planification et la mise en œuvre de certaines activités du FSRP-SN occasionneront la mobilisation d’une main d’œuvre et les exigences en matière de traitement des travailleurs et de conditions de travail telles que définies dans la présente NES devront être respectées. Le Gouvernement élaborera et mettra en œuvre des procédures de gestion de la main-d’œuvre (PGMO), applicables au projet. Aussi, un mécanisme de gestion des plaintes (MGP) est élaboré dans le Plan de Gestion de la main d’œuvre. Par ailleurs, il établira un plan comportant des dispositions spécifiques pour éviter le recours au travail forcé et le travail des enfants.</w:t>
            </w:r>
          </w:p>
        </w:tc>
      </w:tr>
      <w:tr w:rsidR="005A3EEB" w:rsidRPr="00E01239" w14:paraId="5938E571" w14:textId="77777777" w:rsidTr="005A3EEB">
        <w:tc>
          <w:tcPr>
            <w:tcW w:w="0" w:type="auto"/>
            <w:vAlign w:val="center"/>
          </w:tcPr>
          <w:p w14:paraId="3F084688"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NES n°3</w:t>
            </w:r>
          </w:p>
        </w:tc>
        <w:tc>
          <w:tcPr>
            <w:tcW w:w="0" w:type="auto"/>
            <w:vAlign w:val="center"/>
          </w:tcPr>
          <w:p w14:paraId="3B869EC2"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Utilisation rationnelle des ressources et prévention et gestion de la pollution</w:t>
            </w:r>
          </w:p>
        </w:tc>
        <w:tc>
          <w:tcPr>
            <w:tcW w:w="0" w:type="auto"/>
            <w:vAlign w:val="center"/>
          </w:tcPr>
          <w:p w14:paraId="368539AA"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La NES n°3 reconnaît que l’activité économique et l’urbanisation génèrent souvent une augmentation des niveaux de pollution de l'air, de l'eau et du sol, et consomment des ressources limitées d'une manière qui peut menacer les populations, les services des écosystèmes et l'environnement aux niveaux local, régional et mondial. La NES décrit les exigences nécessaires pour traiter l'utilisation rationnelle des ressources, la prévention et la gestion de la pollution tout au long du cycle de vie d'un projet.</w:t>
            </w:r>
          </w:p>
        </w:tc>
        <w:tc>
          <w:tcPr>
            <w:tcW w:w="0" w:type="auto"/>
            <w:vAlign w:val="center"/>
          </w:tcPr>
          <w:p w14:paraId="300209A6"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La mise en œuvre du FSRP-SN (composantes 2 « Durabilité et capacité d’adaptation de la base productive du système alimentaire » et 3 « Intégration régionale des marchés alimentaires et du commerce ») pouvant contribuer à la pollution de l’environnement, le respect de la NES n°3 constitue dès lors une exigence pour garantir l’utilisation rationnelle des ressources, ainsi que la prévention et la gestion de la pollution.</w:t>
            </w:r>
          </w:p>
        </w:tc>
      </w:tr>
      <w:tr w:rsidR="005A3EEB" w:rsidRPr="00E01239" w14:paraId="7E2E8521" w14:textId="77777777" w:rsidTr="005A3EEB">
        <w:tc>
          <w:tcPr>
            <w:tcW w:w="0" w:type="auto"/>
            <w:vAlign w:val="center"/>
          </w:tcPr>
          <w:p w14:paraId="76C70C78"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lastRenderedPageBreak/>
              <w:t>NES n°4</w:t>
            </w:r>
          </w:p>
        </w:tc>
        <w:tc>
          <w:tcPr>
            <w:tcW w:w="0" w:type="auto"/>
            <w:vAlign w:val="center"/>
          </w:tcPr>
          <w:p w14:paraId="4D36516D"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Santé et sécurité des populations</w:t>
            </w:r>
          </w:p>
        </w:tc>
        <w:tc>
          <w:tcPr>
            <w:tcW w:w="0" w:type="auto"/>
            <w:vAlign w:val="center"/>
          </w:tcPr>
          <w:p w14:paraId="37DEA9ED" w14:textId="44D0A5E2"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La NES n°4</w:t>
            </w:r>
            <w:r w:rsidR="007E6745" w:rsidRPr="00E01239">
              <w:rPr>
                <w:rFonts w:asciiTheme="minorHAnsi" w:hAnsiTheme="minorHAnsi" w:cstheme="minorHAnsi"/>
                <w:sz w:val="20"/>
                <w:szCs w:val="20"/>
              </w:rPr>
              <w:t>,</w:t>
            </w:r>
            <w:r w:rsidRPr="00E01239">
              <w:rPr>
                <w:rFonts w:asciiTheme="minorHAnsi" w:hAnsiTheme="minorHAnsi" w:cstheme="minorHAnsi"/>
                <w:sz w:val="20"/>
                <w:szCs w:val="20"/>
              </w:rPr>
              <w:t xml:space="preserve"> traite des risques et des impacts sur la sécurité, la sûreté et la santé des communautés affectées par le projet, ainsi que de la responsabilité respective des Emprunteurs de réduire ou atténuer ces risques, y compris les risques de VBG/EAS/HS, et ces impacts, en portant une attention particulière aux groupes qui, en raison de leur situation particulière, peuvent être vulnérables.</w:t>
            </w:r>
          </w:p>
        </w:tc>
        <w:tc>
          <w:tcPr>
            <w:tcW w:w="0" w:type="auto"/>
            <w:vAlign w:val="center"/>
          </w:tcPr>
          <w:p w14:paraId="7429AF14"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 xml:space="preserve">Toutes les populations sénégalaises en général, et singulièrement celles localisées dans les environs des installations temporaires et pérennes publiques ou privées de traitement et de confinement ainsi que les travailleurs risquent d’être impactées du point de vue sécuritaire et sanitaire, lors de la mise en œuvre du FRSP-SN. Ainsi, les exigences de la présente NES en matière de réduction ou d’atténuation de ces risques et impacts devront être respectées par le </w:t>
            </w:r>
            <w:proofErr w:type="spellStart"/>
            <w:r w:rsidRPr="00E01239">
              <w:rPr>
                <w:rFonts w:asciiTheme="minorHAnsi" w:hAnsiTheme="minorHAnsi" w:cstheme="minorHAnsi"/>
                <w:sz w:val="20"/>
                <w:szCs w:val="20"/>
              </w:rPr>
              <w:t>GdS</w:t>
            </w:r>
            <w:proofErr w:type="spellEnd"/>
            <w:r w:rsidRPr="00E01239">
              <w:rPr>
                <w:rFonts w:asciiTheme="minorHAnsi" w:hAnsiTheme="minorHAnsi" w:cstheme="minorHAnsi"/>
                <w:sz w:val="20"/>
                <w:szCs w:val="20"/>
              </w:rPr>
              <w:t xml:space="preserve"> qui aura la responsabilité de veiller à ce que les mesures préventives et de contrôle conçues pour protéger la communauté soient conformes à la réglementation nationale et aux mesures de bonnes pratiques internationales notamment celles édictées par l’OMS et soient adaptées à la nature et à l'envergure du Projet. L’établissement d’un plan spécifique est donc nécessaire pour garantir la sécurité et la santé des communautés.</w:t>
            </w:r>
          </w:p>
        </w:tc>
      </w:tr>
      <w:tr w:rsidR="005A3EEB" w:rsidRPr="00E01239" w14:paraId="485254C0" w14:textId="77777777" w:rsidTr="005A3EEB">
        <w:tc>
          <w:tcPr>
            <w:tcW w:w="0" w:type="auto"/>
            <w:vAlign w:val="center"/>
          </w:tcPr>
          <w:p w14:paraId="59B62E5C"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NES n°5</w:t>
            </w:r>
          </w:p>
        </w:tc>
        <w:tc>
          <w:tcPr>
            <w:tcW w:w="0" w:type="auto"/>
            <w:vAlign w:val="center"/>
          </w:tcPr>
          <w:p w14:paraId="3D1D6480"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Acquisition des terres, restrictions à l'utilisation des terres et réinstallation involontaire</w:t>
            </w:r>
          </w:p>
        </w:tc>
        <w:tc>
          <w:tcPr>
            <w:tcW w:w="0" w:type="auto"/>
            <w:vAlign w:val="center"/>
          </w:tcPr>
          <w:p w14:paraId="2BA55D9D"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La NES n°5 a pour principe de base que la réinstallation involontaire doit être évitée. Lorsque la réinstallation involontaire est inévitable, elle doit être limitée, et des mesures appropriées pour minimiser les impacts négatifs sur les personnes déplacées (et les communautés hôtes qui accueillent les personnes déplacées) doivent être soigneusement planifiées et mises en œuvre.</w:t>
            </w:r>
          </w:p>
        </w:tc>
        <w:tc>
          <w:tcPr>
            <w:tcW w:w="0" w:type="auto"/>
            <w:vAlign w:val="center"/>
          </w:tcPr>
          <w:p w14:paraId="02052515" w14:textId="77777777" w:rsidR="005A3EEB" w:rsidRPr="00E01239" w:rsidRDefault="005A3EEB" w:rsidP="005A3EEB">
            <w:pPr>
              <w:jc w:val="both"/>
              <w:rPr>
                <w:rFonts w:asciiTheme="minorHAnsi" w:eastAsia="Calibri" w:hAnsiTheme="minorHAnsi" w:cstheme="minorHAnsi"/>
                <w:sz w:val="20"/>
                <w:szCs w:val="20"/>
              </w:rPr>
            </w:pPr>
            <w:r w:rsidRPr="00E01239">
              <w:rPr>
                <w:rFonts w:asciiTheme="minorHAnsi" w:eastAsia="Calibri" w:hAnsiTheme="minorHAnsi" w:cstheme="minorHAnsi"/>
                <w:sz w:val="20"/>
                <w:szCs w:val="20"/>
              </w:rPr>
              <w:t>La mise en œuvre du FSRP-SN occasionnera des acquisitions de terres ou des impositions de restrictions à leur utilisation. Par conséquent, la NES n°5 est pertinente pour le projet. A cet effet, le Gouvernement du Sénégal (</w:t>
            </w:r>
            <w:proofErr w:type="spellStart"/>
            <w:r w:rsidRPr="00E01239">
              <w:rPr>
                <w:rFonts w:asciiTheme="minorHAnsi" w:eastAsia="Calibri" w:hAnsiTheme="minorHAnsi" w:cstheme="minorHAnsi"/>
                <w:sz w:val="20"/>
                <w:szCs w:val="20"/>
              </w:rPr>
              <w:t>GdS</w:t>
            </w:r>
            <w:proofErr w:type="spellEnd"/>
            <w:r w:rsidRPr="00E01239">
              <w:rPr>
                <w:rFonts w:asciiTheme="minorHAnsi" w:eastAsia="Calibri" w:hAnsiTheme="minorHAnsi" w:cstheme="minorHAnsi"/>
                <w:sz w:val="20"/>
                <w:szCs w:val="20"/>
              </w:rPr>
              <w:t>), à travers les UCP/FSRP-SN, s'engage formellement à respecter, selon les exigences et les standards de la Banque mondiale portant sur l’acquisition de terres, les restrictions à l’utilisation de terres et la réinstallation involontaire, notamment les droits à la compensation et/ou l’assistance de toute personne ou entité potentiellement affectées par le projet financé par la Banque mondiale.</w:t>
            </w:r>
          </w:p>
          <w:p w14:paraId="1A6C5054" w14:textId="77777777" w:rsidR="005A3EEB" w:rsidRPr="00E01239" w:rsidRDefault="005A3EEB" w:rsidP="005A3EEB">
            <w:pPr>
              <w:jc w:val="both"/>
              <w:rPr>
                <w:rFonts w:asciiTheme="minorHAnsi" w:hAnsiTheme="minorHAnsi" w:cstheme="minorHAnsi"/>
                <w:sz w:val="20"/>
                <w:szCs w:val="20"/>
              </w:rPr>
            </w:pPr>
            <w:r w:rsidRPr="00E01239">
              <w:rPr>
                <w:rFonts w:asciiTheme="minorHAnsi" w:eastAsia="Calibri" w:hAnsiTheme="minorHAnsi" w:cstheme="minorHAnsi"/>
                <w:sz w:val="20"/>
                <w:szCs w:val="20"/>
              </w:rPr>
              <w:t>En cas de donation, les dispositions contenues dans le cadre de politique de réinstallation (document séparé au présent CGES) seront scrupuleusement respectées notamment en termes de documentation et d’acceptation de la Banque mondiale.</w:t>
            </w:r>
          </w:p>
        </w:tc>
      </w:tr>
      <w:tr w:rsidR="005A3EEB" w:rsidRPr="00E01239" w14:paraId="1B3FC7FD" w14:textId="77777777" w:rsidTr="005A3EEB">
        <w:tc>
          <w:tcPr>
            <w:tcW w:w="0" w:type="auto"/>
            <w:vAlign w:val="center"/>
          </w:tcPr>
          <w:p w14:paraId="198A1701"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lastRenderedPageBreak/>
              <w:t>NES n°6</w:t>
            </w:r>
          </w:p>
        </w:tc>
        <w:tc>
          <w:tcPr>
            <w:tcW w:w="0" w:type="auto"/>
            <w:vAlign w:val="center"/>
          </w:tcPr>
          <w:p w14:paraId="61A13F41"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Préservation de la biodiversité et gestion durable des ressources naturelles biologiques</w:t>
            </w:r>
          </w:p>
        </w:tc>
        <w:tc>
          <w:tcPr>
            <w:tcW w:w="0" w:type="auto"/>
            <w:vAlign w:val="center"/>
          </w:tcPr>
          <w:p w14:paraId="02047BCE"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La NES n°6 reconnaît que la protection et la conservation de la biodiversité, et la gestion durable des ressources naturelles vivantes, revêtent une importance capitale pour le développement durable. Elle reconnaît également l'importance de la conservation des fonctions écologiques clés des habitats, notamment les forêts, et la biodiversité qu'ils abritent. La NES n°6 se penche également sur la gestion durable de la production primaire et de l'exploitation des ressources naturelles, et reconnaît la nécessité d'examiner les moyens de subsistance des parties affectées par le projet, y compris les Peuples autochtones, dont l'accès ou l'utilisation de la biodiversité ou des ressources naturelles vivantes peuvent être affectés par un projet.</w:t>
            </w:r>
          </w:p>
        </w:tc>
        <w:tc>
          <w:tcPr>
            <w:tcW w:w="0" w:type="auto"/>
            <w:vAlign w:val="center"/>
          </w:tcPr>
          <w:p w14:paraId="010E437D"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Cette NES est pertinente pour le FRSP-SN. Il est probable que les activités du projet aient un impact sur la biodiversité ou les habitats naturels.</w:t>
            </w:r>
          </w:p>
        </w:tc>
      </w:tr>
      <w:tr w:rsidR="005A3EEB" w:rsidRPr="00E01239" w14:paraId="70367EE7" w14:textId="77777777" w:rsidTr="005A3EEB">
        <w:tc>
          <w:tcPr>
            <w:tcW w:w="0" w:type="auto"/>
            <w:vAlign w:val="center"/>
          </w:tcPr>
          <w:p w14:paraId="78E7FA82"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NES n°7</w:t>
            </w:r>
          </w:p>
        </w:tc>
        <w:tc>
          <w:tcPr>
            <w:tcW w:w="0" w:type="auto"/>
            <w:vAlign w:val="center"/>
          </w:tcPr>
          <w:p w14:paraId="768256D4"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Peuples autochtones / Communautés locales traditionnelles d’Afrique subsaharienne historiquement défavorisées</w:t>
            </w:r>
          </w:p>
        </w:tc>
        <w:tc>
          <w:tcPr>
            <w:tcW w:w="0" w:type="auto"/>
            <w:vAlign w:val="center"/>
          </w:tcPr>
          <w:p w14:paraId="014A0685" w14:textId="7B9246A0"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La NES n°7</w:t>
            </w:r>
            <w:r w:rsidR="007E6745" w:rsidRPr="00E01239">
              <w:rPr>
                <w:rFonts w:asciiTheme="minorHAnsi" w:hAnsiTheme="minorHAnsi" w:cstheme="minorHAnsi"/>
                <w:sz w:val="20"/>
                <w:szCs w:val="20"/>
              </w:rPr>
              <w:t>,</w:t>
            </w:r>
            <w:r w:rsidRPr="00E01239">
              <w:rPr>
                <w:rFonts w:asciiTheme="minorHAnsi" w:hAnsiTheme="minorHAnsi" w:cstheme="minorHAnsi"/>
                <w:sz w:val="20"/>
                <w:szCs w:val="20"/>
              </w:rPr>
              <w:t xml:space="preserve"> veille à ce que le processus de développement favorise le plein respect des droits humains, de la dignité, des aspirations, de l'identité, de la culture et des moyens de subsistance fondés sur des ressources naturelles des Peuples autochtones / Communautés locales traditionnelles d’Afrique subsaharienne historiquement défavorisées. La NES n°7 a également pour objectif d'éviter les impacts négatifs des projets sur les Peuples autochtones / Communautés locales traditionnelles d’Afrique subsaharienne historiquement défavorisées ou, si cela n’est pas possible, réduire, atténuer et / ou compenser ces impacts.</w:t>
            </w:r>
          </w:p>
        </w:tc>
        <w:tc>
          <w:tcPr>
            <w:tcW w:w="0" w:type="auto"/>
            <w:vAlign w:val="center"/>
          </w:tcPr>
          <w:p w14:paraId="0FE8C767"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Cette NES n’est pas pertinente pour le projet.</w:t>
            </w:r>
          </w:p>
        </w:tc>
      </w:tr>
      <w:tr w:rsidR="005A3EEB" w:rsidRPr="00E01239" w14:paraId="6E71371B" w14:textId="77777777" w:rsidTr="005A3EEB">
        <w:tc>
          <w:tcPr>
            <w:tcW w:w="0" w:type="auto"/>
            <w:vAlign w:val="center"/>
          </w:tcPr>
          <w:p w14:paraId="75AF4A01"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NES n°8</w:t>
            </w:r>
          </w:p>
        </w:tc>
        <w:tc>
          <w:tcPr>
            <w:tcW w:w="0" w:type="auto"/>
            <w:vAlign w:val="center"/>
          </w:tcPr>
          <w:p w14:paraId="60B7081D"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Patrimoine culturel</w:t>
            </w:r>
          </w:p>
        </w:tc>
        <w:tc>
          <w:tcPr>
            <w:tcW w:w="0" w:type="auto"/>
            <w:vAlign w:val="center"/>
          </w:tcPr>
          <w:p w14:paraId="68BF3532"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La NES n°8 reconnaît que le patrimoine culturel offre une continuité des formes matérielles et immatérielles entre le passé, le présent et le futur. La NES n°8 fixe les mesures conçues pour protéger le patrimoine culturel tout au long de la durée de vie d'un projet.</w:t>
            </w:r>
          </w:p>
        </w:tc>
        <w:tc>
          <w:tcPr>
            <w:tcW w:w="0" w:type="auto"/>
            <w:vAlign w:val="center"/>
          </w:tcPr>
          <w:p w14:paraId="0A68B840"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Cette norme est pertinente dans la mesure où il y aura des aménagements et construction dans le cadre du FSRP-SN. Toutes les dispositions nécessaires seront prises pour la gestion de cet aspect et le CGES inclut un chapitre qui traite de la conduite à tenir en cas de découverte fortuite de vestige culturel.</w:t>
            </w:r>
          </w:p>
        </w:tc>
      </w:tr>
      <w:tr w:rsidR="005A3EEB" w:rsidRPr="00E01239" w14:paraId="79456A27" w14:textId="77777777" w:rsidTr="005A3EEB">
        <w:tc>
          <w:tcPr>
            <w:tcW w:w="0" w:type="auto"/>
            <w:vAlign w:val="center"/>
          </w:tcPr>
          <w:p w14:paraId="085BE812"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NES n°9</w:t>
            </w:r>
          </w:p>
        </w:tc>
        <w:tc>
          <w:tcPr>
            <w:tcW w:w="0" w:type="auto"/>
            <w:vAlign w:val="center"/>
          </w:tcPr>
          <w:p w14:paraId="48E2A553"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Intermédiaires financiers (IF)</w:t>
            </w:r>
          </w:p>
        </w:tc>
        <w:tc>
          <w:tcPr>
            <w:tcW w:w="0" w:type="auto"/>
            <w:vAlign w:val="center"/>
          </w:tcPr>
          <w:p w14:paraId="39ED3021"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 xml:space="preserve">La NES n°9 reconnaît que la solidité des marchés intérieurs financiers et de capitaux et l'accès au financement sont des facteurs importants pour le développement économique, la croissance et la réduction de la pauvreté. Les IF sont tenus de surveiller et de gérer les risques et les impacts environnementaux et sociaux de leurs portefeuilles et les sous-projets de l'IF, et de surveiller le risque du </w:t>
            </w:r>
            <w:r w:rsidRPr="00E01239">
              <w:rPr>
                <w:rFonts w:asciiTheme="minorHAnsi" w:hAnsiTheme="minorHAnsi" w:cstheme="minorHAnsi"/>
                <w:sz w:val="20"/>
                <w:szCs w:val="20"/>
              </w:rPr>
              <w:lastRenderedPageBreak/>
              <w:t>portefeuille en fonction de la nature du financement convoyé/géré. La manière dont l'IF gèrera son portefeuille pourra prendre différentes formes, en fonction d'un certain nombre de considérations, y compris les capacités de l'IF et la nature et la portée du financement qui sera accordé par l'IF.</w:t>
            </w:r>
          </w:p>
        </w:tc>
        <w:tc>
          <w:tcPr>
            <w:tcW w:w="0" w:type="auto"/>
            <w:vAlign w:val="center"/>
          </w:tcPr>
          <w:p w14:paraId="5B5C26B2"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lastRenderedPageBreak/>
              <w:t>Cette NES n’est pas pertinente pour le projet en raison du type de financement qui n’implique pas d’intermédiation financière.</w:t>
            </w:r>
          </w:p>
        </w:tc>
      </w:tr>
      <w:tr w:rsidR="005A3EEB" w:rsidRPr="00E01239" w14:paraId="6A4C2E7C" w14:textId="77777777" w:rsidTr="005A3EEB">
        <w:tc>
          <w:tcPr>
            <w:tcW w:w="0" w:type="auto"/>
            <w:vAlign w:val="center"/>
          </w:tcPr>
          <w:p w14:paraId="77066528"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NES n°10</w:t>
            </w:r>
          </w:p>
        </w:tc>
        <w:tc>
          <w:tcPr>
            <w:tcW w:w="0" w:type="auto"/>
            <w:vAlign w:val="center"/>
          </w:tcPr>
          <w:p w14:paraId="4B63ADA3" w14:textId="77777777" w:rsidR="005A3EEB" w:rsidRPr="00E01239" w:rsidRDefault="005A3EEB" w:rsidP="00F43E8A">
            <w:pPr>
              <w:rPr>
                <w:rFonts w:asciiTheme="minorHAnsi" w:hAnsiTheme="minorHAnsi" w:cstheme="minorHAnsi"/>
                <w:bCs/>
                <w:sz w:val="20"/>
                <w:szCs w:val="20"/>
              </w:rPr>
            </w:pPr>
            <w:r w:rsidRPr="00E01239">
              <w:rPr>
                <w:rFonts w:asciiTheme="minorHAnsi" w:hAnsiTheme="minorHAnsi" w:cstheme="minorHAnsi"/>
                <w:bCs/>
                <w:sz w:val="20"/>
                <w:szCs w:val="20"/>
              </w:rPr>
              <w:t>Mobilisation des parties prenantes et information</w:t>
            </w:r>
          </w:p>
        </w:tc>
        <w:tc>
          <w:tcPr>
            <w:tcW w:w="0" w:type="auto"/>
            <w:vAlign w:val="center"/>
          </w:tcPr>
          <w:p w14:paraId="4A0914AA" w14:textId="77777777"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La NES n°10 reconnaît l'importance de la consultation ouverte et transparente entre l'Emprunteur et les parties prenantes d'un projet, comme un élément essentiel de bonne pratique internationale. La consultation efficace des parties prenantes peut améliorer la durabilité environnementale et sociale des projets, améliorer l'acceptation des projets, et contribuer de manière significative à la conception et la mise en œuvre réussie des projets. Le projet mettra en œuvre les stratégies afin de s’assurer d’une mobilisation effective et efficiente des femmes et filles de façon à permettre leur engagement active et leur contributions et bénéfices du projet.</w:t>
            </w:r>
          </w:p>
        </w:tc>
        <w:tc>
          <w:tcPr>
            <w:tcW w:w="0" w:type="auto"/>
            <w:vAlign w:val="center"/>
          </w:tcPr>
          <w:p w14:paraId="596A9E6A" w14:textId="0EDD07B2" w:rsidR="005A3EEB" w:rsidRPr="00E01239" w:rsidRDefault="005A3EEB" w:rsidP="005A3EEB">
            <w:pPr>
              <w:jc w:val="both"/>
              <w:rPr>
                <w:rFonts w:asciiTheme="minorHAnsi" w:hAnsiTheme="minorHAnsi" w:cstheme="minorHAnsi"/>
                <w:sz w:val="20"/>
                <w:szCs w:val="20"/>
              </w:rPr>
            </w:pPr>
            <w:r w:rsidRPr="00E01239">
              <w:rPr>
                <w:rFonts w:asciiTheme="minorHAnsi" w:hAnsiTheme="minorHAnsi" w:cstheme="minorHAnsi"/>
                <w:sz w:val="20"/>
                <w:szCs w:val="20"/>
              </w:rPr>
              <w:t xml:space="preserve">Le FSRP-SN Sénégal est assujetti à la NES n°10. Selon cette norme, le </w:t>
            </w:r>
            <w:proofErr w:type="spellStart"/>
            <w:r w:rsidRPr="00E01239">
              <w:rPr>
                <w:rFonts w:asciiTheme="minorHAnsi" w:hAnsiTheme="minorHAnsi" w:cstheme="minorHAnsi"/>
                <w:sz w:val="20"/>
                <w:szCs w:val="20"/>
              </w:rPr>
              <w:t>GdS</w:t>
            </w:r>
            <w:proofErr w:type="spellEnd"/>
            <w:r w:rsidRPr="00E01239">
              <w:rPr>
                <w:rFonts w:asciiTheme="minorHAnsi" w:hAnsiTheme="minorHAnsi" w:cstheme="minorHAnsi"/>
                <w:sz w:val="20"/>
                <w:szCs w:val="20"/>
              </w:rPr>
              <w:t xml:space="preserve"> préparera une stratégie de communication pour fournir aux parties prenantes l’information sur le projet qui soit compréhensible et accessible et les consultera sous une forme adaptée à leur culture, de manière libre de toute manipulation, sans interférence, coercition, discrimination et intimidation. Par conséquent, le </w:t>
            </w:r>
            <w:proofErr w:type="spellStart"/>
            <w:r w:rsidRPr="00E01239">
              <w:rPr>
                <w:rFonts w:asciiTheme="minorHAnsi" w:hAnsiTheme="minorHAnsi" w:cstheme="minorHAnsi"/>
                <w:sz w:val="20"/>
                <w:szCs w:val="20"/>
              </w:rPr>
              <w:t>GdS</w:t>
            </w:r>
            <w:proofErr w:type="spellEnd"/>
            <w:r w:rsidRPr="00E01239">
              <w:rPr>
                <w:rFonts w:asciiTheme="minorHAnsi" w:hAnsiTheme="minorHAnsi" w:cstheme="minorHAnsi"/>
                <w:sz w:val="20"/>
                <w:szCs w:val="20"/>
              </w:rPr>
              <w:t xml:space="preserve"> devra élaborer et mettre en œuvre un Plan de Mobilisation des Parties Prenantes (PMPP) proportionnelle à la nature et à la portée du Projet et aux risques et impacts potentiels. Ce PMPP clarifiera les voies et moyens par lesquels le Projet communiquera avec les différentes parties prenantes et le mécanisme par</w:t>
            </w:r>
            <w:r w:rsidR="008933AF">
              <w:rPr>
                <w:rFonts w:asciiTheme="minorHAnsi" w:hAnsiTheme="minorHAnsi" w:cstheme="minorHAnsi"/>
                <w:sz w:val="20"/>
                <w:szCs w:val="20"/>
              </w:rPr>
              <w:t xml:space="preserve"> </w:t>
            </w:r>
            <w:r w:rsidRPr="00E01239">
              <w:rPr>
                <w:rFonts w:asciiTheme="minorHAnsi" w:hAnsiTheme="minorHAnsi" w:cstheme="minorHAnsi"/>
                <w:sz w:val="20"/>
                <w:szCs w:val="20"/>
              </w:rPr>
              <w:t>lequel elles pourront soulever des problèmes et formuler des plaintes.</w:t>
            </w:r>
          </w:p>
        </w:tc>
      </w:tr>
    </w:tbl>
    <w:p w14:paraId="11C24057" w14:textId="642AFB35" w:rsidR="005A3EEB" w:rsidRPr="00E01239" w:rsidRDefault="005A3EEB" w:rsidP="00B11B00">
      <w:pPr>
        <w:spacing w:before="120" w:line="280" w:lineRule="exact"/>
        <w:jc w:val="both"/>
        <w:rPr>
          <w:rFonts w:asciiTheme="minorHAnsi" w:hAnsiTheme="minorHAnsi" w:cstheme="minorHAnsi"/>
          <w:sz w:val="22"/>
          <w:szCs w:val="22"/>
        </w:rPr>
      </w:pPr>
    </w:p>
    <w:p w14:paraId="06C6A4DF" w14:textId="77777777" w:rsidR="005A3EEB" w:rsidRPr="00E01239" w:rsidRDefault="005A3EEB">
      <w:pPr>
        <w:rPr>
          <w:rFonts w:asciiTheme="minorHAnsi" w:hAnsiTheme="minorHAnsi" w:cstheme="minorHAnsi"/>
          <w:sz w:val="22"/>
          <w:szCs w:val="22"/>
        </w:rPr>
        <w:sectPr w:rsidR="005A3EEB" w:rsidRPr="00E01239" w:rsidSect="005A3EEB">
          <w:pgSz w:w="16838" w:h="11906" w:orient="landscape"/>
          <w:pgMar w:top="1418" w:right="1418" w:bottom="1418" w:left="1418" w:header="709" w:footer="709" w:gutter="0"/>
          <w:cols w:space="708"/>
          <w:docGrid w:linePitch="360"/>
        </w:sectPr>
      </w:pPr>
    </w:p>
    <w:p w14:paraId="7E992C59" w14:textId="5FC399D9" w:rsidR="00D80D45" w:rsidRPr="00E01239" w:rsidRDefault="007E5627" w:rsidP="005A3EEB">
      <w:pPr>
        <w:pStyle w:val="Titre1"/>
        <w:keepNext w:val="0"/>
        <w:keepLines w:val="0"/>
        <w:numPr>
          <w:ilvl w:val="0"/>
          <w:numId w:val="1"/>
        </w:numPr>
        <w:pBdr>
          <w:top w:val="single" w:sz="12" w:space="1" w:color="auto"/>
          <w:bottom w:val="single" w:sz="12" w:space="1" w:color="auto"/>
        </w:pBdr>
        <w:shd w:val="clear" w:color="auto" w:fill="000000" w:themeFill="text1"/>
        <w:tabs>
          <w:tab w:val="left" w:pos="284"/>
        </w:tabs>
        <w:spacing w:before="0"/>
        <w:ind w:left="-1418" w:right="-1418" w:firstLine="1418"/>
        <w:rPr>
          <w:rFonts w:asciiTheme="minorHAnsi" w:hAnsiTheme="minorHAnsi" w:cstheme="minorHAnsi"/>
          <w:bCs w:val="0"/>
          <w:color w:val="auto"/>
          <w:lang w:eastAsia="x-none"/>
        </w:rPr>
      </w:pPr>
      <w:bookmarkStart w:id="172" w:name="_Toc142377748"/>
      <w:bookmarkStart w:id="173" w:name="_Toc69996684"/>
      <w:bookmarkStart w:id="174" w:name="_Toc70002904"/>
      <w:bookmarkStart w:id="175" w:name="_Toc70033347"/>
      <w:bookmarkStart w:id="176" w:name="_Toc130631088"/>
      <w:bookmarkStart w:id="177" w:name="_Toc130713850"/>
      <w:bookmarkStart w:id="178" w:name="_Toc130714066"/>
      <w:bookmarkStart w:id="179" w:name="_Toc130755067"/>
      <w:bookmarkStart w:id="180" w:name="_Toc130857911"/>
      <w:bookmarkStart w:id="181" w:name="_Toc142377749"/>
      <w:bookmarkStart w:id="182" w:name="_Toc312599251"/>
      <w:bookmarkStart w:id="183" w:name="_Toc312599390"/>
      <w:bookmarkStart w:id="184" w:name="_Toc314095904"/>
      <w:bookmarkStart w:id="185" w:name="_Toc375289249"/>
      <w:bookmarkStart w:id="186" w:name="_Toc375295209"/>
      <w:bookmarkStart w:id="187" w:name="_Toc375296093"/>
      <w:bookmarkStart w:id="188" w:name="_Toc375296237"/>
      <w:bookmarkStart w:id="189" w:name="_Toc375300561"/>
      <w:bookmarkStart w:id="190" w:name="_Toc375305357"/>
      <w:bookmarkStart w:id="191" w:name="_Toc375305682"/>
      <w:bookmarkStart w:id="192" w:name="_Toc375309249"/>
      <w:bookmarkStart w:id="193" w:name="_Toc375309394"/>
      <w:bookmarkStart w:id="194" w:name="_Toc386786710"/>
      <w:bookmarkStart w:id="195" w:name="_Toc398487783"/>
      <w:bookmarkStart w:id="196" w:name="_Toc398545811"/>
      <w:bookmarkStart w:id="197" w:name="_Toc417923296"/>
      <w:bookmarkStart w:id="198" w:name="_Toc419295724"/>
      <w:bookmarkStart w:id="199" w:name="_Toc419298257"/>
      <w:bookmarkStart w:id="200" w:name="_Toc419298413"/>
      <w:bookmarkStart w:id="201" w:name="_Toc419298569"/>
      <w:bookmarkStart w:id="202" w:name="_Toc419298725"/>
      <w:bookmarkStart w:id="203" w:name="_Toc419298881"/>
      <w:bookmarkStart w:id="204" w:name="_Toc423711599"/>
      <w:bookmarkStart w:id="205" w:name="_Toc424487324"/>
      <w:bookmarkStart w:id="206" w:name="_Toc426666545"/>
      <w:bookmarkStart w:id="207" w:name="_Toc471757365"/>
      <w:bookmarkStart w:id="208" w:name="_Toc471814050"/>
      <w:bookmarkStart w:id="209" w:name="_Toc471816972"/>
      <w:bookmarkStart w:id="210" w:name="_Toc471819839"/>
      <w:bookmarkStart w:id="211" w:name="_Toc473238617"/>
      <w:bookmarkStart w:id="212" w:name="_Toc476043694"/>
      <w:bookmarkStart w:id="213" w:name="_Toc476071942"/>
      <w:bookmarkStart w:id="214" w:name="_Toc497052916"/>
      <w:bookmarkStart w:id="215" w:name="_Toc497147413"/>
      <w:bookmarkStart w:id="216" w:name="_Toc497202106"/>
      <w:bookmarkStart w:id="217" w:name="_Toc497202325"/>
      <w:bookmarkStart w:id="218" w:name="_Toc497202564"/>
      <w:bookmarkStart w:id="219" w:name="_Toc497202805"/>
      <w:bookmarkStart w:id="220" w:name="_Toc471757366"/>
      <w:bookmarkStart w:id="221" w:name="_Toc471814051"/>
      <w:bookmarkStart w:id="222" w:name="_Toc471816973"/>
      <w:bookmarkStart w:id="223" w:name="_Toc471819840"/>
      <w:bookmarkStart w:id="224" w:name="_Toc473238618"/>
      <w:bookmarkStart w:id="225" w:name="_Toc476043695"/>
      <w:bookmarkStart w:id="226" w:name="_Toc476071943"/>
      <w:bookmarkStart w:id="227" w:name="_Toc497052917"/>
      <w:bookmarkStart w:id="228" w:name="_Toc497147414"/>
      <w:bookmarkStart w:id="229" w:name="_Toc497202107"/>
      <w:bookmarkStart w:id="230" w:name="_Toc497202326"/>
      <w:bookmarkStart w:id="231" w:name="_Toc497202565"/>
      <w:bookmarkStart w:id="232" w:name="_Toc497202806"/>
      <w:bookmarkStart w:id="233" w:name="_Toc519441911"/>
      <w:bookmarkStart w:id="234" w:name="_Toc519451735"/>
      <w:bookmarkStart w:id="235" w:name="_Toc526115267"/>
      <w:bookmarkStart w:id="236" w:name="_Toc526284500"/>
      <w:bookmarkStart w:id="237" w:name="_Toc535943924"/>
      <w:bookmarkStart w:id="238" w:name="_Toc535944128"/>
      <w:bookmarkStart w:id="239" w:name="_Toc536010281"/>
      <w:bookmarkStart w:id="240" w:name="_Toc536010671"/>
      <w:bookmarkStart w:id="241" w:name="_Toc2490044"/>
      <w:bookmarkStart w:id="242" w:name="_Toc12098470"/>
      <w:bookmarkStart w:id="243" w:name="_Toc12098897"/>
      <w:bookmarkStart w:id="244" w:name="_Toc12265540"/>
      <w:bookmarkStart w:id="245" w:name="_Toc12347934"/>
      <w:bookmarkStart w:id="246" w:name="_Toc12391483"/>
      <w:bookmarkStart w:id="247" w:name="_Toc12435621"/>
      <w:bookmarkStart w:id="248" w:name="_Toc12443033"/>
      <w:bookmarkStart w:id="249" w:name="_Toc12473328"/>
      <w:bookmarkStart w:id="250" w:name="_Toc12955209"/>
      <w:bookmarkStart w:id="251" w:name="_Toc13040603"/>
      <w:bookmarkStart w:id="252" w:name="_Toc13041401"/>
      <w:bookmarkStart w:id="253" w:name="_Toc13041533"/>
      <w:bookmarkStart w:id="254" w:name="_Toc13212396"/>
      <w:bookmarkStart w:id="255" w:name="_Toc18303819"/>
      <w:bookmarkStart w:id="256" w:name="_Toc18303960"/>
      <w:bookmarkStart w:id="257" w:name="_Toc18304084"/>
      <w:bookmarkStart w:id="258" w:name="_Toc18336024"/>
      <w:bookmarkStart w:id="259" w:name="_Toc18997744"/>
      <w:bookmarkStart w:id="260" w:name="_Toc19009348"/>
      <w:bookmarkStart w:id="261" w:name="_Toc19013495"/>
      <w:bookmarkStart w:id="262" w:name="_Toc19025540"/>
      <w:bookmarkStart w:id="263" w:name="_Toc19101258"/>
      <w:bookmarkStart w:id="264" w:name="_Toc19237269"/>
      <w:bookmarkStart w:id="265" w:name="_Toc19241549"/>
      <w:bookmarkStart w:id="266" w:name="_Toc19276863"/>
      <w:bookmarkStart w:id="267" w:name="_Toc19360667"/>
      <w:bookmarkStart w:id="268" w:name="_Toc19428628"/>
      <w:bookmarkStart w:id="269" w:name="_Toc519441912"/>
      <w:bookmarkStart w:id="270" w:name="_Toc519451736"/>
      <w:bookmarkStart w:id="271" w:name="_Toc526115268"/>
      <w:bookmarkStart w:id="272" w:name="_Toc526284501"/>
      <w:bookmarkStart w:id="273" w:name="_Toc535943925"/>
      <w:bookmarkStart w:id="274" w:name="_Toc535944129"/>
      <w:bookmarkStart w:id="275" w:name="_Toc536010282"/>
      <w:bookmarkStart w:id="276" w:name="_Toc536010672"/>
      <w:bookmarkStart w:id="277" w:name="_Toc2490045"/>
      <w:bookmarkStart w:id="278" w:name="_Toc12098471"/>
      <w:bookmarkStart w:id="279" w:name="_Toc12098898"/>
      <w:bookmarkStart w:id="280" w:name="_Toc12265541"/>
      <w:bookmarkStart w:id="281" w:name="_Toc12347935"/>
      <w:bookmarkStart w:id="282" w:name="_Toc12391484"/>
      <w:bookmarkStart w:id="283" w:name="_Toc12435622"/>
      <w:bookmarkStart w:id="284" w:name="_Toc12443034"/>
      <w:bookmarkStart w:id="285" w:name="_Toc12473329"/>
      <w:bookmarkStart w:id="286" w:name="_Toc12955210"/>
      <w:bookmarkStart w:id="287" w:name="_Toc13040604"/>
      <w:bookmarkStart w:id="288" w:name="_Toc13041402"/>
      <w:bookmarkStart w:id="289" w:name="_Toc13041534"/>
      <w:bookmarkStart w:id="290" w:name="_Toc13212397"/>
      <w:bookmarkStart w:id="291" w:name="_Toc18303820"/>
      <w:bookmarkStart w:id="292" w:name="_Toc18303961"/>
      <w:bookmarkStart w:id="293" w:name="_Toc18304085"/>
      <w:bookmarkStart w:id="294" w:name="_Toc18336025"/>
      <w:bookmarkStart w:id="295" w:name="_Toc18997745"/>
      <w:bookmarkStart w:id="296" w:name="_Toc19009349"/>
      <w:bookmarkStart w:id="297" w:name="_Toc19013496"/>
      <w:bookmarkStart w:id="298" w:name="_Toc19025541"/>
      <w:bookmarkStart w:id="299" w:name="_Toc19101259"/>
      <w:bookmarkStart w:id="300" w:name="_Toc19237270"/>
      <w:bookmarkStart w:id="301" w:name="_Toc19241550"/>
      <w:bookmarkStart w:id="302" w:name="_Toc19276864"/>
      <w:bookmarkStart w:id="303" w:name="_Toc19360668"/>
      <w:bookmarkStart w:id="304" w:name="_Toc19428629"/>
      <w:bookmarkStart w:id="305" w:name="_Toc519441913"/>
      <w:bookmarkStart w:id="306" w:name="_Toc519451737"/>
      <w:bookmarkStart w:id="307" w:name="_Toc526115269"/>
      <w:bookmarkStart w:id="308" w:name="_Toc526284502"/>
      <w:bookmarkStart w:id="309" w:name="_Toc535943926"/>
      <w:bookmarkStart w:id="310" w:name="_Toc535944130"/>
      <w:bookmarkStart w:id="311" w:name="_Toc536010283"/>
      <w:bookmarkStart w:id="312" w:name="_Toc536010673"/>
      <w:bookmarkStart w:id="313" w:name="_Toc2490046"/>
      <w:bookmarkStart w:id="314" w:name="_Toc12098472"/>
      <w:bookmarkStart w:id="315" w:name="_Toc12098899"/>
      <w:bookmarkStart w:id="316" w:name="_Toc12265542"/>
      <w:bookmarkStart w:id="317" w:name="_Toc12347936"/>
      <w:bookmarkStart w:id="318" w:name="_Toc12391485"/>
      <w:bookmarkStart w:id="319" w:name="_Toc12435623"/>
      <w:bookmarkStart w:id="320" w:name="_Toc12443035"/>
      <w:bookmarkStart w:id="321" w:name="_Toc12473330"/>
      <w:bookmarkStart w:id="322" w:name="_Toc12955211"/>
      <w:bookmarkStart w:id="323" w:name="_Toc13040605"/>
      <w:bookmarkStart w:id="324" w:name="_Toc13041403"/>
      <w:bookmarkStart w:id="325" w:name="_Toc13041535"/>
      <w:bookmarkStart w:id="326" w:name="_Toc13212398"/>
      <w:bookmarkStart w:id="327" w:name="_Toc18303821"/>
      <w:bookmarkStart w:id="328" w:name="_Toc18303962"/>
      <w:bookmarkStart w:id="329" w:name="_Toc18304086"/>
      <w:bookmarkStart w:id="330" w:name="_Toc18336026"/>
      <w:bookmarkStart w:id="331" w:name="_Toc18997746"/>
      <w:bookmarkStart w:id="332" w:name="_Toc19009350"/>
      <w:bookmarkStart w:id="333" w:name="_Toc19013497"/>
      <w:bookmarkStart w:id="334" w:name="_Toc19025542"/>
      <w:bookmarkStart w:id="335" w:name="_Toc19101260"/>
      <w:bookmarkStart w:id="336" w:name="_Toc19237271"/>
      <w:bookmarkStart w:id="337" w:name="_Toc19241551"/>
      <w:bookmarkStart w:id="338" w:name="_Toc19276865"/>
      <w:bookmarkStart w:id="339" w:name="_Toc19360669"/>
      <w:bookmarkStart w:id="340" w:name="_Toc19428630"/>
      <w:bookmarkStart w:id="341" w:name="_Toc519441914"/>
      <w:bookmarkStart w:id="342" w:name="_Toc519451738"/>
      <w:bookmarkStart w:id="343" w:name="_Toc526115270"/>
      <w:bookmarkStart w:id="344" w:name="_Toc526284503"/>
      <w:bookmarkStart w:id="345" w:name="_Toc535943927"/>
      <w:bookmarkStart w:id="346" w:name="_Toc535944131"/>
      <w:bookmarkStart w:id="347" w:name="_Toc536010284"/>
      <w:bookmarkStart w:id="348" w:name="_Toc536010674"/>
      <w:bookmarkStart w:id="349" w:name="_Toc2490047"/>
      <w:bookmarkStart w:id="350" w:name="_Toc12098473"/>
      <w:bookmarkStart w:id="351" w:name="_Toc12098900"/>
      <w:bookmarkStart w:id="352" w:name="_Toc12265543"/>
      <w:bookmarkStart w:id="353" w:name="_Toc12347937"/>
      <w:bookmarkStart w:id="354" w:name="_Toc12391486"/>
      <w:bookmarkStart w:id="355" w:name="_Toc12435624"/>
      <w:bookmarkStart w:id="356" w:name="_Toc12443036"/>
      <w:bookmarkStart w:id="357" w:name="_Toc12473331"/>
      <w:bookmarkStart w:id="358" w:name="_Toc12955212"/>
      <w:bookmarkStart w:id="359" w:name="_Toc13040606"/>
      <w:bookmarkStart w:id="360" w:name="_Toc13041404"/>
      <w:bookmarkStart w:id="361" w:name="_Toc13041536"/>
      <w:bookmarkStart w:id="362" w:name="_Toc13212399"/>
      <w:bookmarkStart w:id="363" w:name="_Toc18303822"/>
      <w:bookmarkStart w:id="364" w:name="_Toc18303963"/>
      <w:bookmarkStart w:id="365" w:name="_Toc18304087"/>
      <w:bookmarkStart w:id="366" w:name="_Toc18336027"/>
      <w:bookmarkStart w:id="367" w:name="_Toc18997747"/>
      <w:bookmarkStart w:id="368" w:name="_Toc19009351"/>
      <w:bookmarkStart w:id="369" w:name="_Toc19013498"/>
      <w:bookmarkStart w:id="370" w:name="_Toc19025543"/>
      <w:bookmarkStart w:id="371" w:name="_Toc19101261"/>
      <w:bookmarkStart w:id="372" w:name="_Toc19237272"/>
      <w:bookmarkStart w:id="373" w:name="_Toc19241552"/>
      <w:bookmarkStart w:id="374" w:name="_Toc19276866"/>
      <w:bookmarkStart w:id="375" w:name="_Toc19360670"/>
      <w:bookmarkStart w:id="376" w:name="_Toc19428631"/>
      <w:bookmarkStart w:id="377" w:name="_Toc519441915"/>
      <w:bookmarkStart w:id="378" w:name="_Toc519451739"/>
      <w:bookmarkStart w:id="379" w:name="_Toc526115271"/>
      <w:bookmarkStart w:id="380" w:name="_Toc526284504"/>
      <w:bookmarkStart w:id="381" w:name="_Toc535943928"/>
      <w:bookmarkStart w:id="382" w:name="_Toc535944132"/>
      <w:bookmarkStart w:id="383" w:name="_Toc536010285"/>
      <w:bookmarkStart w:id="384" w:name="_Toc536010675"/>
      <w:bookmarkStart w:id="385" w:name="_Toc2490048"/>
      <w:bookmarkStart w:id="386" w:name="_Toc12098474"/>
      <w:bookmarkStart w:id="387" w:name="_Toc12098901"/>
      <w:bookmarkStart w:id="388" w:name="_Toc12265544"/>
      <w:bookmarkStart w:id="389" w:name="_Toc12347938"/>
      <w:bookmarkStart w:id="390" w:name="_Toc12391487"/>
      <w:bookmarkStart w:id="391" w:name="_Toc12435625"/>
      <w:bookmarkStart w:id="392" w:name="_Toc12443037"/>
      <w:bookmarkStart w:id="393" w:name="_Toc12473332"/>
      <w:bookmarkStart w:id="394" w:name="_Toc12955213"/>
      <w:bookmarkStart w:id="395" w:name="_Toc13040607"/>
      <w:bookmarkStart w:id="396" w:name="_Toc13041405"/>
      <w:bookmarkStart w:id="397" w:name="_Toc13041537"/>
      <w:bookmarkStart w:id="398" w:name="_Toc13212400"/>
      <w:bookmarkStart w:id="399" w:name="_Toc18303823"/>
      <w:bookmarkStart w:id="400" w:name="_Toc18303964"/>
      <w:bookmarkStart w:id="401" w:name="_Toc18304088"/>
      <w:bookmarkStart w:id="402" w:name="_Toc18336028"/>
      <w:bookmarkStart w:id="403" w:name="_Toc18997748"/>
      <w:bookmarkStart w:id="404" w:name="_Toc19009352"/>
      <w:bookmarkStart w:id="405" w:name="_Toc19013499"/>
      <w:bookmarkStart w:id="406" w:name="_Toc19025544"/>
      <w:bookmarkStart w:id="407" w:name="_Toc19101262"/>
      <w:bookmarkStart w:id="408" w:name="_Toc19237273"/>
      <w:bookmarkStart w:id="409" w:name="_Toc19241553"/>
      <w:bookmarkStart w:id="410" w:name="_Toc19276867"/>
      <w:bookmarkStart w:id="411" w:name="_Toc19360671"/>
      <w:bookmarkStart w:id="412" w:name="_Toc19428632"/>
      <w:bookmarkStart w:id="413" w:name="_Toc519441916"/>
      <w:bookmarkStart w:id="414" w:name="_Toc519451740"/>
      <w:bookmarkStart w:id="415" w:name="_Toc526115272"/>
      <w:bookmarkStart w:id="416" w:name="_Toc526284505"/>
      <w:bookmarkStart w:id="417" w:name="_Toc535943929"/>
      <w:bookmarkStart w:id="418" w:name="_Toc535944133"/>
      <w:bookmarkStart w:id="419" w:name="_Toc536010286"/>
      <w:bookmarkStart w:id="420" w:name="_Toc536010676"/>
      <w:bookmarkStart w:id="421" w:name="_Toc2490049"/>
      <w:bookmarkStart w:id="422" w:name="_Toc12098475"/>
      <w:bookmarkStart w:id="423" w:name="_Toc12098902"/>
      <w:bookmarkStart w:id="424" w:name="_Toc12265545"/>
      <w:bookmarkStart w:id="425" w:name="_Toc12347939"/>
      <w:bookmarkStart w:id="426" w:name="_Toc12391488"/>
      <w:bookmarkStart w:id="427" w:name="_Toc12435626"/>
      <w:bookmarkStart w:id="428" w:name="_Toc12443038"/>
      <w:bookmarkStart w:id="429" w:name="_Toc12473333"/>
      <w:bookmarkStart w:id="430" w:name="_Toc12955214"/>
      <w:bookmarkStart w:id="431" w:name="_Toc13040608"/>
      <w:bookmarkStart w:id="432" w:name="_Toc13041406"/>
      <w:bookmarkStart w:id="433" w:name="_Toc13041538"/>
      <w:bookmarkStart w:id="434" w:name="_Toc13212401"/>
      <w:bookmarkStart w:id="435" w:name="_Toc18303824"/>
      <w:bookmarkStart w:id="436" w:name="_Toc18303965"/>
      <w:bookmarkStart w:id="437" w:name="_Toc18304089"/>
      <w:bookmarkStart w:id="438" w:name="_Toc18336029"/>
      <w:bookmarkStart w:id="439" w:name="_Toc18997749"/>
      <w:bookmarkStart w:id="440" w:name="_Toc19009353"/>
      <w:bookmarkStart w:id="441" w:name="_Toc19013500"/>
      <w:bookmarkStart w:id="442" w:name="_Toc19025545"/>
      <w:bookmarkStart w:id="443" w:name="_Toc19101263"/>
      <w:bookmarkStart w:id="444" w:name="_Toc19237274"/>
      <w:bookmarkStart w:id="445" w:name="_Toc19241554"/>
      <w:bookmarkStart w:id="446" w:name="_Toc19276868"/>
      <w:bookmarkStart w:id="447" w:name="_Toc19360672"/>
      <w:bookmarkStart w:id="448" w:name="_Toc19428633"/>
      <w:bookmarkStart w:id="449" w:name="_Toc519441917"/>
      <w:bookmarkStart w:id="450" w:name="_Toc519451741"/>
      <w:bookmarkStart w:id="451" w:name="_Toc526115273"/>
      <w:bookmarkStart w:id="452" w:name="_Toc526284506"/>
      <w:bookmarkStart w:id="453" w:name="_Toc535943930"/>
      <w:bookmarkStart w:id="454" w:name="_Toc535944134"/>
      <w:bookmarkStart w:id="455" w:name="_Toc536010287"/>
      <w:bookmarkStart w:id="456" w:name="_Toc536010677"/>
      <w:bookmarkStart w:id="457" w:name="_Toc2490050"/>
      <w:bookmarkStart w:id="458" w:name="_Toc12098476"/>
      <w:bookmarkStart w:id="459" w:name="_Toc12098903"/>
      <w:bookmarkStart w:id="460" w:name="_Toc12265546"/>
      <w:bookmarkStart w:id="461" w:name="_Toc12347940"/>
      <w:bookmarkStart w:id="462" w:name="_Toc12391489"/>
      <w:bookmarkStart w:id="463" w:name="_Toc12435627"/>
      <w:bookmarkStart w:id="464" w:name="_Toc12443039"/>
      <w:bookmarkStart w:id="465" w:name="_Toc12473334"/>
      <w:bookmarkStart w:id="466" w:name="_Toc12955215"/>
      <w:bookmarkStart w:id="467" w:name="_Toc13040609"/>
      <w:bookmarkStart w:id="468" w:name="_Toc13041407"/>
      <w:bookmarkStart w:id="469" w:name="_Toc13041539"/>
      <w:bookmarkStart w:id="470" w:name="_Toc13212402"/>
      <w:bookmarkStart w:id="471" w:name="_Toc18303825"/>
      <w:bookmarkStart w:id="472" w:name="_Toc18303966"/>
      <w:bookmarkStart w:id="473" w:name="_Toc18304090"/>
      <w:bookmarkStart w:id="474" w:name="_Toc18336030"/>
      <w:bookmarkStart w:id="475" w:name="_Toc18997750"/>
      <w:bookmarkStart w:id="476" w:name="_Toc19009354"/>
      <w:bookmarkStart w:id="477" w:name="_Toc19013501"/>
      <w:bookmarkStart w:id="478" w:name="_Toc19025546"/>
      <w:bookmarkStart w:id="479" w:name="_Toc19101264"/>
      <w:bookmarkStart w:id="480" w:name="_Toc19237275"/>
      <w:bookmarkStart w:id="481" w:name="_Toc19241555"/>
      <w:bookmarkStart w:id="482" w:name="_Toc19276869"/>
      <w:bookmarkStart w:id="483" w:name="_Toc19360673"/>
      <w:bookmarkStart w:id="484" w:name="_Toc19428634"/>
      <w:bookmarkStart w:id="485" w:name="_Toc70002925"/>
      <w:bookmarkStart w:id="486" w:name="_Toc130714080"/>
      <w:bookmarkStart w:id="487" w:name="_Toc142377767"/>
      <w:bookmarkStart w:id="488" w:name="_Toc144654069"/>
      <w:bookmarkEnd w:id="163"/>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E01239">
        <w:rPr>
          <w:rFonts w:asciiTheme="minorHAnsi" w:hAnsiTheme="minorHAnsi" w:cstheme="minorHAnsi"/>
          <w:bCs w:val="0"/>
          <w:color w:val="auto"/>
          <w:lang w:eastAsia="x-none"/>
        </w:rPr>
        <w:lastRenderedPageBreak/>
        <w:t xml:space="preserve">DONNEES </w:t>
      </w:r>
      <w:r w:rsidR="006C5B68" w:rsidRPr="00E01239">
        <w:rPr>
          <w:rFonts w:asciiTheme="minorHAnsi" w:hAnsiTheme="minorHAnsi" w:cstheme="minorHAnsi"/>
          <w:bCs w:val="0"/>
          <w:color w:val="auto"/>
          <w:lang w:eastAsia="x-none"/>
        </w:rPr>
        <w:t>ENVIRONNEMENTALE</w:t>
      </w:r>
      <w:r w:rsidRPr="00E01239">
        <w:rPr>
          <w:rFonts w:asciiTheme="minorHAnsi" w:hAnsiTheme="minorHAnsi" w:cstheme="minorHAnsi"/>
          <w:bCs w:val="0"/>
          <w:color w:val="auto"/>
          <w:lang w:eastAsia="x-none"/>
        </w:rPr>
        <w:t>S</w:t>
      </w:r>
      <w:r w:rsidR="006C5B68" w:rsidRPr="00E01239">
        <w:rPr>
          <w:rFonts w:asciiTheme="minorHAnsi" w:hAnsiTheme="minorHAnsi" w:cstheme="minorHAnsi"/>
          <w:bCs w:val="0"/>
          <w:color w:val="auto"/>
          <w:lang w:eastAsia="x-none"/>
        </w:rPr>
        <w:t xml:space="preserve"> ET SOCIALE</w:t>
      </w:r>
      <w:r w:rsidRPr="00E01239">
        <w:rPr>
          <w:rFonts w:asciiTheme="minorHAnsi" w:hAnsiTheme="minorHAnsi" w:cstheme="minorHAnsi"/>
          <w:bCs w:val="0"/>
          <w:color w:val="auto"/>
          <w:lang w:eastAsia="x-none"/>
        </w:rPr>
        <w:t>S</w:t>
      </w:r>
      <w:bookmarkEnd w:id="96"/>
      <w:bookmarkEnd w:id="485"/>
      <w:bookmarkEnd w:id="486"/>
      <w:bookmarkEnd w:id="487"/>
      <w:bookmarkEnd w:id="488"/>
    </w:p>
    <w:p w14:paraId="218D3713" w14:textId="4CEFE5D1"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 projet intervient dans l’ensemble des zones éco</w:t>
      </w:r>
      <w:r w:rsidR="00894262" w:rsidRPr="00E01239">
        <w:rPr>
          <w:rFonts w:asciiTheme="minorHAnsi" w:hAnsiTheme="minorHAnsi" w:cstheme="minorHAnsi"/>
          <w:sz w:val="22"/>
          <w:szCs w:val="22"/>
        </w:rPr>
        <w:t>-</w:t>
      </w:r>
      <w:r w:rsidRPr="00E01239">
        <w:rPr>
          <w:rFonts w:asciiTheme="minorHAnsi" w:hAnsiTheme="minorHAnsi" w:cstheme="minorHAnsi"/>
          <w:sz w:val="22"/>
          <w:szCs w:val="22"/>
        </w:rPr>
        <w:t xml:space="preserve">géographiques du Sénégal, nonobstant la région administrative de Kédougou pas concernée par le FRSP-SN. </w:t>
      </w:r>
      <w:r w:rsidR="00CB3082" w:rsidRPr="00E01239">
        <w:rPr>
          <w:rFonts w:asciiTheme="minorHAnsi" w:hAnsiTheme="minorHAnsi" w:cstheme="minorHAnsi"/>
          <w:sz w:val="22"/>
          <w:szCs w:val="22"/>
        </w:rPr>
        <w:t>Dans le présent chapitre,</w:t>
      </w:r>
      <w:r w:rsidRPr="00E01239">
        <w:rPr>
          <w:rFonts w:asciiTheme="minorHAnsi" w:hAnsiTheme="minorHAnsi" w:cstheme="minorHAnsi"/>
          <w:sz w:val="22"/>
          <w:szCs w:val="22"/>
        </w:rPr>
        <w:t xml:space="preserve"> nous présenterons les spécificité</w:t>
      </w:r>
      <w:r w:rsidR="00CB3082" w:rsidRPr="00E01239">
        <w:rPr>
          <w:rFonts w:asciiTheme="minorHAnsi" w:hAnsiTheme="minorHAnsi" w:cstheme="minorHAnsi"/>
          <w:sz w:val="22"/>
          <w:szCs w:val="22"/>
        </w:rPr>
        <w:t>s</w:t>
      </w:r>
      <w:r w:rsidRPr="00E01239">
        <w:rPr>
          <w:rFonts w:asciiTheme="minorHAnsi" w:hAnsiTheme="minorHAnsi" w:cstheme="minorHAnsi"/>
          <w:sz w:val="22"/>
          <w:szCs w:val="22"/>
        </w:rPr>
        <w:t xml:space="preserve"> physiques et humaines des différentes zones éco</w:t>
      </w:r>
      <w:r w:rsidR="00894262" w:rsidRPr="00E01239">
        <w:rPr>
          <w:rFonts w:asciiTheme="minorHAnsi" w:hAnsiTheme="minorHAnsi" w:cstheme="minorHAnsi"/>
          <w:sz w:val="22"/>
          <w:szCs w:val="22"/>
        </w:rPr>
        <w:t>-géographiques</w:t>
      </w:r>
      <w:r w:rsidRPr="00E01239">
        <w:rPr>
          <w:rFonts w:asciiTheme="minorHAnsi" w:hAnsiTheme="minorHAnsi" w:cstheme="minorHAnsi"/>
          <w:sz w:val="22"/>
          <w:szCs w:val="22"/>
        </w:rPr>
        <w:t xml:space="preserve"> </w:t>
      </w:r>
      <w:r w:rsidR="00CB3082" w:rsidRPr="00E01239">
        <w:rPr>
          <w:rFonts w:asciiTheme="minorHAnsi" w:hAnsiTheme="minorHAnsi" w:cstheme="minorHAnsi"/>
          <w:sz w:val="22"/>
          <w:szCs w:val="22"/>
        </w:rPr>
        <w:t xml:space="preserve">couvertes par le FSRP-SN </w:t>
      </w:r>
      <w:r w:rsidRPr="00E01239">
        <w:rPr>
          <w:rFonts w:asciiTheme="minorHAnsi" w:hAnsiTheme="minorHAnsi" w:cstheme="minorHAnsi"/>
          <w:sz w:val="22"/>
          <w:szCs w:val="22"/>
        </w:rPr>
        <w:t>ainsi que les principaux enjeux environnementaux et sociaux qui y sont observables</w:t>
      </w:r>
      <w:r w:rsidR="00CB3082" w:rsidRPr="00E01239">
        <w:rPr>
          <w:rFonts w:asciiTheme="minorHAnsi" w:hAnsiTheme="minorHAnsi" w:cstheme="minorHAnsi"/>
          <w:sz w:val="22"/>
          <w:szCs w:val="22"/>
        </w:rPr>
        <w:t xml:space="preserve"> et qui sont pertinents à adresser dans le cadre du projet.</w:t>
      </w:r>
    </w:p>
    <w:p w14:paraId="41868E46" w14:textId="77777777" w:rsidR="008E4D64" w:rsidRPr="00E01239" w:rsidRDefault="008E4D64" w:rsidP="008E4D64">
      <w:pPr>
        <w:spacing w:before="120" w:line="276" w:lineRule="auto"/>
        <w:jc w:val="both"/>
        <w:rPr>
          <w:rFonts w:asciiTheme="minorHAnsi" w:hAnsiTheme="minorHAnsi" w:cstheme="minorHAnsi"/>
          <w:sz w:val="22"/>
          <w:szCs w:val="22"/>
        </w:rPr>
      </w:pPr>
    </w:p>
    <w:p w14:paraId="620CDA03" w14:textId="09E84B84" w:rsidR="008E4D64" w:rsidRPr="00E01239" w:rsidRDefault="008E4D64" w:rsidP="00CB3082">
      <w:pPr>
        <w:pStyle w:val="Lgende"/>
        <w:jc w:val="center"/>
        <w:rPr>
          <w:rFonts w:asciiTheme="minorHAnsi" w:hAnsiTheme="minorHAnsi" w:cstheme="minorHAnsi"/>
          <w:b w:val="0"/>
          <w:bCs w:val="0"/>
          <w:sz w:val="22"/>
        </w:rPr>
      </w:pPr>
      <w:bookmarkStart w:id="489" w:name="_Toc84844628"/>
      <w:bookmarkStart w:id="490" w:name="_Toc142854042"/>
      <w:r w:rsidRPr="00E01239">
        <w:rPr>
          <w:rFonts w:asciiTheme="minorHAnsi" w:hAnsiTheme="minorHAnsi" w:cstheme="minorHAnsi"/>
          <w:sz w:val="22"/>
        </w:rPr>
        <w:t xml:space="preserve">Figure </w:t>
      </w:r>
      <w:r w:rsidRPr="00E01239">
        <w:rPr>
          <w:rFonts w:asciiTheme="minorHAnsi" w:hAnsiTheme="minorHAnsi" w:cstheme="minorHAnsi"/>
          <w:sz w:val="22"/>
        </w:rPr>
        <w:fldChar w:fldCharType="begin"/>
      </w:r>
      <w:r w:rsidRPr="00E01239">
        <w:rPr>
          <w:rFonts w:asciiTheme="minorHAnsi" w:hAnsiTheme="minorHAnsi" w:cstheme="minorHAnsi"/>
          <w:sz w:val="22"/>
        </w:rPr>
        <w:instrText xml:space="preserve"> SEQ Figure \* ARABIC </w:instrText>
      </w:r>
      <w:r w:rsidRPr="00E01239">
        <w:rPr>
          <w:rFonts w:asciiTheme="minorHAnsi" w:hAnsiTheme="minorHAnsi" w:cstheme="minorHAnsi"/>
          <w:sz w:val="22"/>
        </w:rPr>
        <w:fldChar w:fldCharType="separate"/>
      </w:r>
      <w:r w:rsidR="00202CE9" w:rsidRPr="00E01239">
        <w:rPr>
          <w:rFonts w:asciiTheme="minorHAnsi" w:hAnsiTheme="minorHAnsi" w:cstheme="minorHAnsi"/>
          <w:noProof/>
          <w:sz w:val="22"/>
        </w:rPr>
        <w:t>2</w:t>
      </w:r>
      <w:r w:rsidRPr="00E01239">
        <w:rPr>
          <w:rFonts w:asciiTheme="minorHAnsi" w:hAnsiTheme="minorHAnsi" w:cstheme="minorHAnsi"/>
          <w:sz w:val="22"/>
        </w:rPr>
        <w:fldChar w:fldCharType="end"/>
      </w:r>
      <w:r w:rsidRPr="00E01239">
        <w:rPr>
          <w:rFonts w:asciiTheme="minorHAnsi" w:hAnsiTheme="minorHAnsi" w:cstheme="minorHAnsi"/>
          <w:sz w:val="22"/>
        </w:rPr>
        <w:t> :</w:t>
      </w:r>
      <w:r w:rsidRPr="00E01239">
        <w:rPr>
          <w:rFonts w:asciiTheme="minorHAnsi" w:hAnsiTheme="minorHAnsi" w:cstheme="minorHAnsi"/>
          <w:b w:val="0"/>
          <w:bCs w:val="0"/>
          <w:sz w:val="22"/>
        </w:rPr>
        <w:t xml:space="preserve"> Zones éco</w:t>
      </w:r>
      <w:r w:rsidR="00894262" w:rsidRPr="00E01239">
        <w:rPr>
          <w:rFonts w:asciiTheme="minorHAnsi" w:hAnsiTheme="minorHAnsi" w:cstheme="minorHAnsi"/>
          <w:b w:val="0"/>
          <w:bCs w:val="0"/>
          <w:sz w:val="22"/>
        </w:rPr>
        <w:t>-</w:t>
      </w:r>
      <w:r w:rsidRPr="00E01239">
        <w:rPr>
          <w:rFonts w:asciiTheme="minorHAnsi" w:hAnsiTheme="minorHAnsi" w:cstheme="minorHAnsi"/>
          <w:b w:val="0"/>
          <w:bCs w:val="0"/>
          <w:sz w:val="22"/>
        </w:rPr>
        <w:t>géographiques d’intervention du projet</w:t>
      </w:r>
      <w:bookmarkEnd w:id="489"/>
      <w:bookmarkEnd w:id="490"/>
    </w:p>
    <w:p w14:paraId="221482FA" w14:textId="77777777" w:rsidR="008E4D64" w:rsidRPr="00E01239" w:rsidRDefault="008E4D64" w:rsidP="00A312BF">
      <w:pPr>
        <w:rPr>
          <w:rFonts w:asciiTheme="minorHAnsi" w:hAnsiTheme="minorHAnsi" w:cstheme="minorHAnsi"/>
          <w:lang w:eastAsia="x-none"/>
        </w:rPr>
      </w:pPr>
      <w:r w:rsidRPr="00E01239">
        <w:rPr>
          <w:rFonts w:asciiTheme="minorHAnsi" w:hAnsiTheme="minorHAnsi" w:cstheme="minorHAnsi"/>
          <w:noProof/>
          <w:sz w:val="22"/>
          <w:szCs w:val="22"/>
          <w14:ligatures w14:val="standardContextual"/>
        </w:rPr>
        <w:drawing>
          <wp:inline distT="0" distB="0" distL="0" distR="0" wp14:anchorId="2F9D74D0" wp14:editId="46972C53">
            <wp:extent cx="5760085" cy="4073076"/>
            <wp:effectExtent l="0" t="0" r="0" b="3810"/>
            <wp:docPr id="1212588344" name="Picture 1212588344"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88344" name="Image 1" descr="Une image contenant texte, carte, atlas, diagramm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4073076"/>
                    </a:xfrm>
                    <a:prstGeom prst="rect">
                      <a:avLst/>
                    </a:prstGeom>
                  </pic:spPr>
                </pic:pic>
              </a:graphicData>
            </a:graphic>
          </wp:inline>
        </w:drawing>
      </w:r>
    </w:p>
    <w:p w14:paraId="07F17B27" w14:textId="77777777" w:rsidR="008E4D64" w:rsidRPr="00E01239" w:rsidRDefault="008E4D64" w:rsidP="008E4D64">
      <w:pPr>
        <w:rPr>
          <w:rFonts w:asciiTheme="minorHAnsi" w:hAnsiTheme="minorHAnsi" w:cstheme="minorHAnsi"/>
          <w:lang w:eastAsia="x-none"/>
        </w:rPr>
      </w:pPr>
    </w:p>
    <w:p w14:paraId="560E41D6" w14:textId="77777777" w:rsidR="008E4D64" w:rsidRPr="00E01239" w:rsidRDefault="008E4D64" w:rsidP="00027669">
      <w:pPr>
        <w:pStyle w:val="Titre2"/>
        <w:numPr>
          <w:ilvl w:val="1"/>
          <w:numId w:val="171"/>
        </w:numPr>
        <w:tabs>
          <w:tab w:val="num" w:pos="360"/>
        </w:tabs>
        <w:ind w:left="644" w:hanging="360"/>
        <w:rPr>
          <w:rFonts w:asciiTheme="minorHAnsi" w:hAnsiTheme="minorHAnsi" w:cstheme="minorHAnsi"/>
          <w:color w:val="auto"/>
        </w:rPr>
      </w:pPr>
      <w:bookmarkStart w:id="491" w:name="_Toc84845152"/>
      <w:bookmarkStart w:id="492" w:name="_Toc144654070"/>
      <w:r w:rsidRPr="00E01239">
        <w:rPr>
          <w:rFonts w:asciiTheme="minorHAnsi" w:hAnsiTheme="minorHAnsi" w:cstheme="minorHAnsi"/>
          <w:color w:val="auto"/>
        </w:rPr>
        <w:t>DESCRIPTIF BIOPHYSIQUE DE LA ZONE DES NIAYES</w:t>
      </w:r>
      <w:bookmarkEnd w:id="491"/>
      <w:bookmarkEnd w:id="492"/>
    </w:p>
    <w:p w14:paraId="7C009132" w14:textId="52C2BD11" w:rsidR="008E4D64" w:rsidRPr="00E01239" w:rsidRDefault="008E4D64" w:rsidP="00B7342E">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zone des Niayes, couvrant les régions administratives de Dakar, Thiès, Louga et Saint-Louis, s’étend de Dakar à Saint-Louis sur une longueur de 180 km avec une largeur variant de 5 à 30 km (</w:t>
      </w:r>
      <w:proofErr w:type="spellStart"/>
      <w:r w:rsidRPr="00E01239">
        <w:rPr>
          <w:rFonts w:asciiTheme="minorHAnsi" w:hAnsiTheme="minorHAnsi" w:cstheme="minorHAnsi"/>
          <w:sz w:val="22"/>
          <w:szCs w:val="22"/>
        </w:rPr>
        <w:t>Fall</w:t>
      </w:r>
      <w:proofErr w:type="spellEnd"/>
      <w:r w:rsidRPr="00E01239">
        <w:rPr>
          <w:rFonts w:asciiTheme="minorHAnsi" w:hAnsiTheme="minorHAnsi" w:cstheme="minorHAnsi"/>
          <w:sz w:val="22"/>
          <w:szCs w:val="22"/>
        </w:rPr>
        <w:t xml:space="preserve"> et al., 2001). Elle est caractérisée par un écosystème marqué par des dépressions et des dunes reposant sur une nappe peu profonde d’où l’attrait des populations grâce aux opportunités socioéconomiques (maraichage, élevage, arboriculture, aviculture, pêche). Avec les changements globaux, la végétation se dégrade, les ressources en eaux de surface diminuent, les eaux souterraines se salinisent et les dunes littorales menacent les cuvettes maraîchères, surtout avec les grandes pertes dans la bande de filao.</w:t>
      </w:r>
    </w:p>
    <w:p w14:paraId="13DC0521" w14:textId="03FE3F21" w:rsidR="00CB3082" w:rsidRPr="00E01239" w:rsidRDefault="00CB3082">
      <w:pPr>
        <w:rPr>
          <w:rFonts w:asciiTheme="minorHAnsi" w:hAnsiTheme="minorHAnsi" w:cstheme="minorHAnsi"/>
          <w:sz w:val="22"/>
          <w:szCs w:val="22"/>
        </w:rPr>
      </w:pPr>
      <w:r w:rsidRPr="00E01239">
        <w:rPr>
          <w:rFonts w:asciiTheme="minorHAnsi" w:hAnsiTheme="minorHAnsi" w:cstheme="minorBidi"/>
          <w:sz w:val="22"/>
          <w:szCs w:val="22"/>
        </w:rPr>
        <w:br w:type="page"/>
      </w:r>
    </w:p>
    <w:p w14:paraId="36FE35B3" w14:textId="77777777" w:rsidR="008E4D64" w:rsidRPr="00C513DB" w:rsidRDefault="008E4D64" w:rsidP="00522938">
      <w:pPr>
        <w:pStyle w:val="Normaltableau0"/>
      </w:pPr>
      <w:bookmarkStart w:id="493" w:name="_Toc142847691"/>
      <w:bookmarkStart w:id="494" w:name="_Toc142853893"/>
      <w:bookmarkStart w:id="495" w:name="_Toc144654072"/>
      <w:bookmarkStart w:id="496" w:name="_Toc84845153"/>
      <w:bookmarkStart w:id="497" w:name="_Hlk84044108"/>
      <w:bookmarkEnd w:id="493"/>
      <w:bookmarkEnd w:id="494"/>
      <w:bookmarkEnd w:id="495"/>
    </w:p>
    <w:p w14:paraId="515EECAB" w14:textId="77777777" w:rsidR="008E4D64" w:rsidRPr="00E01239" w:rsidRDefault="008E4D64" w:rsidP="00522938">
      <w:pPr>
        <w:pStyle w:val="Normaltableau0"/>
      </w:pPr>
      <w:bookmarkStart w:id="498" w:name="_Toc142847692"/>
      <w:bookmarkStart w:id="499" w:name="_Toc142853894"/>
      <w:bookmarkStart w:id="500" w:name="_Toc144654073"/>
      <w:bookmarkEnd w:id="498"/>
      <w:bookmarkEnd w:id="499"/>
      <w:bookmarkEnd w:id="500"/>
    </w:p>
    <w:p w14:paraId="41AA3164" w14:textId="77777777" w:rsidR="008E4D64" w:rsidRPr="00E01239" w:rsidRDefault="008E4D64" w:rsidP="00522938">
      <w:pPr>
        <w:pStyle w:val="Titre3"/>
        <w:ind w:left="1418"/>
        <w:rPr>
          <w:rFonts w:asciiTheme="minorHAnsi" w:hAnsiTheme="minorHAnsi" w:cstheme="minorHAnsi"/>
        </w:rPr>
      </w:pPr>
      <w:bookmarkStart w:id="501" w:name="_Toc144654074"/>
      <w:r w:rsidRPr="00E01239">
        <w:rPr>
          <w:rFonts w:asciiTheme="minorHAnsi" w:hAnsiTheme="minorHAnsi" w:cstheme="minorHAnsi"/>
        </w:rPr>
        <w:t>Environnement physique</w:t>
      </w:r>
      <w:bookmarkEnd w:id="496"/>
      <w:bookmarkEnd w:id="501"/>
      <w:r w:rsidRPr="00E01239">
        <w:rPr>
          <w:rFonts w:asciiTheme="minorHAnsi" w:hAnsiTheme="minorHAnsi" w:cstheme="minorHAnsi"/>
        </w:rPr>
        <w:t xml:space="preserve"> </w:t>
      </w:r>
    </w:p>
    <w:p w14:paraId="58124DB1" w14:textId="77777777" w:rsidR="008E4D64" w:rsidRPr="00E01239" w:rsidRDefault="008E4D64" w:rsidP="00202CE9">
      <w:pPr>
        <w:spacing w:before="120" w:line="280" w:lineRule="exact"/>
        <w:jc w:val="both"/>
        <w:rPr>
          <w:rFonts w:asciiTheme="minorHAnsi" w:hAnsiTheme="minorHAnsi" w:cstheme="minorHAnsi"/>
          <w:sz w:val="22"/>
          <w:szCs w:val="22"/>
          <w:u w:val="single"/>
        </w:rPr>
      </w:pPr>
      <w:bookmarkStart w:id="502" w:name="_Toc84845154"/>
      <w:bookmarkStart w:id="503" w:name="_Hlk84042619"/>
      <w:bookmarkEnd w:id="497"/>
      <w:r w:rsidRPr="00E01239">
        <w:rPr>
          <w:rFonts w:asciiTheme="minorHAnsi" w:hAnsiTheme="minorHAnsi" w:cstheme="minorHAnsi"/>
          <w:sz w:val="22"/>
          <w:szCs w:val="22"/>
          <w:u w:val="single"/>
        </w:rPr>
        <w:t>Climatologie</w:t>
      </w:r>
      <w:bookmarkEnd w:id="502"/>
      <w:r w:rsidRPr="00E01239">
        <w:rPr>
          <w:rFonts w:asciiTheme="minorHAnsi" w:hAnsiTheme="minorHAnsi" w:cstheme="minorHAnsi"/>
          <w:sz w:val="22"/>
          <w:szCs w:val="22"/>
          <w:u w:val="single"/>
        </w:rPr>
        <w:t xml:space="preserve"> </w:t>
      </w:r>
    </w:p>
    <w:p w14:paraId="6D6D0506" w14:textId="27496BBD" w:rsidR="008E4D64" w:rsidRPr="00E01239" w:rsidRDefault="008E4D64" w:rsidP="00B7342E">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Sa situation en bordure de l’océan lui confère un climat dominé par les alizés maritimes, qui diminuent la température et l’humidité sauf en cas d’intrusion de </w:t>
      </w:r>
      <w:proofErr w:type="spellStart"/>
      <w:r w:rsidRPr="00E01239">
        <w:rPr>
          <w:rFonts w:asciiTheme="minorHAnsi" w:hAnsiTheme="minorHAnsi" w:cstheme="minorHAnsi"/>
          <w:sz w:val="22"/>
          <w:szCs w:val="22"/>
        </w:rPr>
        <w:t>l’harmattan</w:t>
      </w:r>
      <w:proofErr w:type="spellEnd"/>
      <w:r w:rsidRPr="00E01239">
        <w:rPr>
          <w:rFonts w:asciiTheme="minorHAnsi" w:hAnsiTheme="minorHAnsi" w:cstheme="minorHAnsi"/>
          <w:sz w:val="22"/>
          <w:szCs w:val="22"/>
        </w:rPr>
        <w:t>.  Le climat, de type sahélien, est marqué par une longue saison sèche d’octobre à juin, et une courte saison pluvieuse de trois mois avec des moyennes entre 300 et 500 mm/an. Les températures moyennes annuelles se situent entre 23,7°C et 25°C et l’humidité relative de l’air atteint des taux de 90 % à proximité de la côte, avec des minima supérieurs à 15 % dans les parties intérieures des Niayes.</w:t>
      </w:r>
    </w:p>
    <w:p w14:paraId="0A66A075" w14:textId="77777777" w:rsidR="008E4D64" w:rsidRPr="00E01239" w:rsidRDefault="008E4D64" w:rsidP="00202CE9">
      <w:pPr>
        <w:spacing w:before="120" w:line="280" w:lineRule="exact"/>
        <w:jc w:val="both"/>
        <w:rPr>
          <w:rFonts w:asciiTheme="minorHAnsi" w:hAnsiTheme="minorHAnsi" w:cstheme="minorHAnsi"/>
          <w:sz w:val="22"/>
          <w:szCs w:val="22"/>
          <w:u w:val="single"/>
        </w:rPr>
      </w:pPr>
      <w:bookmarkStart w:id="504" w:name="_Toc84845155"/>
      <w:r w:rsidRPr="00E01239">
        <w:rPr>
          <w:rFonts w:asciiTheme="minorHAnsi" w:hAnsiTheme="minorHAnsi" w:cstheme="minorHAnsi"/>
          <w:sz w:val="22"/>
          <w:szCs w:val="22"/>
          <w:u w:val="single"/>
        </w:rPr>
        <w:t>Géologie et relief de la zone</w:t>
      </w:r>
      <w:bookmarkEnd w:id="504"/>
      <w:r w:rsidRPr="00E01239">
        <w:rPr>
          <w:rFonts w:asciiTheme="minorHAnsi" w:hAnsiTheme="minorHAnsi" w:cstheme="minorHAnsi"/>
          <w:sz w:val="22"/>
          <w:szCs w:val="22"/>
          <w:u w:val="single"/>
        </w:rPr>
        <w:t xml:space="preserve"> </w:t>
      </w:r>
    </w:p>
    <w:p w14:paraId="564354FF" w14:textId="5EDA39A0"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rPr>
        <w:t xml:space="preserve">La zone des Niayes est caractérisée par des formations sédimentaires du Quaternaire qui reposent sur des formations plus anciennes qui caractérisent son relief avec la prédominance de trois systèmes dunaires : </w:t>
      </w:r>
      <w:r w:rsidRPr="00E01239">
        <w:rPr>
          <w:rFonts w:asciiTheme="minorHAnsi" w:hAnsiTheme="minorHAnsi" w:cstheme="minorHAnsi"/>
          <w:sz w:val="22"/>
          <w:szCs w:val="22"/>
          <w:lang w:eastAsia="en-US"/>
        </w:rPr>
        <w:t>les dunes littorales, appelées également dunes blanches ou dunes vives à cause de leur mobilité ; les dunes jaunes ou dunes semi-fixées à l’arrière-plan des dunes vives et interrompues par endroits par des lacs (</w:t>
      </w:r>
      <w:proofErr w:type="spellStart"/>
      <w:r w:rsidRPr="00E01239">
        <w:rPr>
          <w:rFonts w:asciiTheme="minorHAnsi" w:hAnsiTheme="minorHAnsi" w:cstheme="minorHAnsi"/>
          <w:sz w:val="22"/>
          <w:szCs w:val="22"/>
          <w:lang w:eastAsia="en-US"/>
        </w:rPr>
        <w:t>Retba</w:t>
      </w:r>
      <w:proofErr w:type="spellEnd"/>
      <w:r w:rsidRPr="00E01239">
        <w:rPr>
          <w:rFonts w:asciiTheme="minorHAnsi" w:hAnsiTheme="minorHAnsi" w:cstheme="minorHAnsi"/>
          <w:sz w:val="22"/>
          <w:szCs w:val="22"/>
          <w:lang w:eastAsia="en-US"/>
        </w:rPr>
        <w:t xml:space="preserve">, </w:t>
      </w:r>
      <w:proofErr w:type="spellStart"/>
      <w:r w:rsidRPr="00E01239">
        <w:rPr>
          <w:rFonts w:asciiTheme="minorHAnsi" w:hAnsiTheme="minorHAnsi" w:cstheme="minorHAnsi"/>
          <w:sz w:val="22"/>
          <w:szCs w:val="22"/>
          <w:lang w:eastAsia="en-US"/>
        </w:rPr>
        <w:t>Mbeubeuss</w:t>
      </w:r>
      <w:proofErr w:type="spellEnd"/>
      <w:r w:rsidRPr="00E01239">
        <w:rPr>
          <w:rFonts w:asciiTheme="minorHAnsi" w:hAnsiTheme="minorHAnsi" w:cstheme="minorHAnsi"/>
          <w:sz w:val="22"/>
          <w:szCs w:val="22"/>
          <w:lang w:eastAsia="en-US"/>
        </w:rPr>
        <w:t xml:space="preserve">, </w:t>
      </w:r>
      <w:proofErr w:type="spellStart"/>
      <w:r w:rsidRPr="00E01239">
        <w:rPr>
          <w:rFonts w:asciiTheme="minorHAnsi" w:hAnsiTheme="minorHAnsi" w:cstheme="minorHAnsi"/>
          <w:sz w:val="22"/>
          <w:szCs w:val="22"/>
          <w:lang w:eastAsia="en-US"/>
        </w:rPr>
        <w:t>Youi</w:t>
      </w:r>
      <w:proofErr w:type="spellEnd"/>
      <w:r w:rsidRPr="00E01239">
        <w:rPr>
          <w:rFonts w:asciiTheme="minorHAnsi" w:hAnsiTheme="minorHAnsi" w:cstheme="minorHAnsi"/>
          <w:sz w:val="22"/>
          <w:szCs w:val="22"/>
          <w:lang w:eastAsia="en-US"/>
        </w:rPr>
        <w:t>, Malika, etc.) et des mares temporaires </w:t>
      </w:r>
      <w:r w:rsidR="00CB3082" w:rsidRPr="00E01239">
        <w:rPr>
          <w:rFonts w:asciiTheme="minorHAnsi" w:hAnsiTheme="minorHAnsi" w:cstheme="minorHAnsi"/>
          <w:sz w:val="22"/>
          <w:szCs w:val="22"/>
          <w:lang w:eastAsia="en-US"/>
        </w:rPr>
        <w:t xml:space="preserve">et </w:t>
      </w:r>
      <w:r w:rsidRPr="00E01239">
        <w:rPr>
          <w:rFonts w:asciiTheme="minorHAnsi" w:hAnsiTheme="minorHAnsi" w:cstheme="minorHAnsi"/>
          <w:sz w:val="22"/>
          <w:szCs w:val="22"/>
          <w:lang w:eastAsia="en-US"/>
        </w:rPr>
        <w:t xml:space="preserve">les dunes rouges continentales, ou dunes intérieures, constituées de sols rouges ferrugineux tropicaux peu lessivés, appelés communément sols </w:t>
      </w:r>
      <w:proofErr w:type="spellStart"/>
      <w:r w:rsidRPr="00E01239">
        <w:rPr>
          <w:rFonts w:asciiTheme="minorHAnsi" w:hAnsiTheme="minorHAnsi" w:cstheme="minorHAnsi"/>
          <w:sz w:val="22"/>
          <w:szCs w:val="22"/>
          <w:lang w:eastAsia="en-US"/>
        </w:rPr>
        <w:t>dior</w:t>
      </w:r>
      <w:proofErr w:type="spellEnd"/>
      <w:r w:rsidRPr="00E01239">
        <w:rPr>
          <w:rFonts w:asciiTheme="minorHAnsi" w:hAnsiTheme="minorHAnsi" w:cstheme="minorHAnsi"/>
          <w:sz w:val="22"/>
          <w:szCs w:val="22"/>
          <w:lang w:eastAsia="en-US"/>
        </w:rPr>
        <w:t>.</w:t>
      </w:r>
    </w:p>
    <w:p w14:paraId="702090BA" w14:textId="77777777" w:rsidR="008E4D64" w:rsidRPr="00E01239" w:rsidRDefault="008E4D64" w:rsidP="00202CE9">
      <w:pPr>
        <w:spacing w:before="120" w:line="280" w:lineRule="exact"/>
        <w:jc w:val="both"/>
        <w:rPr>
          <w:rFonts w:asciiTheme="minorHAnsi" w:hAnsiTheme="minorHAnsi" w:cstheme="minorHAnsi"/>
          <w:sz w:val="22"/>
          <w:szCs w:val="22"/>
          <w:u w:val="single"/>
        </w:rPr>
      </w:pPr>
      <w:bookmarkStart w:id="505" w:name="_Toc84845157"/>
      <w:r w:rsidRPr="00E01239">
        <w:rPr>
          <w:rFonts w:asciiTheme="minorHAnsi" w:hAnsiTheme="minorHAnsi" w:cstheme="minorHAnsi"/>
          <w:sz w:val="22"/>
          <w:szCs w:val="22"/>
          <w:u w:val="single"/>
        </w:rPr>
        <w:t>Ressources pédologiques</w:t>
      </w:r>
      <w:bookmarkEnd w:id="505"/>
      <w:r w:rsidRPr="00E01239">
        <w:rPr>
          <w:rFonts w:asciiTheme="minorHAnsi" w:hAnsiTheme="minorHAnsi" w:cstheme="minorHAnsi"/>
          <w:sz w:val="22"/>
          <w:szCs w:val="22"/>
          <w:u w:val="single"/>
        </w:rPr>
        <w:t xml:space="preserve"> </w:t>
      </w:r>
    </w:p>
    <w:p w14:paraId="2C5D2476"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Sur le plan pédologique la zone des Niayes est caractérisée par cinq (5) principaux types de sols (</w:t>
      </w:r>
      <w:proofErr w:type="spellStart"/>
      <w:r w:rsidRPr="00E01239">
        <w:rPr>
          <w:rFonts w:asciiTheme="minorHAnsi" w:hAnsiTheme="minorHAnsi" w:cstheme="minorHAnsi"/>
          <w:sz w:val="22"/>
          <w:szCs w:val="22"/>
          <w:lang w:eastAsia="en-US"/>
        </w:rPr>
        <w:t>Fall</w:t>
      </w:r>
      <w:proofErr w:type="spellEnd"/>
      <w:r w:rsidRPr="00E01239">
        <w:rPr>
          <w:rFonts w:asciiTheme="minorHAnsi" w:hAnsiTheme="minorHAnsi" w:cstheme="minorHAnsi"/>
          <w:sz w:val="22"/>
          <w:szCs w:val="22"/>
          <w:lang w:eastAsia="en-US"/>
        </w:rPr>
        <w:t xml:space="preserve"> et al., 1999) à savoir :</w:t>
      </w:r>
    </w:p>
    <w:p w14:paraId="0C4C8422" w14:textId="77777777" w:rsidR="008E4D64" w:rsidRPr="00E01239" w:rsidRDefault="008E4D64" w:rsidP="00027669">
      <w:pPr>
        <w:pStyle w:val="Paragraphedeliste"/>
        <w:numPr>
          <w:ilvl w:val="0"/>
          <w:numId w:val="173"/>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 xml:space="preserve">Les sols minéraux bruts des dunes vives pauvres et sans horizon humifère ; </w:t>
      </w:r>
    </w:p>
    <w:p w14:paraId="6E75C7D8" w14:textId="77777777" w:rsidR="008E4D64" w:rsidRPr="00E01239" w:rsidRDefault="008E4D64" w:rsidP="00027669">
      <w:pPr>
        <w:pStyle w:val="Paragraphedeliste"/>
        <w:numPr>
          <w:ilvl w:val="0"/>
          <w:numId w:val="173"/>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Les sols ferrugineux tropicaux non lessivés des dunes rouges, pauvres en matière organique et sujets à l’érosion éolienne et hydrique servent à la fois au pastoralisme et aux cultures vivrières, notamment pour la culture du mil et de l’arachide ;</w:t>
      </w:r>
    </w:p>
    <w:p w14:paraId="37808BDA" w14:textId="74E19852" w:rsidR="008E4D64" w:rsidRPr="00E01239" w:rsidRDefault="008E4D64" w:rsidP="00027669">
      <w:pPr>
        <w:pStyle w:val="Paragraphedeliste"/>
        <w:numPr>
          <w:ilvl w:val="0"/>
          <w:numId w:val="173"/>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 xml:space="preserve">Les sols brun-rouge pauvres en matière organique et caractérisés par une faible fertilité chimique et une sensibilité à l’érosion éolienne et hydrique ; </w:t>
      </w:r>
    </w:p>
    <w:p w14:paraId="5981F0B4" w14:textId="77777777" w:rsidR="008E4D64" w:rsidRPr="00E01239" w:rsidRDefault="008E4D64" w:rsidP="00027669">
      <w:pPr>
        <w:pStyle w:val="Paragraphedeliste"/>
        <w:numPr>
          <w:ilvl w:val="0"/>
          <w:numId w:val="173"/>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 xml:space="preserve">Les sols halomorphes caractérisés par la salinité et/ou l’alcalinité ; </w:t>
      </w:r>
    </w:p>
    <w:p w14:paraId="68FC004E" w14:textId="152A139A" w:rsidR="008E4D64" w:rsidRPr="00E01239" w:rsidRDefault="008E4D64" w:rsidP="00027669">
      <w:pPr>
        <w:pStyle w:val="Paragraphedeliste"/>
        <w:numPr>
          <w:ilvl w:val="0"/>
          <w:numId w:val="173"/>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Les sols minéraux à pseudo gley riches en matière organique et valorisé dans le maraîchage.</w:t>
      </w:r>
    </w:p>
    <w:p w14:paraId="26A4A527" w14:textId="77777777" w:rsidR="008E4D64" w:rsidRPr="00E01239" w:rsidRDefault="008E4D64" w:rsidP="00202CE9">
      <w:pPr>
        <w:spacing w:before="120" w:line="280" w:lineRule="exact"/>
        <w:jc w:val="both"/>
        <w:rPr>
          <w:rFonts w:asciiTheme="minorHAnsi" w:hAnsiTheme="minorHAnsi" w:cstheme="minorHAnsi"/>
          <w:sz w:val="22"/>
          <w:szCs w:val="22"/>
          <w:u w:val="single"/>
        </w:rPr>
      </w:pPr>
      <w:bookmarkStart w:id="506" w:name="_Toc84845158"/>
      <w:r w:rsidRPr="00E01239">
        <w:rPr>
          <w:rFonts w:asciiTheme="minorHAnsi" w:hAnsiTheme="minorHAnsi" w:cstheme="minorHAnsi"/>
          <w:sz w:val="22"/>
          <w:szCs w:val="22"/>
          <w:u w:val="single"/>
        </w:rPr>
        <w:t>Ressources en eau</w:t>
      </w:r>
      <w:bookmarkEnd w:id="506"/>
      <w:r w:rsidRPr="00E01239">
        <w:rPr>
          <w:rFonts w:asciiTheme="minorHAnsi" w:hAnsiTheme="minorHAnsi" w:cstheme="minorHAnsi"/>
          <w:sz w:val="22"/>
          <w:szCs w:val="22"/>
          <w:u w:val="single"/>
        </w:rPr>
        <w:t xml:space="preserve"> </w:t>
      </w:r>
    </w:p>
    <w:p w14:paraId="32A02BD9"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Les seules eaux de surface se localisent au niveau d’un certain nombre de lacs, exutoires d’un réseau hydrographique actif en saison des pluies.</w:t>
      </w:r>
    </w:p>
    <w:p w14:paraId="46901546" w14:textId="2DEECC30" w:rsidR="008E4D64" w:rsidRPr="00E01239" w:rsidRDefault="008E4D64" w:rsidP="00B7342E">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La nappe des sables du quaternaires représente une importante réserve hydrogéologique et elle est valorisée dans l’alimentation en eau de la population et les usages agricoles et industriels. Leur potentialité est estimée à 273 000 m3 /j et un potentiel irrigable estimé à environ 12 000 ha malgré une teneur en fer assez élevée (22 mg/l dans certains endroits), une salinité et pollution de plus en plus forte (pesticides, eaux usées usines, ordures) (Faye, 2005).</w:t>
      </w:r>
    </w:p>
    <w:p w14:paraId="3D1C1E36" w14:textId="77777777" w:rsidR="00CB3082" w:rsidRPr="00E01239" w:rsidRDefault="00CB3082" w:rsidP="00202CE9">
      <w:pPr>
        <w:spacing w:before="120" w:line="280" w:lineRule="exact"/>
        <w:jc w:val="both"/>
        <w:rPr>
          <w:rFonts w:asciiTheme="minorHAnsi" w:hAnsiTheme="minorHAnsi" w:cstheme="minorHAnsi"/>
          <w:sz w:val="22"/>
          <w:szCs w:val="22"/>
          <w:lang w:eastAsia="en-US"/>
        </w:rPr>
      </w:pPr>
    </w:p>
    <w:p w14:paraId="208D02FC" w14:textId="77777777" w:rsidR="008E4D64" w:rsidRPr="00E01239" w:rsidRDefault="008E4D64" w:rsidP="00027669">
      <w:pPr>
        <w:pStyle w:val="Titre3"/>
        <w:ind w:left="1418"/>
        <w:rPr>
          <w:rFonts w:asciiTheme="minorHAnsi" w:hAnsiTheme="minorHAnsi" w:cstheme="minorHAnsi"/>
        </w:rPr>
      </w:pPr>
      <w:bookmarkStart w:id="507" w:name="_Toc84845159"/>
      <w:bookmarkStart w:id="508" w:name="_Toc144654075"/>
      <w:r w:rsidRPr="00E01239">
        <w:rPr>
          <w:rFonts w:asciiTheme="minorHAnsi" w:hAnsiTheme="minorHAnsi" w:cstheme="minorHAnsi"/>
        </w:rPr>
        <w:t>Environnement biologique</w:t>
      </w:r>
      <w:bookmarkEnd w:id="507"/>
      <w:bookmarkEnd w:id="508"/>
      <w:r w:rsidRPr="00E01239">
        <w:rPr>
          <w:rFonts w:asciiTheme="minorHAnsi" w:hAnsiTheme="minorHAnsi" w:cstheme="minorHAnsi"/>
        </w:rPr>
        <w:t xml:space="preserve"> </w:t>
      </w:r>
    </w:p>
    <w:p w14:paraId="259E926B"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La zone des Niayes présente une grande richesse faunistique avec </w:t>
      </w:r>
      <w:r w:rsidRPr="00E01239">
        <w:rPr>
          <w:rFonts w:asciiTheme="minorHAnsi" w:hAnsiTheme="minorHAnsi" w:cstheme="minorHAnsi"/>
          <w:sz w:val="22"/>
          <w:szCs w:val="22"/>
          <w:lang w:eastAsia="fr-SN"/>
        </w:rPr>
        <w:t>142 des 650 espèces signalées au Sénégal (Morel &amp; Morel 1990 ; Barlow et al., 1999, cité dans PDAS, 2004).  Ainsi, il y est répertorié des mammifères, des amphibiens, des reptiles et des oiseaux sans compter la grande diversité de faune ichtyologique.</w:t>
      </w:r>
      <w:r w:rsidRPr="00E01239">
        <w:rPr>
          <w:rFonts w:asciiTheme="minorHAnsi" w:hAnsiTheme="minorHAnsi" w:cstheme="minorHAnsi"/>
          <w:color w:val="000000" w:themeColor="text1"/>
          <w:sz w:val="22"/>
          <w:szCs w:val="22"/>
          <w:lang w:eastAsia="fr-SN"/>
        </w:rPr>
        <w:t xml:space="preserve"> </w:t>
      </w:r>
    </w:p>
    <w:p w14:paraId="4F63C9F1" w14:textId="182DF011" w:rsidR="008E4D64" w:rsidRPr="00E01239" w:rsidRDefault="008E4D64" w:rsidP="00202CE9">
      <w:pPr>
        <w:spacing w:before="120" w:line="280" w:lineRule="exact"/>
        <w:jc w:val="both"/>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lastRenderedPageBreak/>
        <w:t>Les dépressions inter dunaires des Niayes abritent une végétation relique à affinité guinéenne à l’image des palmeraies (</w:t>
      </w:r>
      <w:r w:rsidRPr="00E01239">
        <w:rPr>
          <w:rFonts w:asciiTheme="minorHAnsi" w:eastAsiaTheme="majorEastAsia" w:hAnsiTheme="minorHAnsi" w:cstheme="minorHAnsi"/>
          <w:i/>
          <w:iCs/>
          <w:color w:val="000000" w:themeColor="text1"/>
          <w:sz w:val="22"/>
          <w:szCs w:val="22"/>
          <w:lang w:eastAsia="fr-SN"/>
        </w:rPr>
        <w:t xml:space="preserve">Elaeis </w:t>
      </w:r>
      <w:proofErr w:type="spellStart"/>
      <w:r w:rsidRPr="00E01239">
        <w:rPr>
          <w:rFonts w:asciiTheme="minorHAnsi" w:eastAsiaTheme="majorEastAsia" w:hAnsiTheme="minorHAnsi" w:cstheme="minorHAnsi"/>
          <w:i/>
          <w:iCs/>
          <w:color w:val="000000" w:themeColor="text1"/>
          <w:sz w:val="22"/>
          <w:szCs w:val="22"/>
          <w:lang w:eastAsia="fr-SN"/>
        </w:rPr>
        <w:t>guineensis</w:t>
      </w:r>
      <w:proofErr w:type="spellEnd"/>
      <w:r w:rsidRPr="00E01239">
        <w:rPr>
          <w:rFonts w:asciiTheme="minorHAnsi" w:hAnsiTheme="minorHAnsi" w:cstheme="minorHAnsi"/>
          <w:color w:val="000000" w:themeColor="text1"/>
          <w:sz w:val="22"/>
          <w:szCs w:val="22"/>
          <w:lang w:eastAsia="fr-SN"/>
        </w:rPr>
        <w:t xml:space="preserve"> ou palmier à huile) et des cocotiers (</w:t>
      </w:r>
      <w:r w:rsidRPr="00E01239">
        <w:rPr>
          <w:rFonts w:asciiTheme="minorHAnsi" w:eastAsiaTheme="majorEastAsia" w:hAnsiTheme="minorHAnsi" w:cstheme="minorHAnsi"/>
          <w:i/>
          <w:iCs/>
          <w:color w:val="000000" w:themeColor="text1"/>
          <w:sz w:val="22"/>
          <w:szCs w:val="22"/>
          <w:lang w:eastAsia="fr-SN"/>
        </w:rPr>
        <w:t xml:space="preserve">Cocos </w:t>
      </w:r>
      <w:proofErr w:type="spellStart"/>
      <w:r w:rsidRPr="00E01239">
        <w:rPr>
          <w:rFonts w:asciiTheme="minorHAnsi" w:eastAsiaTheme="majorEastAsia" w:hAnsiTheme="minorHAnsi" w:cstheme="minorHAnsi"/>
          <w:i/>
          <w:iCs/>
          <w:color w:val="000000" w:themeColor="text1"/>
          <w:sz w:val="22"/>
          <w:szCs w:val="22"/>
          <w:lang w:eastAsia="fr-SN"/>
        </w:rPr>
        <w:t>nucifera</w:t>
      </w:r>
      <w:proofErr w:type="spellEnd"/>
      <w:r w:rsidRPr="00E01239">
        <w:rPr>
          <w:rFonts w:asciiTheme="minorHAnsi" w:eastAsiaTheme="majorEastAsia" w:hAnsiTheme="minorHAnsi" w:cstheme="minorHAnsi"/>
          <w:i/>
          <w:iCs/>
          <w:color w:val="000000" w:themeColor="text1"/>
          <w:sz w:val="22"/>
          <w:szCs w:val="22"/>
          <w:lang w:eastAsia="fr-SN"/>
        </w:rPr>
        <w:t>)</w:t>
      </w:r>
      <w:r w:rsidRPr="00E01239">
        <w:rPr>
          <w:rFonts w:asciiTheme="minorHAnsi" w:hAnsiTheme="minorHAnsi" w:cstheme="minorHAnsi"/>
          <w:color w:val="000000" w:themeColor="text1"/>
          <w:sz w:val="22"/>
          <w:szCs w:val="22"/>
          <w:lang w:eastAsia="fr-SN"/>
        </w:rPr>
        <w:t xml:space="preserve"> (Camara, 2010). Sa strate herbacée importante est dominée par des plantes </w:t>
      </w:r>
      <w:proofErr w:type="spellStart"/>
      <w:r w:rsidRPr="00E01239">
        <w:rPr>
          <w:rFonts w:asciiTheme="minorHAnsi" w:hAnsiTheme="minorHAnsi" w:cstheme="minorHAnsi"/>
          <w:color w:val="000000" w:themeColor="text1"/>
          <w:sz w:val="22"/>
          <w:szCs w:val="22"/>
          <w:lang w:eastAsia="fr-SN"/>
        </w:rPr>
        <w:t>aquaphiles</w:t>
      </w:r>
      <w:proofErr w:type="spellEnd"/>
      <w:r w:rsidRPr="00E01239">
        <w:rPr>
          <w:rFonts w:asciiTheme="minorHAnsi" w:hAnsiTheme="minorHAnsi" w:cstheme="minorHAnsi"/>
          <w:color w:val="000000" w:themeColor="text1"/>
          <w:sz w:val="22"/>
          <w:szCs w:val="22"/>
          <w:lang w:eastAsia="fr-SN"/>
        </w:rPr>
        <w:t xml:space="preserve"> (</w:t>
      </w:r>
      <w:r w:rsidRPr="00E01239">
        <w:rPr>
          <w:rFonts w:asciiTheme="minorHAnsi" w:eastAsiaTheme="majorEastAsia" w:hAnsiTheme="minorHAnsi" w:cstheme="minorHAnsi"/>
          <w:i/>
          <w:iCs/>
          <w:color w:val="000000" w:themeColor="text1"/>
          <w:sz w:val="22"/>
          <w:szCs w:val="22"/>
          <w:lang w:eastAsia="fr-SN"/>
        </w:rPr>
        <w:t xml:space="preserve">Nymphéa lotus, </w:t>
      </w:r>
      <w:proofErr w:type="spellStart"/>
      <w:r w:rsidRPr="00E01239">
        <w:rPr>
          <w:rFonts w:asciiTheme="minorHAnsi" w:eastAsiaTheme="majorEastAsia" w:hAnsiTheme="minorHAnsi" w:cstheme="minorHAnsi"/>
          <w:i/>
          <w:iCs/>
          <w:color w:val="000000" w:themeColor="text1"/>
          <w:sz w:val="22"/>
          <w:szCs w:val="22"/>
          <w:lang w:eastAsia="fr-SN"/>
        </w:rPr>
        <w:t>Fragmites</w:t>
      </w:r>
      <w:proofErr w:type="spellEnd"/>
      <w:r w:rsidRPr="00E01239">
        <w:rPr>
          <w:rFonts w:asciiTheme="minorHAnsi" w:eastAsiaTheme="majorEastAsia" w:hAnsiTheme="minorHAnsi" w:cstheme="minorHAnsi"/>
          <w:i/>
          <w:iCs/>
          <w:color w:val="000000" w:themeColor="text1"/>
          <w:sz w:val="22"/>
          <w:szCs w:val="22"/>
          <w:lang w:eastAsia="fr-SN"/>
        </w:rPr>
        <w:t xml:space="preserve"> vulgaris)</w:t>
      </w:r>
      <w:r w:rsidRPr="00E01239">
        <w:rPr>
          <w:rFonts w:asciiTheme="minorHAnsi" w:hAnsiTheme="minorHAnsi" w:cstheme="minorHAnsi"/>
          <w:color w:val="000000" w:themeColor="text1"/>
          <w:sz w:val="22"/>
          <w:szCs w:val="22"/>
          <w:lang w:eastAsia="fr-SN"/>
        </w:rPr>
        <w:t> et d’autres moins exigeantes en eau (</w:t>
      </w:r>
      <w:proofErr w:type="spellStart"/>
      <w:r w:rsidRPr="00E01239">
        <w:rPr>
          <w:rFonts w:asciiTheme="minorHAnsi" w:eastAsiaTheme="majorEastAsia" w:hAnsiTheme="minorHAnsi" w:cstheme="minorHAnsi"/>
          <w:i/>
          <w:iCs/>
          <w:color w:val="000000" w:themeColor="text1"/>
          <w:sz w:val="22"/>
          <w:szCs w:val="22"/>
          <w:lang w:eastAsia="fr-SN"/>
        </w:rPr>
        <w:t>Imperatum</w:t>
      </w:r>
      <w:proofErr w:type="spellEnd"/>
      <w:r w:rsidRPr="00E01239">
        <w:rPr>
          <w:rFonts w:asciiTheme="minorHAnsi" w:eastAsiaTheme="majorEastAsia" w:hAnsiTheme="minorHAnsi" w:cstheme="minorHAnsi"/>
          <w:i/>
          <w:iCs/>
          <w:color w:val="000000" w:themeColor="text1"/>
          <w:sz w:val="22"/>
          <w:szCs w:val="22"/>
          <w:lang w:eastAsia="fr-SN"/>
        </w:rPr>
        <w:t xml:space="preserve"> </w:t>
      </w:r>
      <w:proofErr w:type="spellStart"/>
      <w:r w:rsidRPr="00E01239">
        <w:rPr>
          <w:rFonts w:asciiTheme="minorHAnsi" w:eastAsiaTheme="majorEastAsia" w:hAnsiTheme="minorHAnsi" w:cstheme="minorHAnsi"/>
          <w:i/>
          <w:iCs/>
          <w:color w:val="000000" w:themeColor="text1"/>
          <w:sz w:val="22"/>
          <w:szCs w:val="22"/>
          <w:lang w:eastAsia="fr-SN"/>
        </w:rPr>
        <w:t>cylindrica</w:t>
      </w:r>
      <w:proofErr w:type="spellEnd"/>
      <w:r w:rsidRPr="00E01239">
        <w:rPr>
          <w:rFonts w:asciiTheme="minorHAnsi" w:eastAsiaTheme="majorEastAsia" w:hAnsiTheme="minorHAnsi" w:cstheme="minorHAnsi"/>
          <w:i/>
          <w:iCs/>
          <w:color w:val="000000" w:themeColor="text1"/>
          <w:sz w:val="22"/>
          <w:szCs w:val="22"/>
          <w:lang w:eastAsia="fr-SN"/>
        </w:rPr>
        <w:t>).</w:t>
      </w:r>
    </w:p>
    <w:p w14:paraId="42470FCC"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Les dunes rouges </w:t>
      </w:r>
      <w:proofErr w:type="spellStart"/>
      <w:r w:rsidRPr="00E01239">
        <w:rPr>
          <w:rFonts w:asciiTheme="minorHAnsi" w:hAnsiTheme="minorHAnsi" w:cstheme="minorHAnsi"/>
          <w:color w:val="000000" w:themeColor="text1"/>
          <w:sz w:val="22"/>
          <w:szCs w:val="22"/>
          <w:lang w:eastAsia="fr-SN"/>
        </w:rPr>
        <w:t>ogoliennes</w:t>
      </w:r>
      <w:proofErr w:type="spellEnd"/>
      <w:r w:rsidRPr="00E01239">
        <w:rPr>
          <w:rFonts w:asciiTheme="minorHAnsi" w:hAnsiTheme="minorHAnsi" w:cstheme="minorHAnsi"/>
          <w:color w:val="000000" w:themeColor="text1"/>
          <w:sz w:val="22"/>
          <w:szCs w:val="22"/>
          <w:lang w:eastAsia="fr-SN"/>
        </w:rPr>
        <w:t xml:space="preserve"> sont dominés par des ligneux comme </w:t>
      </w:r>
      <w:proofErr w:type="spellStart"/>
      <w:r w:rsidRPr="00E01239">
        <w:rPr>
          <w:rFonts w:asciiTheme="minorHAnsi" w:eastAsiaTheme="majorEastAsia" w:hAnsiTheme="minorHAnsi" w:cstheme="minorHAnsi"/>
          <w:i/>
          <w:iCs/>
          <w:color w:val="000000" w:themeColor="text1"/>
          <w:sz w:val="22"/>
          <w:szCs w:val="22"/>
          <w:lang w:eastAsia="fr-SN"/>
        </w:rPr>
        <w:t>Parinaris</w:t>
      </w:r>
      <w:proofErr w:type="spellEnd"/>
      <w:r w:rsidRPr="00E01239">
        <w:rPr>
          <w:rFonts w:asciiTheme="minorHAnsi" w:eastAsiaTheme="majorEastAsia" w:hAnsiTheme="minorHAnsi" w:cstheme="minorHAnsi"/>
          <w:i/>
          <w:iCs/>
          <w:color w:val="000000" w:themeColor="text1"/>
          <w:sz w:val="22"/>
          <w:szCs w:val="22"/>
          <w:lang w:eastAsia="fr-SN"/>
        </w:rPr>
        <w:t xml:space="preserve"> </w:t>
      </w:r>
      <w:proofErr w:type="spellStart"/>
      <w:r w:rsidRPr="00E01239">
        <w:rPr>
          <w:rFonts w:asciiTheme="minorHAnsi" w:eastAsiaTheme="majorEastAsia" w:hAnsiTheme="minorHAnsi" w:cstheme="minorHAnsi"/>
          <w:i/>
          <w:iCs/>
          <w:color w:val="000000" w:themeColor="text1"/>
          <w:sz w:val="22"/>
          <w:szCs w:val="22"/>
          <w:lang w:eastAsia="fr-SN"/>
        </w:rPr>
        <w:t>Macrophyla</w:t>
      </w:r>
      <w:proofErr w:type="spellEnd"/>
      <w:r w:rsidRPr="00E01239">
        <w:rPr>
          <w:rFonts w:asciiTheme="minorHAnsi" w:eastAsiaTheme="majorEastAsia" w:hAnsiTheme="minorHAnsi" w:cstheme="minorHAnsi"/>
          <w:i/>
          <w:iCs/>
          <w:color w:val="000000" w:themeColor="text1"/>
          <w:sz w:val="22"/>
          <w:szCs w:val="22"/>
          <w:lang w:eastAsia="fr-SN"/>
        </w:rPr>
        <w:t xml:space="preserve">, Acacia </w:t>
      </w:r>
      <w:proofErr w:type="spellStart"/>
      <w:r w:rsidRPr="00E01239">
        <w:rPr>
          <w:rFonts w:asciiTheme="minorHAnsi" w:eastAsiaTheme="majorEastAsia" w:hAnsiTheme="minorHAnsi" w:cstheme="minorHAnsi"/>
          <w:i/>
          <w:iCs/>
          <w:color w:val="000000" w:themeColor="text1"/>
          <w:sz w:val="22"/>
          <w:szCs w:val="22"/>
          <w:lang w:eastAsia="fr-SN"/>
        </w:rPr>
        <w:t>Albida</w:t>
      </w:r>
      <w:proofErr w:type="spellEnd"/>
      <w:r w:rsidRPr="00E01239">
        <w:rPr>
          <w:rFonts w:asciiTheme="minorHAnsi" w:eastAsiaTheme="majorEastAsia" w:hAnsiTheme="minorHAnsi" w:cstheme="minorHAnsi"/>
          <w:i/>
          <w:iCs/>
          <w:color w:val="000000" w:themeColor="text1"/>
          <w:sz w:val="22"/>
          <w:szCs w:val="22"/>
          <w:lang w:eastAsia="fr-SN"/>
        </w:rPr>
        <w:t xml:space="preserve">, Acacia </w:t>
      </w:r>
      <w:proofErr w:type="spellStart"/>
      <w:r w:rsidRPr="00E01239">
        <w:rPr>
          <w:rFonts w:asciiTheme="minorHAnsi" w:eastAsiaTheme="majorEastAsia" w:hAnsiTheme="minorHAnsi" w:cstheme="minorHAnsi"/>
          <w:i/>
          <w:iCs/>
          <w:color w:val="000000" w:themeColor="text1"/>
          <w:sz w:val="22"/>
          <w:szCs w:val="22"/>
          <w:lang w:eastAsia="fr-SN"/>
        </w:rPr>
        <w:t>Radiana</w:t>
      </w:r>
      <w:proofErr w:type="spellEnd"/>
      <w:r w:rsidRPr="00E01239">
        <w:rPr>
          <w:rFonts w:asciiTheme="minorHAnsi" w:hAnsiTheme="minorHAnsi" w:cstheme="minorHAnsi"/>
          <w:color w:val="000000" w:themeColor="text1"/>
          <w:sz w:val="22"/>
          <w:szCs w:val="22"/>
          <w:lang w:eastAsia="fr-SN"/>
        </w:rPr>
        <w:t xml:space="preserve">, etc. et des herbacées comme </w:t>
      </w:r>
      <w:proofErr w:type="spellStart"/>
      <w:r w:rsidRPr="00E01239">
        <w:rPr>
          <w:rFonts w:asciiTheme="minorHAnsi" w:eastAsiaTheme="majorEastAsia" w:hAnsiTheme="minorHAnsi" w:cstheme="minorHAnsi"/>
          <w:i/>
          <w:iCs/>
          <w:color w:val="000000" w:themeColor="text1"/>
          <w:sz w:val="22"/>
          <w:szCs w:val="22"/>
          <w:lang w:eastAsia="fr-SN"/>
        </w:rPr>
        <w:t>Cenchrus</w:t>
      </w:r>
      <w:proofErr w:type="spellEnd"/>
      <w:r w:rsidRPr="00E01239">
        <w:rPr>
          <w:rFonts w:asciiTheme="minorHAnsi" w:eastAsiaTheme="majorEastAsia" w:hAnsiTheme="minorHAnsi" w:cstheme="minorHAnsi"/>
          <w:i/>
          <w:iCs/>
          <w:color w:val="000000" w:themeColor="text1"/>
          <w:sz w:val="22"/>
          <w:szCs w:val="22"/>
          <w:lang w:eastAsia="fr-SN"/>
        </w:rPr>
        <w:t xml:space="preserve"> </w:t>
      </w:r>
      <w:proofErr w:type="spellStart"/>
      <w:r w:rsidRPr="00E01239">
        <w:rPr>
          <w:rFonts w:asciiTheme="minorHAnsi" w:eastAsiaTheme="majorEastAsia" w:hAnsiTheme="minorHAnsi" w:cstheme="minorHAnsi"/>
          <w:i/>
          <w:iCs/>
          <w:color w:val="000000" w:themeColor="text1"/>
          <w:sz w:val="22"/>
          <w:szCs w:val="22"/>
          <w:lang w:eastAsia="fr-SN"/>
        </w:rPr>
        <w:t>biflorus</w:t>
      </w:r>
      <w:proofErr w:type="spellEnd"/>
      <w:r w:rsidRPr="00E01239">
        <w:rPr>
          <w:rFonts w:asciiTheme="minorHAnsi" w:eastAsiaTheme="majorEastAsia" w:hAnsiTheme="minorHAnsi" w:cstheme="minorHAnsi"/>
          <w:i/>
          <w:iCs/>
          <w:color w:val="000000" w:themeColor="text1"/>
          <w:sz w:val="22"/>
          <w:szCs w:val="22"/>
          <w:lang w:eastAsia="fr-SN"/>
        </w:rPr>
        <w:t xml:space="preserve">, Andropogon </w:t>
      </w:r>
      <w:proofErr w:type="spellStart"/>
      <w:r w:rsidRPr="00E01239">
        <w:rPr>
          <w:rFonts w:asciiTheme="minorHAnsi" w:eastAsiaTheme="majorEastAsia" w:hAnsiTheme="minorHAnsi" w:cstheme="minorHAnsi"/>
          <w:i/>
          <w:iCs/>
          <w:color w:val="000000" w:themeColor="text1"/>
          <w:sz w:val="22"/>
          <w:szCs w:val="22"/>
          <w:lang w:eastAsia="fr-SN"/>
        </w:rPr>
        <w:t>sp</w:t>
      </w:r>
      <w:proofErr w:type="spellEnd"/>
      <w:r w:rsidRPr="00E01239">
        <w:rPr>
          <w:rFonts w:asciiTheme="minorHAnsi" w:hAnsiTheme="minorHAnsi" w:cstheme="minorHAnsi"/>
          <w:color w:val="000000" w:themeColor="text1"/>
          <w:sz w:val="22"/>
          <w:szCs w:val="22"/>
          <w:lang w:eastAsia="fr-SN"/>
        </w:rPr>
        <w:t>., etc.).</w:t>
      </w:r>
    </w:p>
    <w:p w14:paraId="3B35D881" w14:textId="355F8A8D" w:rsidR="008E4D64" w:rsidRPr="00E01239" w:rsidRDefault="008E4D64" w:rsidP="00202CE9">
      <w:pPr>
        <w:spacing w:before="120" w:line="280" w:lineRule="exact"/>
        <w:jc w:val="both"/>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Les dunes jaunes et des dunes blanches disposent d’une végétation presque inexistante sauf issue de reboisement pour la fixation des dunes (</w:t>
      </w:r>
      <w:r w:rsidRPr="00E01239">
        <w:rPr>
          <w:rFonts w:asciiTheme="minorHAnsi" w:hAnsiTheme="minorHAnsi" w:cstheme="minorHAnsi"/>
          <w:i/>
          <w:color w:val="000000" w:themeColor="text1"/>
          <w:sz w:val="22"/>
          <w:szCs w:val="22"/>
          <w:lang w:eastAsia="fr-SN"/>
        </w:rPr>
        <w:t xml:space="preserve">Casuarina </w:t>
      </w:r>
      <w:proofErr w:type="spellStart"/>
      <w:r w:rsidRPr="00E01239">
        <w:rPr>
          <w:rFonts w:asciiTheme="minorHAnsi" w:hAnsiTheme="minorHAnsi" w:cstheme="minorHAnsi"/>
          <w:i/>
          <w:color w:val="000000" w:themeColor="text1"/>
          <w:sz w:val="22"/>
          <w:szCs w:val="22"/>
          <w:lang w:eastAsia="fr-SN"/>
        </w:rPr>
        <w:t>equisetifoli</w:t>
      </w:r>
      <w:proofErr w:type="spellEnd"/>
      <w:r w:rsidRPr="00E01239">
        <w:rPr>
          <w:rFonts w:asciiTheme="minorHAnsi" w:hAnsiTheme="minorHAnsi" w:cstheme="minorHAnsi"/>
          <w:i/>
          <w:color w:val="000000" w:themeColor="text1"/>
          <w:sz w:val="22"/>
          <w:szCs w:val="22"/>
          <w:lang w:eastAsia="fr-SN"/>
        </w:rPr>
        <w:t xml:space="preserve"> ou </w:t>
      </w:r>
      <w:r w:rsidRPr="00E01239">
        <w:rPr>
          <w:rFonts w:asciiTheme="minorHAnsi" w:hAnsiTheme="minorHAnsi" w:cstheme="minorHAnsi"/>
          <w:color w:val="000000" w:themeColor="text1"/>
          <w:sz w:val="22"/>
          <w:szCs w:val="22"/>
          <w:lang w:eastAsia="fr-SN"/>
        </w:rPr>
        <w:t>filaos) et autres rares espèces représentatives dont (</w:t>
      </w:r>
      <w:r w:rsidRPr="00E01239">
        <w:rPr>
          <w:rFonts w:asciiTheme="minorHAnsi" w:eastAsiaTheme="majorEastAsia" w:hAnsiTheme="minorHAnsi" w:cstheme="minorHAnsi"/>
          <w:i/>
          <w:iCs/>
          <w:color w:val="000000" w:themeColor="text1"/>
          <w:sz w:val="22"/>
          <w:szCs w:val="22"/>
          <w:lang w:eastAsia="fr-SN"/>
        </w:rPr>
        <w:t xml:space="preserve">Opuntia </w:t>
      </w:r>
      <w:proofErr w:type="spellStart"/>
      <w:r w:rsidRPr="00E01239">
        <w:rPr>
          <w:rFonts w:asciiTheme="minorHAnsi" w:eastAsiaTheme="majorEastAsia" w:hAnsiTheme="minorHAnsi" w:cstheme="minorHAnsi"/>
          <w:i/>
          <w:iCs/>
          <w:color w:val="000000" w:themeColor="text1"/>
          <w:sz w:val="22"/>
          <w:szCs w:val="22"/>
          <w:lang w:eastAsia="fr-SN"/>
        </w:rPr>
        <w:t>tuna</w:t>
      </w:r>
      <w:proofErr w:type="spellEnd"/>
      <w:r w:rsidRPr="00E01239">
        <w:rPr>
          <w:rFonts w:asciiTheme="minorHAnsi" w:hAnsiTheme="minorHAnsi" w:cstheme="minorHAnsi"/>
          <w:color w:val="000000" w:themeColor="text1"/>
          <w:sz w:val="22"/>
          <w:szCs w:val="22"/>
          <w:lang w:eastAsia="fr-SN"/>
        </w:rPr>
        <w:t>,</w:t>
      </w:r>
      <w:r w:rsidRPr="00E01239">
        <w:rPr>
          <w:rFonts w:asciiTheme="minorHAnsi" w:eastAsiaTheme="majorEastAsia" w:hAnsiTheme="minorHAnsi" w:cstheme="minorHAnsi"/>
          <w:i/>
          <w:iCs/>
          <w:color w:val="000000" w:themeColor="text1"/>
          <w:sz w:val="22"/>
          <w:szCs w:val="22"/>
          <w:lang w:eastAsia="fr-SN"/>
        </w:rPr>
        <w:t xml:space="preserve"> </w:t>
      </w:r>
      <w:proofErr w:type="spellStart"/>
      <w:r w:rsidRPr="00E01239">
        <w:rPr>
          <w:rFonts w:asciiTheme="minorHAnsi" w:eastAsiaTheme="majorEastAsia" w:hAnsiTheme="minorHAnsi" w:cstheme="minorHAnsi"/>
          <w:i/>
          <w:iCs/>
          <w:color w:val="000000" w:themeColor="text1"/>
          <w:sz w:val="22"/>
          <w:szCs w:val="22"/>
          <w:lang w:eastAsia="fr-SN"/>
        </w:rPr>
        <w:t>Maytenus</w:t>
      </w:r>
      <w:proofErr w:type="spellEnd"/>
      <w:r w:rsidRPr="00E01239">
        <w:rPr>
          <w:rFonts w:asciiTheme="minorHAnsi" w:eastAsiaTheme="majorEastAsia" w:hAnsiTheme="minorHAnsi" w:cstheme="minorHAnsi"/>
          <w:i/>
          <w:iCs/>
          <w:color w:val="000000" w:themeColor="text1"/>
          <w:sz w:val="22"/>
          <w:szCs w:val="22"/>
          <w:lang w:eastAsia="fr-SN"/>
        </w:rPr>
        <w:t xml:space="preserve"> senegalensis</w:t>
      </w:r>
      <w:r w:rsidRPr="00E01239">
        <w:rPr>
          <w:rFonts w:asciiTheme="minorHAnsi" w:hAnsiTheme="minorHAnsi" w:cstheme="minorHAnsi"/>
          <w:color w:val="000000" w:themeColor="text1"/>
          <w:sz w:val="22"/>
          <w:szCs w:val="22"/>
          <w:lang w:eastAsia="fr-SN"/>
        </w:rPr>
        <w:t xml:space="preserve"> et </w:t>
      </w:r>
      <w:proofErr w:type="spellStart"/>
      <w:r w:rsidRPr="00E01239">
        <w:rPr>
          <w:rFonts w:asciiTheme="minorHAnsi" w:eastAsiaTheme="majorEastAsia" w:hAnsiTheme="minorHAnsi" w:cstheme="minorHAnsi"/>
          <w:i/>
          <w:iCs/>
          <w:color w:val="000000" w:themeColor="text1"/>
          <w:sz w:val="22"/>
          <w:szCs w:val="22"/>
          <w:lang w:eastAsia="fr-SN"/>
        </w:rPr>
        <w:t>Parinari</w:t>
      </w:r>
      <w:proofErr w:type="spellEnd"/>
      <w:r w:rsidRPr="00E01239">
        <w:rPr>
          <w:rFonts w:asciiTheme="minorHAnsi" w:eastAsiaTheme="majorEastAsia" w:hAnsiTheme="minorHAnsi" w:cstheme="minorHAnsi"/>
          <w:i/>
          <w:iCs/>
          <w:color w:val="000000" w:themeColor="text1"/>
          <w:sz w:val="22"/>
          <w:szCs w:val="22"/>
          <w:lang w:eastAsia="fr-SN"/>
        </w:rPr>
        <w:t xml:space="preserve"> </w:t>
      </w:r>
      <w:proofErr w:type="spellStart"/>
      <w:r w:rsidRPr="00E01239">
        <w:rPr>
          <w:rFonts w:asciiTheme="minorHAnsi" w:eastAsiaTheme="majorEastAsia" w:hAnsiTheme="minorHAnsi" w:cstheme="minorHAnsi"/>
          <w:i/>
          <w:iCs/>
          <w:color w:val="000000" w:themeColor="text1"/>
          <w:sz w:val="22"/>
          <w:szCs w:val="22"/>
          <w:lang w:eastAsia="fr-SN"/>
        </w:rPr>
        <w:t>Macrophylla</w:t>
      </w:r>
      <w:proofErr w:type="spellEnd"/>
      <w:r w:rsidRPr="00E01239">
        <w:rPr>
          <w:rFonts w:asciiTheme="minorHAnsi" w:hAnsiTheme="minorHAnsi" w:cstheme="minorHAnsi"/>
          <w:color w:val="000000" w:themeColor="text1"/>
          <w:sz w:val="22"/>
          <w:szCs w:val="22"/>
          <w:lang w:eastAsia="fr-SN"/>
        </w:rPr>
        <w:t>.</w:t>
      </w:r>
    </w:p>
    <w:p w14:paraId="235F6E12" w14:textId="568752DC" w:rsidR="008E4D64" w:rsidRPr="00E01239" w:rsidRDefault="008E4D64" w:rsidP="00B7342E">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 xml:space="preserve">La zone des Niayes se caractérise par un fort taux de classement avec le périmètre de restauration du littoral nord (PRN) (arrêt n°2554 du mois d’avril 1954) qui représente près de 54 % (Mbaye et al., 2023). </w:t>
      </w:r>
    </w:p>
    <w:p w14:paraId="2082A02F" w14:textId="77777777" w:rsidR="00A312BF" w:rsidRPr="00E01239" w:rsidRDefault="00A312BF" w:rsidP="00202CE9">
      <w:pPr>
        <w:jc w:val="both"/>
        <w:rPr>
          <w:rFonts w:asciiTheme="minorHAnsi" w:hAnsiTheme="minorHAnsi" w:cstheme="minorHAnsi"/>
          <w:sz w:val="22"/>
          <w:szCs w:val="22"/>
          <w:lang w:eastAsia="en-US"/>
        </w:rPr>
      </w:pPr>
    </w:p>
    <w:p w14:paraId="1F0E7CE9" w14:textId="77777777" w:rsidR="008E4D64" w:rsidRPr="00E01239" w:rsidRDefault="008E4D64" w:rsidP="00202CE9">
      <w:pPr>
        <w:pStyle w:val="Titre3"/>
        <w:ind w:left="1418"/>
        <w:rPr>
          <w:rFonts w:asciiTheme="minorHAnsi" w:hAnsiTheme="minorHAnsi" w:cstheme="minorHAnsi"/>
        </w:rPr>
      </w:pPr>
      <w:r w:rsidRPr="00E01239">
        <w:rPr>
          <w:rFonts w:asciiTheme="minorHAnsi" w:hAnsiTheme="minorHAnsi" w:cstheme="minorHAnsi"/>
        </w:rPr>
        <w:t xml:space="preserve"> </w:t>
      </w:r>
      <w:bookmarkStart w:id="509" w:name="_Toc144654076"/>
      <w:bookmarkStart w:id="510" w:name="_Toc84845162"/>
      <w:r w:rsidRPr="00E01239">
        <w:rPr>
          <w:rFonts w:asciiTheme="minorHAnsi" w:hAnsiTheme="minorHAnsi" w:cstheme="minorHAnsi"/>
        </w:rPr>
        <w:t>Occupation du sol</w:t>
      </w:r>
      <w:bookmarkEnd w:id="509"/>
      <w:r w:rsidRPr="00E01239">
        <w:rPr>
          <w:rFonts w:asciiTheme="minorHAnsi" w:hAnsiTheme="minorHAnsi" w:cstheme="minorHAnsi"/>
        </w:rPr>
        <w:t xml:space="preserve"> </w:t>
      </w:r>
      <w:bookmarkEnd w:id="510"/>
    </w:p>
    <w:p w14:paraId="5F4ED0A2" w14:textId="07783C91"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L’analyse de l’occupation dans la zone des Niayes permet de distinguer plusieurs classes constituées par la végétation naturelle essentiellement constituée par les formations de type steppe, savane arbustive et des plantations forestières (bande de filaos sur 180 km ayant protégé les cuvettes maraîchères ;</w:t>
      </w:r>
      <w:r w:rsidR="00A312BF" w:rsidRPr="00E01239">
        <w:rPr>
          <w:rFonts w:asciiTheme="minorHAnsi" w:hAnsiTheme="minorHAnsi" w:cstheme="minorHAnsi"/>
          <w:sz w:val="22"/>
          <w:szCs w:val="22"/>
          <w:lang w:eastAsia="en-US"/>
        </w:rPr>
        <w:t xml:space="preserve"> </w:t>
      </w:r>
      <w:r w:rsidRPr="00E01239">
        <w:rPr>
          <w:rFonts w:asciiTheme="minorHAnsi" w:hAnsiTheme="minorHAnsi" w:cstheme="minorHAnsi"/>
          <w:sz w:val="22"/>
          <w:szCs w:val="22"/>
          <w:lang w:eastAsia="en-US"/>
        </w:rPr>
        <w:t>le territoire agricole avec les activités maraichères malgré l’avancée de cultures pluviales ;</w:t>
      </w:r>
      <w:r w:rsidR="00A312BF" w:rsidRPr="00E01239">
        <w:rPr>
          <w:rFonts w:asciiTheme="minorHAnsi" w:hAnsiTheme="minorHAnsi" w:cstheme="minorHAnsi"/>
          <w:sz w:val="22"/>
          <w:szCs w:val="22"/>
          <w:lang w:eastAsia="en-US"/>
        </w:rPr>
        <w:t xml:space="preserve"> </w:t>
      </w:r>
      <w:r w:rsidRPr="00E01239">
        <w:rPr>
          <w:rFonts w:asciiTheme="minorHAnsi" w:hAnsiTheme="minorHAnsi" w:cstheme="minorHAnsi"/>
          <w:sz w:val="22"/>
          <w:szCs w:val="22"/>
          <w:lang w:eastAsia="en-US"/>
        </w:rPr>
        <w:t>les zones humides constituées des mares et exutoires du réseau hydrographique (lacs) </w:t>
      </w:r>
      <w:r w:rsidR="00A312BF" w:rsidRPr="00E01239">
        <w:rPr>
          <w:rFonts w:asciiTheme="minorHAnsi" w:hAnsiTheme="minorHAnsi" w:cstheme="minorHAnsi"/>
          <w:sz w:val="22"/>
          <w:szCs w:val="22"/>
          <w:lang w:eastAsia="en-US"/>
        </w:rPr>
        <w:t xml:space="preserve">et </w:t>
      </w:r>
      <w:r w:rsidRPr="00E01239">
        <w:rPr>
          <w:rFonts w:asciiTheme="minorHAnsi" w:hAnsiTheme="minorHAnsi" w:cstheme="minorHAnsi"/>
          <w:sz w:val="22"/>
          <w:szCs w:val="22"/>
          <w:lang w:eastAsia="en-US"/>
        </w:rPr>
        <w:t>le territoire peu ou pas végétalisé formé des dunes vives.</w:t>
      </w:r>
    </w:p>
    <w:p w14:paraId="6DA6C871"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p>
    <w:p w14:paraId="326495FB" w14:textId="77777777" w:rsidR="008E4D64" w:rsidRPr="00E01239" w:rsidRDefault="21A48B5C" w:rsidP="00027669">
      <w:pPr>
        <w:pStyle w:val="Titre2"/>
        <w:numPr>
          <w:ilvl w:val="1"/>
          <w:numId w:val="171"/>
        </w:numPr>
        <w:tabs>
          <w:tab w:val="num" w:pos="360"/>
        </w:tabs>
        <w:ind w:left="644" w:hanging="360"/>
        <w:rPr>
          <w:rFonts w:asciiTheme="minorHAnsi" w:hAnsiTheme="minorHAnsi" w:cstheme="minorHAnsi"/>
          <w:color w:val="auto"/>
        </w:rPr>
      </w:pPr>
      <w:bookmarkStart w:id="511" w:name="_Toc84845163"/>
      <w:bookmarkStart w:id="512" w:name="_Toc144654077"/>
      <w:bookmarkEnd w:id="503"/>
      <w:r w:rsidRPr="00E01239">
        <w:rPr>
          <w:rFonts w:asciiTheme="minorHAnsi" w:hAnsiTheme="minorHAnsi" w:cstheme="minorBidi"/>
          <w:color w:val="auto"/>
        </w:rPr>
        <w:t>DESCRIPTIF BIOPHYSIQUE DU BASSIN ARACHIDIER</w:t>
      </w:r>
      <w:bookmarkEnd w:id="511"/>
      <w:bookmarkEnd w:id="512"/>
    </w:p>
    <w:p w14:paraId="57DA8CA2" w14:textId="7711A4A0"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 xml:space="preserve">Le Bassin arachidier (57% des terres arables) fournit l’essentiel de la production agricole avec principalement l’arachide malgré la diversification comme stratégie d’adaptation </w:t>
      </w:r>
      <w:r w:rsidR="00076CD8">
        <w:rPr>
          <w:rFonts w:asciiTheme="minorHAnsi" w:hAnsiTheme="minorHAnsi" w:cstheme="minorHAnsi"/>
          <w:sz w:val="22"/>
          <w:szCs w:val="22"/>
          <w:lang w:eastAsia="en-US"/>
        </w:rPr>
        <w:t xml:space="preserve">aux </w:t>
      </w:r>
      <w:r w:rsidRPr="00E01239">
        <w:rPr>
          <w:rFonts w:asciiTheme="minorHAnsi" w:hAnsiTheme="minorHAnsi" w:cstheme="minorHAnsi"/>
          <w:sz w:val="22"/>
          <w:szCs w:val="22"/>
          <w:lang w:eastAsia="en-US"/>
        </w:rPr>
        <w:t>changements globaux. Il se caractérise par un recul des formations végétales, un tarissement des points d’eau et une salinisation des nappes.</w:t>
      </w:r>
    </w:p>
    <w:p w14:paraId="76520382" w14:textId="77777777" w:rsidR="008E4D64" w:rsidRPr="00E01239" w:rsidRDefault="008E4D64" w:rsidP="008E4D64">
      <w:pPr>
        <w:spacing w:line="360" w:lineRule="auto"/>
        <w:jc w:val="both"/>
        <w:rPr>
          <w:rFonts w:asciiTheme="minorHAnsi" w:hAnsiTheme="minorHAnsi" w:cstheme="minorHAnsi"/>
          <w:sz w:val="22"/>
          <w:szCs w:val="22"/>
          <w:lang w:eastAsia="en-US"/>
        </w:rPr>
      </w:pPr>
    </w:p>
    <w:p w14:paraId="435D7834" w14:textId="3F56564E" w:rsidR="008E4D64" w:rsidRPr="00E01239" w:rsidRDefault="00C513DB" w:rsidP="00522938">
      <w:pPr>
        <w:pStyle w:val="Titre3"/>
        <w:numPr>
          <w:ilvl w:val="0"/>
          <w:numId w:val="0"/>
        </w:numPr>
        <w:ind w:left="2422"/>
        <w:rPr>
          <w:rFonts w:asciiTheme="minorHAnsi" w:hAnsiTheme="minorHAnsi" w:cstheme="minorHAnsi"/>
        </w:rPr>
      </w:pPr>
      <w:bookmarkStart w:id="513" w:name="_Toc84845164"/>
      <w:bookmarkStart w:id="514" w:name="_Toc144654078"/>
      <w:r>
        <w:rPr>
          <w:rFonts w:asciiTheme="minorHAnsi" w:hAnsiTheme="minorHAnsi" w:cstheme="minorHAnsi"/>
        </w:rPr>
        <w:t xml:space="preserve">4.2.1. </w:t>
      </w:r>
      <w:r w:rsidR="008E4D64" w:rsidRPr="00E01239">
        <w:rPr>
          <w:rFonts w:asciiTheme="minorHAnsi" w:hAnsiTheme="minorHAnsi" w:cstheme="minorHAnsi"/>
        </w:rPr>
        <w:t>Environnement physique</w:t>
      </w:r>
      <w:bookmarkEnd w:id="513"/>
      <w:bookmarkEnd w:id="514"/>
    </w:p>
    <w:p w14:paraId="73D944F8" w14:textId="77777777" w:rsidR="008E4D64" w:rsidRPr="00E01239" w:rsidRDefault="008E4D64" w:rsidP="00202CE9">
      <w:pPr>
        <w:spacing w:before="120" w:line="280" w:lineRule="exact"/>
        <w:jc w:val="both"/>
        <w:rPr>
          <w:rFonts w:asciiTheme="minorHAnsi" w:hAnsiTheme="minorHAnsi" w:cstheme="minorHAnsi"/>
          <w:sz w:val="22"/>
          <w:szCs w:val="22"/>
          <w:u w:val="single"/>
          <w:lang w:eastAsia="en-US"/>
        </w:rPr>
      </w:pPr>
      <w:bookmarkStart w:id="515" w:name="_Toc84845165"/>
      <w:r w:rsidRPr="00E01239">
        <w:rPr>
          <w:rFonts w:asciiTheme="minorHAnsi" w:hAnsiTheme="minorHAnsi" w:cstheme="minorHAnsi"/>
          <w:sz w:val="22"/>
          <w:szCs w:val="22"/>
          <w:u w:val="single"/>
          <w:lang w:eastAsia="en-US"/>
        </w:rPr>
        <w:t>Climatologie</w:t>
      </w:r>
      <w:bookmarkEnd w:id="515"/>
      <w:r w:rsidRPr="00E01239">
        <w:rPr>
          <w:rFonts w:asciiTheme="minorHAnsi" w:hAnsiTheme="minorHAnsi" w:cstheme="minorHAnsi"/>
          <w:sz w:val="22"/>
          <w:szCs w:val="22"/>
          <w:u w:val="single"/>
          <w:lang w:eastAsia="en-US"/>
        </w:rPr>
        <w:t xml:space="preserve"> </w:t>
      </w:r>
    </w:p>
    <w:p w14:paraId="7137D560" w14:textId="3E115C60" w:rsidR="008E4D64" w:rsidRPr="00E01239" w:rsidRDefault="009569B2"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Le</w:t>
      </w:r>
      <w:r w:rsidR="008E4D64" w:rsidRPr="00E01239">
        <w:rPr>
          <w:rFonts w:asciiTheme="minorHAnsi" w:hAnsiTheme="minorHAnsi" w:cstheme="minorHAnsi"/>
          <w:sz w:val="22"/>
          <w:szCs w:val="22"/>
          <w:lang w:eastAsia="en-US"/>
        </w:rPr>
        <w:t xml:space="preserve"> climat est de type sahélien au Nord et sahélo-soudanien vers le Sud avec une variabilité pluviométrique du Nord au Sud (moyennes annuelles entre 400 à 600 mm). Il est marqué, d’une part, par une saison sèche d’</w:t>
      </w:r>
      <w:r w:rsidRPr="00E01239">
        <w:rPr>
          <w:rFonts w:asciiTheme="minorHAnsi" w:hAnsiTheme="minorHAnsi" w:cstheme="minorHAnsi"/>
          <w:sz w:val="22"/>
          <w:szCs w:val="22"/>
          <w:lang w:eastAsia="en-US"/>
        </w:rPr>
        <w:t>o</w:t>
      </w:r>
      <w:r w:rsidR="008E4D64" w:rsidRPr="00E01239">
        <w:rPr>
          <w:rFonts w:asciiTheme="minorHAnsi" w:hAnsiTheme="minorHAnsi" w:cstheme="minorHAnsi"/>
          <w:sz w:val="22"/>
          <w:szCs w:val="22"/>
          <w:lang w:eastAsia="en-US"/>
        </w:rPr>
        <w:t xml:space="preserve">ctobre à </w:t>
      </w:r>
      <w:r w:rsidRPr="00E01239">
        <w:rPr>
          <w:rFonts w:asciiTheme="minorHAnsi" w:hAnsiTheme="minorHAnsi" w:cstheme="minorHAnsi"/>
          <w:sz w:val="22"/>
          <w:szCs w:val="22"/>
          <w:lang w:eastAsia="en-US"/>
        </w:rPr>
        <w:t>juillet</w:t>
      </w:r>
      <w:r w:rsidR="008E4D64" w:rsidRPr="00E01239">
        <w:rPr>
          <w:rFonts w:asciiTheme="minorHAnsi" w:hAnsiTheme="minorHAnsi" w:cstheme="minorHAnsi"/>
          <w:sz w:val="22"/>
          <w:szCs w:val="22"/>
          <w:lang w:eastAsia="en-US"/>
        </w:rPr>
        <w:t xml:space="preserve"> favorable aux cultures fruitières, au maraîchage et aux productions animales, avec des températures</w:t>
      </w:r>
      <w:r w:rsidRPr="00E01239">
        <w:rPr>
          <w:rFonts w:asciiTheme="minorHAnsi" w:hAnsiTheme="minorHAnsi" w:cstheme="minorHAnsi"/>
          <w:sz w:val="22"/>
          <w:szCs w:val="22"/>
          <w:lang w:eastAsia="en-US"/>
        </w:rPr>
        <w:t>,</w:t>
      </w:r>
      <w:r w:rsidR="008E4D64" w:rsidRPr="00E01239">
        <w:rPr>
          <w:rFonts w:asciiTheme="minorHAnsi" w:hAnsiTheme="minorHAnsi" w:cstheme="minorHAnsi"/>
          <w:sz w:val="22"/>
          <w:szCs w:val="22"/>
          <w:lang w:eastAsia="en-US"/>
        </w:rPr>
        <w:t xml:space="preserve"> variant entre 38° C et 41° C surtout avec l’influence de </w:t>
      </w:r>
      <w:proofErr w:type="spellStart"/>
      <w:r w:rsidR="008E4D64" w:rsidRPr="00E01239">
        <w:rPr>
          <w:rFonts w:asciiTheme="minorHAnsi" w:hAnsiTheme="minorHAnsi" w:cstheme="minorHAnsi"/>
          <w:sz w:val="22"/>
          <w:szCs w:val="22"/>
          <w:lang w:eastAsia="en-US"/>
        </w:rPr>
        <w:t>l’harmattan</w:t>
      </w:r>
      <w:proofErr w:type="spellEnd"/>
      <w:r w:rsidR="008E4D64" w:rsidRPr="00E01239">
        <w:rPr>
          <w:rFonts w:asciiTheme="minorHAnsi" w:hAnsiTheme="minorHAnsi" w:cstheme="minorHAnsi"/>
          <w:sz w:val="22"/>
          <w:szCs w:val="22"/>
          <w:lang w:eastAsia="en-US"/>
        </w:rPr>
        <w:t xml:space="preserve"> et d’autre part, par une saison pluvieuse de </w:t>
      </w:r>
      <w:r w:rsidRPr="00E01239">
        <w:rPr>
          <w:rFonts w:asciiTheme="minorHAnsi" w:hAnsiTheme="minorHAnsi" w:cstheme="minorHAnsi"/>
          <w:sz w:val="22"/>
          <w:szCs w:val="22"/>
          <w:lang w:eastAsia="en-US"/>
        </w:rPr>
        <w:t>juillet</w:t>
      </w:r>
      <w:r w:rsidR="008E4D64" w:rsidRPr="00E01239">
        <w:rPr>
          <w:rFonts w:asciiTheme="minorHAnsi" w:hAnsiTheme="minorHAnsi" w:cstheme="minorHAnsi"/>
          <w:sz w:val="22"/>
          <w:szCs w:val="22"/>
          <w:lang w:eastAsia="en-US"/>
        </w:rPr>
        <w:t xml:space="preserve"> à </w:t>
      </w:r>
      <w:r w:rsidRPr="00E01239">
        <w:rPr>
          <w:rFonts w:asciiTheme="minorHAnsi" w:hAnsiTheme="minorHAnsi" w:cstheme="minorHAnsi"/>
          <w:sz w:val="22"/>
          <w:szCs w:val="22"/>
          <w:lang w:eastAsia="en-US"/>
        </w:rPr>
        <w:t>o</w:t>
      </w:r>
      <w:r w:rsidR="008E4D64" w:rsidRPr="00E01239">
        <w:rPr>
          <w:rFonts w:asciiTheme="minorHAnsi" w:hAnsiTheme="minorHAnsi" w:cstheme="minorHAnsi"/>
          <w:sz w:val="22"/>
          <w:szCs w:val="22"/>
          <w:lang w:eastAsia="en-US"/>
        </w:rPr>
        <w:t xml:space="preserve">ctobre (isohyètes 400-500mm au Nord et 800-900mm au Sud). </w:t>
      </w:r>
    </w:p>
    <w:p w14:paraId="0601CAAD" w14:textId="77777777" w:rsidR="008E4D64" w:rsidRPr="00E01239" w:rsidRDefault="008E4D64" w:rsidP="00202CE9">
      <w:pPr>
        <w:spacing w:before="120" w:line="280" w:lineRule="exact"/>
        <w:jc w:val="both"/>
        <w:rPr>
          <w:rFonts w:asciiTheme="minorHAnsi" w:hAnsiTheme="minorHAnsi" w:cstheme="minorHAnsi"/>
          <w:sz w:val="22"/>
          <w:szCs w:val="22"/>
          <w:u w:val="single"/>
          <w:lang w:eastAsia="en-US"/>
        </w:rPr>
      </w:pPr>
      <w:bookmarkStart w:id="516" w:name="_Toc84845166"/>
      <w:r w:rsidRPr="00E01239">
        <w:rPr>
          <w:rFonts w:asciiTheme="minorHAnsi" w:hAnsiTheme="minorHAnsi" w:cstheme="minorHAnsi"/>
          <w:sz w:val="22"/>
          <w:szCs w:val="22"/>
          <w:u w:val="single"/>
          <w:lang w:eastAsia="en-US"/>
        </w:rPr>
        <w:t>Géologie de la zone</w:t>
      </w:r>
      <w:bookmarkEnd w:id="516"/>
    </w:p>
    <w:p w14:paraId="0DC8F9A3"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Les formations du Primaire et du Précambrien caractérisent principalement le Bassin arachidier. Les formations sédimentaires présentent des nappes intercalaires de très grandes dimensions tel que le Maestrichtien du continental intercalaire qui donne des nappes de très grands débits ; au moment où la diminution de la pluviométrie compromet la recharge des eaux souterraines soumises à une forte exploitation (Diouf, 2004).</w:t>
      </w:r>
    </w:p>
    <w:p w14:paraId="721D8AD3"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Le relief est relativement plat avec une vaste plaine dépassant rarement 100 m tout en s’abaissant régulièrement vers la mer.</w:t>
      </w:r>
    </w:p>
    <w:p w14:paraId="7263ABB9" w14:textId="77777777" w:rsidR="008E4D64" w:rsidRPr="00E01239" w:rsidRDefault="008E4D64" w:rsidP="00202CE9">
      <w:pPr>
        <w:spacing w:before="120" w:line="280" w:lineRule="exact"/>
        <w:jc w:val="both"/>
        <w:rPr>
          <w:rFonts w:asciiTheme="minorHAnsi" w:hAnsiTheme="minorHAnsi" w:cstheme="minorHAnsi"/>
          <w:sz w:val="22"/>
          <w:szCs w:val="22"/>
          <w:u w:val="single"/>
          <w:lang w:eastAsia="en-US"/>
        </w:rPr>
      </w:pPr>
      <w:bookmarkStart w:id="517" w:name="_Toc84845168"/>
      <w:r w:rsidRPr="00E01239">
        <w:rPr>
          <w:rFonts w:asciiTheme="minorHAnsi" w:hAnsiTheme="minorHAnsi" w:cstheme="minorHAnsi"/>
          <w:sz w:val="22"/>
          <w:szCs w:val="22"/>
          <w:u w:val="single"/>
          <w:lang w:eastAsia="en-US"/>
        </w:rPr>
        <w:t>Ressources pédologiques</w:t>
      </w:r>
      <w:bookmarkEnd w:id="517"/>
      <w:r w:rsidRPr="00E01239">
        <w:rPr>
          <w:rFonts w:asciiTheme="minorHAnsi" w:hAnsiTheme="minorHAnsi" w:cstheme="minorHAnsi"/>
          <w:sz w:val="22"/>
          <w:szCs w:val="22"/>
          <w:u w:val="single"/>
          <w:lang w:eastAsia="en-US"/>
        </w:rPr>
        <w:t xml:space="preserve"> </w:t>
      </w:r>
    </w:p>
    <w:p w14:paraId="74BFC7C6"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lastRenderedPageBreak/>
        <w:t xml:space="preserve">Le profil pédologique du bassin arachidier permet de distinguer quatre types de sols du Nord au Sud. Il s’agit des : </w:t>
      </w:r>
    </w:p>
    <w:p w14:paraId="7C5FE299" w14:textId="3B11A352" w:rsidR="008E4D64" w:rsidRPr="00E01239" w:rsidRDefault="00B242EA" w:rsidP="00027669">
      <w:pPr>
        <w:pStyle w:val="Paragraphedeliste"/>
        <w:numPr>
          <w:ilvl w:val="0"/>
          <w:numId w:val="174"/>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Sols</w:t>
      </w:r>
      <w:r w:rsidR="008E4D64" w:rsidRPr="00E01239">
        <w:rPr>
          <w:rFonts w:asciiTheme="minorHAnsi" w:hAnsiTheme="minorHAnsi" w:cstheme="minorHAnsi"/>
          <w:sz w:val="22"/>
          <w:szCs w:val="22"/>
          <w:lang w:eastAsia="en-US"/>
        </w:rPr>
        <w:t xml:space="preserve"> </w:t>
      </w:r>
      <w:proofErr w:type="spellStart"/>
      <w:r w:rsidR="008E4D64" w:rsidRPr="00E01239">
        <w:rPr>
          <w:rFonts w:asciiTheme="minorHAnsi" w:hAnsiTheme="minorHAnsi" w:cstheme="minorHAnsi"/>
          <w:sz w:val="22"/>
          <w:szCs w:val="22"/>
          <w:lang w:eastAsia="en-US"/>
        </w:rPr>
        <w:t>dior</w:t>
      </w:r>
      <w:proofErr w:type="spellEnd"/>
      <w:r w:rsidR="008E4D64" w:rsidRPr="00E01239">
        <w:rPr>
          <w:rFonts w:asciiTheme="minorHAnsi" w:hAnsiTheme="minorHAnsi" w:cstheme="minorHAnsi"/>
          <w:sz w:val="22"/>
          <w:szCs w:val="22"/>
          <w:lang w:eastAsia="en-US"/>
        </w:rPr>
        <w:t xml:space="preserve"> : sols ferrugineux tropicaux non lessivés, sablonneux, profonds et pauvres souvent réservés à la culture de l'arachide, du mil, du niébé, etc. </w:t>
      </w:r>
    </w:p>
    <w:p w14:paraId="0585088A" w14:textId="2EB34F77" w:rsidR="008E4D64" w:rsidRPr="00E01239" w:rsidRDefault="00B242EA" w:rsidP="00027669">
      <w:pPr>
        <w:pStyle w:val="Paragraphedeliste"/>
        <w:numPr>
          <w:ilvl w:val="0"/>
          <w:numId w:val="174"/>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Sols</w:t>
      </w:r>
      <w:r w:rsidR="008E4D64" w:rsidRPr="00E01239">
        <w:rPr>
          <w:rFonts w:asciiTheme="minorHAnsi" w:hAnsiTheme="minorHAnsi" w:cstheme="minorHAnsi"/>
          <w:sz w:val="22"/>
          <w:szCs w:val="22"/>
          <w:lang w:eastAsia="en-US"/>
        </w:rPr>
        <w:t xml:space="preserve"> deck : sols hydromorphes, lourds, argileux moins perméables à l'eau qui occupent les bas -fonds et les dépressions au milieu des sols </w:t>
      </w:r>
      <w:proofErr w:type="spellStart"/>
      <w:r w:rsidR="008E4D64" w:rsidRPr="00E01239">
        <w:rPr>
          <w:rFonts w:asciiTheme="minorHAnsi" w:hAnsiTheme="minorHAnsi" w:cstheme="minorHAnsi"/>
          <w:sz w:val="22"/>
          <w:szCs w:val="22"/>
          <w:lang w:eastAsia="en-US"/>
        </w:rPr>
        <w:t>dior</w:t>
      </w:r>
      <w:proofErr w:type="spellEnd"/>
      <w:r w:rsidR="008E4D64" w:rsidRPr="00E01239">
        <w:rPr>
          <w:rFonts w:asciiTheme="minorHAnsi" w:hAnsiTheme="minorHAnsi" w:cstheme="minorHAnsi"/>
          <w:sz w:val="22"/>
          <w:szCs w:val="22"/>
          <w:lang w:eastAsia="en-US"/>
        </w:rPr>
        <w:t xml:space="preserve">. </w:t>
      </w:r>
    </w:p>
    <w:p w14:paraId="5BA53A79" w14:textId="2FFC576E" w:rsidR="008E4D64" w:rsidRPr="00E01239" w:rsidRDefault="00B242EA" w:rsidP="00027669">
      <w:pPr>
        <w:pStyle w:val="Paragraphedeliste"/>
        <w:numPr>
          <w:ilvl w:val="0"/>
          <w:numId w:val="174"/>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Sols</w:t>
      </w:r>
      <w:r w:rsidR="008E4D64" w:rsidRPr="00E01239">
        <w:rPr>
          <w:rFonts w:asciiTheme="minorHAnsi" w:hAnsiTheme="minorHAnsi" w:cstheme="minorHAnsi"/>
          <w:sz w:val="22"/>
          <w:szCs w:val="22"/>
          <w:lang w:eastAsia="en-US"/>
        </w:rPr>
        <w:t xml:space="preserve"> deck-</w:t>
      </w:r>
      <w:proofErr w:type="spellStart"/>
      <w:r w:rsidR="008E4D64" w:rsidRPr="00E01239">
        <w:rPr>
          <w:rFonts w:asciiTheme="minorHAnsi" w:hAnsiTheme="minorHAnsi" w:cstheme="minorHAnsi"/>
          <w:sz w:val="22"/>
          <w:szCs w:val="22"/>
          <w:lang w:eastAsia="en-US"/>
        </w:rPr>
        <w:t>dior</w:t>
      </w:r>
      <w:proofErr w:type="spellEnd"/>
      <w:r w:rsidR="008E4D64" w:rsidRPr="00E01239">
        <w:rPr>
          <w:rFonts w:asciiTheme="minorHAnsi" w:hAnsiTheme="minorHAnsi" w:cstheme="minorHAnsi"/>
          <w:sz w:val="22"/>
          <w:szCs w:val="22"/>
          <w:lang w:eastAsia="en-US"/>
        </w:rPr>
        <w:t> : intermédiaires entre les deux premiers, sols ferrugineux tropicaux lessivés avec une texture sablo-argileuse.</w:t>
      </w:r>
    </w:p>
    <w:p w14:paraId="6CC11177" w14:textId="7EB2F092" w:rsidR="008E4D64" w:rsidRPr="00E01239" w:rsidRDefault="00B242EA" w:rsidP="00027669">
      <w:pPr>
        <w:pStyle w:val="Paragraphedeliste"/>
        <w:numPr>
          <w:ilvl w:val="0"/>
          <w:numId w:val="174"/>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Sols</w:t>
      </w:r>
      <w:r w:rsidR="008E4D64" w:rsidRPr="00E01239">
        <w:rPr>
          <w:rFonts w:asciiTheme="minorHAnsi" w:hAnsiTheme="minorHAnsi" w:cstheme="minorHAnsi"/>
          <w:sz w:val="22"/>
          <w:szCs w:val="22"/>
          <w:lang w:eastAsia="en-US"/>
        </w:rPr>
        <w:t xml:space="preserve"> ferralitiques : sols peu lessivés, d'une épaisseur de 3 m environ</w:t>
      </w:r>
      <w:r w:rsidR="008E4D64" w:rsidRPr="00E01239" w:rsidDel="00F74528">
        <w:rPr>
          <w:rFonts w:asciiTheme="minorHAnsi" w:hAnsiTheme="minorHAnsi" w:cstheme="minorHAnsi"/>
          <w:sz w:val="22"/>
          <w:szCs w:val="22"/>
          <w:lang w:eastAsia="en-US"/>
        </w:rPr>
        <w:t xml:space="preserve"> </w:t>
      </w:r>
    </w:p>
    <w:p w14:paraId="45C7F672"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 xml:space="preserve">Il faut aussi noter l’existence d'une cuirasse ferrugineuse dont la fragmentation en surface a donné des sols caillouteux, des sols peu évolués d'érosion, des terrains calcaires et marneux et des vertisols. </w:t>
      </w:r>
      <w:proofErr w:type="gramStart"/>
      <w:r w:rsidRPr="00E01239">
        <w:rPr>
          <w:rFonts w:asciiTheme="minorHAnsi" w:hAnsiTheme="minorHAnsi" w:cstheme="minorHAnsi"/>
          <w:sz w:val="22"/>
          <w:szCs w:val="22"/>
          <w:lang w:eastAsia="en-US"/>
        </w:rPr>
        <w:t>il</w:t>
      </w:r>
      <w:proofErr w:type="gramEnd"/>
      <w:r w:rsidRPr="00E01239">
        <w:rPr>
          <w:rFonts w:asciiTheme="minorHAnsi" w:hAnsiTheme="minorHAnsi" w:cstheme="minorHAnsi"/>
          <w:sz w:val="22"/>
          <w:szCs w:val="22"/>
          <w:lang w:eastAsia="en-US"/>
        </w:rPr>
        <w:t xml:space="preserve"> y a également des sols sulfatés acides dans le domaine fluviomarin du delta du Saloum et des sols hydromorphes au niveau des vallées fossiles et des dépressions (PDMAS, 2004).</w:t>
      </w:r>
    </w:p>
    <w:p w14:paraId="234642C4" w14:textId="77777777" w:rsidR="008E4D64" w:rsidRPr="00E01239" w:rsidRDefault="008E4D64" w:rsidP="00202CE9">
      <w:pPr>
        <w:spacing w:before="120" w:line="280" w:lineRule="exact"/>
        <w:jc w:val="both"/>
        <w:rPr>
          <w:rFonts w:asciiTheme="minorHAnsi" w:hAnsiTheme="minorHAnsi" w:cstheme="minorHAnsi"/>
          <w:sz w:val="22"/>
          <w:szCs w:val="22"/>
          <w:u w:val="single"/>
          <w:lang w:eastAsia="en-US"/>
        </w:rPr>
      </w:pPr>
      <w:bookmarkStart w:id="518" w:name="_Toc84845169"/>
      <w:r w:rsidRPr="00E01239">
        <w:rPr>
          <w:rFonts w:asciiTheme="minorHAnsi" w:hAnsiTheme="minorHAnsi" w:cstheme="minorHAnsi"/>
          <w:sz w:val="22"/>
          <w:szCs w:val="22"/>
          <w:u w:val="single"/>
          <w:lang w:eastAsia="en-US"/>
        </w:rPr>
        <w:t>Ressources en eau</w:t>
      </w:r>
      <w:bookmarkEnd w:id="518"/>
      <w:r w:rsidRPr="00E01239">
        <w:rPr>
          <w:rFonts w:asciiTheme="minorHAnsi" w:hAnsiTheme="minorHAnsi" w:cstheme="minorHAnsi"/>
          <w:sz w:val="22"/>
          <w:szCs w:val="22"/>
          <w:u w:val="single"/>
          <w:lang w:eastAsia="en-US"/>
        </w:rPr>
        <w:t xml:space="preserve"> </w:t>
      </w:r>
    </w:p>
    <w:p w14:paraId="090D4938"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Le système hydrographique de la région est caractérisé par deux cours d’eaux principaux :</w:t>
      </w:r>
    </w:p>
    <w:p w14:paraId="5DBEA97B" w14:textId="60F6CF1F" w:rsidR="008E4D64" w:rsidRPr="00E01239" w:rsidRDefault="008E4D64" w:rsidP="00027669">
      <w:pPr>
        <w:pStyle w:val="Paragraphedeliste"/>
        <w:numPr>
          <w:ilvl w:val="0"/>
          <w:numId w:val="175"/>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Le prolongement du Nord du « Saloum », cours d’eau salé pérenne qui s’étend sur 50 km environ dans le département de Kaolack.</w:t>
      </w:r>
    </w:p>
    <w:p w14:paraId="7678C01A" w14:textId="77777777" w:rsidR="008E4D64" w:rsidRPr="00E01239" w:rsidRDefault="008E4D64" w:rsidP="00027669">
      <w:pPr>
        <w:pStyle w:val="Paragraphedeliste"/>
        <w:numPr>
          <w:ilvl w:val="0"/>
          <w:numId w:val="175"/>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 xml:space="preserve">Le </w:t>
      </w:r>
      <w:proofErr w:type="spellStart"/>
      <w:r w:rsidRPr="00E01239">
        <w:rPr>
          <w:rFonts w:asciiTheme="minorHAnsi" w:hAnsiTheme="minorHAnsi" w:cstheme="minorHAnsi"/>
          <w:sz w:val="22"/>
          <w:szCs w:val="22"/>
          <w:lang w:eastAsia="en-US"/>
        </w:rPr>
        <w:t>Baobolong</w:t>
      </w:r>
      <w:proofErr w:type="spellEnd"/>
      <w:r w:rsidRPr="00E01239">
        <w:rPr>
          <w:rFonts w:asciiTheme="minorHAnsi" w:hAnsiTheme="minorHAnsi" w:cstheme="minorHAnsi"/>
          <w:sz w:val="22"/>
          <w:szCs w:val="22"/>
          <w:lang w:eastAsia="en-US"/>
        </w:rPr>
        <w:t xml:space="preserve"> (150 km), défluent du fleuve Gambie, s’assèche dans sa partie aval en milieu de saison sèche, avec des eaux douces en saison des pluies et salées en saison sèche. </w:t>
      </w:r>
    </w:p>
    <w:p w14:paraId="116E9F48"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Il y a également plusieurs mares temporaires où s’abreuve le bétail avec des activités de pêche.</w:t>
      </w:r>
    </w:p>
    <w:p w14:paraId="6D7EC13E" w14:textId="77777777" w:rsidR="008E4D64" w:rsidRPr="00E01239" w:rsidRDefault="008E4D64" w:rsidP="00202CE9">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Sur le plan hydrogéologique, le Bassin Arachidier est caractérisé par 5 nappes situées à différents niveaux géologiques :</w:t>
      </w:r>
    </w:p>
    <w:p w14:paraId="32C85A64" w14:textId="31C41A89" w:rsidR="008E4D64" w:rsidRPr="00E01239" w:rsidRDefault="00E40E22" w:rsidP="00027669">
      <w:pPr>
        <w:pStyle w:val="Paragraphedeliste"/>
        <w:numPr>
          <w:ilvl w:val="0"/>
          <w:numId w:val="175"/>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La</w:t>
      </w:r>
      <w:r w:rsidR="008E4D64" w:rsidRPr="00E01239">
        <w:rPr>
          <w:rFonts w:asciiTheme="minorHAnsi" w:hAnsiTheme="minorHAnsi" w:cstheme="minorHAnsi"/>
          <w:sz w:val="22"/>
          <w:szCs w:val="22"/>
          <w:lang w:eastAsia="en-US"/>
        </w:rPr>
        <w:t xml:space="preserve"> nappe phréatique, dont l’importance est liée à la pluviométrie, est captée par les puits villageois malgré son altération à certains endroits.</w:t>
      </w:r>
    </w:p>
    <w:p w14:paraId="4B407356" w14:textId="4B3AB93C" w:rsidR="008E4D64" w:rsidRPr="00E01239" w:rsidRDefault="00E40E22" w:rsidP="00027669">
      <w:pPr>
        <w:pStyle w:val="Paragraphedeliste"/>
        <w:numPr>
          <w:ilvl w:val="0"/>
          <w:numId w:val="175"/>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La</w:t>
      </w:r>
      <w:r w:rsidR="008E4D64" w:rsidRPr="00E01239">
        <w:rPr>
          <w:rFonts w:asciiTheme="minorHAnsi" w:hAnsiTheme="minorHAnsi" w:cstheme="minorHAnsi"/>
          <w:sz w:val="22"/>
          <w:szCs w:val="22"/>
          <w:lang w:eastAsia="en-US"/>
        </w:rPr>
        <w:t xml:space="preserve"> nappe des sables du continental terminal entre 80m à 160m, avec une bonne qualité chimique et des débits satisfaisants (25 m3/h),</w:t>
      </w:r>
    </w:p>
    <w:p w14:paraId="02958F40" w14:textId="26E106DE" w:rsidR="008E4D64" w:rsidRPr="00E01239" w:rsidRDefault="00E40E22" w:rsidP="00027669">
      <w:pPr>
        <w:pStyle w:val="Paragraphedeliste"/>
        <w:numPr>
          <w:ilvl w:val="0"/>
          <w:numId w:val="175"/>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La</w:t>
      </w:r>
      <w:r w:rsidR="008E4D64" w:rsidRPr="00E01239">
        <w:rPr>
          <w:rFonts w:asciiTheme="minorHAnsi" w:hAnsiTheme="minorHAnsi" w:cstheme="minorHAnsi"/>
          <w:sz w:val="22"/>
          <w:szCs w:val="22"/>
          <w:lang w:eastAsia="en-US"/>
        </w:rPr>
        <w:t xml:space="preserve"> nappe des calcaires éocènes avec une profondeur de 50 à 150m avec des débits faibles et eau impropre à la consommation.</w:t>
      </w:r>
    </w:p>
    <w:p w14:paraId="3EA53808" w14:textId="21D144D9" w:rsidR="008E4D64" w:rsidRPr="00E01239" w:rsidRDefault="00E40E22" w:rsidP="00027669">
      <w:pPr>
        <w:pStyle w:val="Paragraphedeliste"/>
        <w:numPr>
          <w:ilvl w:val="0"/>
          <w:numId w:val="175"/>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La</w:t>
      </w:r>
      <w:r w:rsidR="008E4D64" w:rsidRPr="00E01239">
        <w:rPr>
          <w:rFonts w:asciiTheme="minorHAnsi" w:hAnsiTheme="minorHAnsi" w:cstheme="minorHAnsi"/>
          <w:sz w:val="22"/>
          <w:szCs w:val="22"/>
          <w:lang w:eastAsia="en-US"/>
        </w:rPr>
        <w:t xml:space="preserve"> nappe des calcaires paléocènes sous-jacents à la nappe des calcaires marneux de l’éocène avec des débits de forages faibles et une qualité de l’eau moyenne.</w:t>
      </w:r>
    </w:p>
    <w:p w14:paraId="63636412" w14:textId="744AF645" w:rsidR="008E4D64" w:rsidRPr="00E01239" w:rsidRDefault="00E40E22" w:rsidP="00027669">
      <w:pPr>
        <w:pStyle w:val="Paragraphedeliste"/>
        <w:numPr>
          <w:ilvl w:val="0"/>
          <w:numId w:val="175"/>
        </w:num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La</w:t>
      </w:r>
      <w:r w:rsidR="008E4D64" w:rsidRPr="00E01239">
        <w:rPr>
          <w:rFonts w:asciiTheme="minorHAnsi" w:hAnsiTheme="minorHAnsi" w:cstheme="minorHAnsi"/>
          <w:sz w:val="22"/>
          <w:szCs w:val="22"/>
          <w:lang w:eastAsia="en-US"/>
        </w:rPr>
        <w:t xml:space="preserve"> nappe des sables du Maestrichtien captée dans la presque totalité des forages, se situe entre 250 et 450 m avec des débits assez importants (50 m3/h), mais un taux de fluor parfois excessif (entre 4 et 5 mg/l) même s’il peut être faible, voire acceptable si la nappe est captée en profondeur.</w:t>
      </w:r>
    </w:p>
    <w:p w14:paraId="7702FD39" w14:textId="2D1846CB" w:rsidR="008E4D64" w:rsidRPr="00E01239" w:rsidRDefault="008E4D64" w:rsidP="00B7342E">
      <w:pPr>
        <w:spacing w:before="120" w:line="280" w:lineRule="exact"/>
        <w:jc w:val="both"/>
        <w:rPr>
          <w:rFonts w:asciiTheme="minorHAnsi" w:hAnsiTheme="minorHAnsi" w:cstheme="minorHAnsi"/>
          <w:sz w:val="22"/>
          <w:szCs w:val="22"/>
          <w:lang w:eastAsia="en-US"/>
        </w:rPr>
      </w:pPr>
      <w:r w:rsidRPr="00E01239">
        <w:rPr>
          <w:rFonts w:asciiTheme="minorHAnsi" w:hAnsiTheme="minorHAnsi" w:cstheme="minorHAnsi"/>
          <w:sz w:val="22"/>
          <w:szCs w:val="22"/>
          <w:lang w:eastAsia="en-US"/>
        </w:rPr>
        <w:t>L’aspect marquant de l’hydrologie souterraine dans cette zone est la présence de la nappe du maestrichtien salée dans cette zone et de mauvaise qualité (LADA, 2007).</w:t>
      </w:r>
    </w:p>
    <w:p w14:paraId="1760AC8B" w14:textId="77777777" w:rsidR="00A312BF" w:rsidRPr="00E01239" w:rsidRDefault="00A312BF" w:rsidP="00202CE9">
      <w:pPr>
        <w:jc w:val="both"/>
        <w:rPr>
          <w:rFonts w:asciiTheme="minorHAnsi" w:hAnsiTheme="minorHAnsi" w:cstheme="minorHAnsi"/>
          <w:sz w:val="22"/>
          <w:szCs w:val="22"/>
          <w:lang w:eastAsia="en-US"/>
        </w:rPr>
      </w:pPr>
    </w:p>
    <w:p w14:paraId="48B9691F" w14:textId="77777777" w:rsidR="008E4D64" w:rsidRPr="00E01239" w:rsidRDefault="008E4D64" w:rsidP="00027669">
      <w:pPr>
        <w:pStyle w:val="Titre3"/>
        <w:ind w:left="1418"/>
        <w:rPr>
          <w:rFonts w:asciiTheme="minorHAnsi" w:hAnsiTheme="minorHAnsi" w:cstheme="minorHAnsi"/>
        </w:rPr>
      </w:pPr>
      <w:bookmarkStart w:id="519" w:name="_Toc84845170"/>
      <w:bookmarkStart w:id="520" w:name="_Toc144654079"/>
      <w:r w:rsidRPr="00E01239">
        <w:rPr>
          <w:rFonts w:asciiTheme="minorHAnsi" w:hAnsiTheme="minorHAnsi" w:cstheme="minorHAnsi"/>
        </w:rPr>
        <w:t>Environnement biologique</w:t>
      </w:r>
      <w:bookmarkEnd w:id="519"/>
      <w:bookmarkEnd w:id="520"/>
      <w:r w:rsidRPr="00E01239">
        <w:rPr>
          <w:rFonts w:asciiTheme="minorHAnsi" w:hAnsiTheme="minorHAnsi" w:cstheme="minorHAnsi"/>
        </w:rPr>
        <w:t xml:space="preserve"> </w:t>
      </w:r>
    </w:p>
    <w:p w14:paraId="5A41E36E"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Il y a une grande diversité liée à la diversité des habitats. L’avifaune représente une bonne partie de cette faune. Au niveau des oiseaux, il recensé les pintades, les francolins, les tourterelles, les cailles, les outardes, les gangas, les oies de Gambie, les calaos et les rouges gorges. Au niveau de la faune terrestre, il y a au niveau des zones marécageuses et des vallées, des phacochères, des lièvres, des chacals, des hyènes, des singes rouges, des guibs harnachés, des écureuils, etc. Toutefois, la grande faune devient de plus en plus rare du fait de l’extension des zones agricoles.</w:t>
      </w:r>
    </w:p>
    <w:p w14:paraId="2CBED3D8" w14:textId="7AD6B32B"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lastRenderedPageBreak/>
        <w:t xml:space="preserve">Sur le plan floristique, il est principalement relevé la présence de savanes arbustives et arborées, de pseudo-steppes arbustives et arborées, d’îlots de savane boisées et de forêts claires. Les </w:t>
      </w:r>
      <w:r w:rsidR="00E40E22" w:rsidRPr="00E01239">
        <w:rPr>
          <w:rFonts w:asciiTheme="minorHAnsi" w:hAnsiTheme="minorHAnsi" w:cstheme="minorHAnsi"/>
          <w:color w:val="000000" w:themeColor="text1"/>
          <w:sz w:val="22"/>
          <w:szCs w:val="22"/>
          <w:lang w:eastAsia="fr-SN"/>
        </w:rPr>
        <w:t>combrétacées</w:t>
      </w:r>
      <w:r w:rsidRPr="00E01239">
        <w:rPr>
          <w:rFonts w:asciiTheme="minorHAnsi" w:hAnsiTheme="minorHAnsi" w:cstheme="minorHAnsi"/>
          <w:color w:val="000000" w:themeColor="text1"/>
          <w:sz w:val="22"/>
          <w:szCs w:val="22"/>
          <w:lang w:eastAsia="fr-SN"/>
        </w:rPr>
        <w:t xml:space="preserve"> et les mimosacées dominent et témoignent de la perte de diversité. Malgré tout, </w:t>
      </w:r>
      <w:r w:rsidRPr="00E01239">
        <w:rPr>
          <w:rFonts w:asciiTheme="minorHAnsi" w:hAnsiTheme="minorHAnsi" w:cstheme="minorHAnsi"/>
          <w:i/>
          <w:iCs/>
          <w:color w:val="000000" w:themeColor="text1"/>
          <w:sz w:val="22"/>
          <w:szCs w:val="22"/>
          <w:lang w:eastAsia="fr-SN"/>
        </w:rPr>
        <w:t>Acacia</w:t>
      </w:r>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ataxacantha</w:t>
      </w:r>
      <w:proofErr w:type="spellEnd"/>
      <w:r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i/>
          <w:iCs/>
          <w:color w:val="000000" w:themeColor="text1"/>
          <w:sz w:val="22"/>
          <w:szCs w:val="22"/>
          <w:lang w:eastAsia="fr-SN"/>
        </w:rPr>
        <w:t>Acacia seyal</w:t>
      </w:r>
      <w:r w:rsidRPr="00E01239">
        <w:rPr>
          <w:rFonts w:asciiTheme="minorHAnsi" w:hAnsiTheme="minorHAnsi" w:cstheme="minorHAnsi"/>
          <w:color w:val="000000" w:themeColor="text1"/>
          <w:sz w:val="22"/>
          <w:szCs w:val="22"/>
          <w:lang w:eastAsia="fr-SN"/>
        </w:rPr>
        <w:t>, Faidherbia</w:t>
      </w:r>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albida</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color w:val="000000" w:themeColor="text1"/>
          <w:sz w:val="22"/>
          <w:szCs w:val="22"/>
          <w:lang w:eastAsia="fr-SN"/>
        </w:rPr>
        <w:t>Anogeissus</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leiocarpus</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Cordilla</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pinata</w:t>
      </w:r>
      <w:proofErr w:type="spellEnd"/>
      <w:r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i/>
          <w:iCs/>
          <w:color w:val="000000" w:themeColor="text1"/>
          <w:sz w:val="22"/>
          <w:szCs w:val="22"/>
          <w:lang w:eastAsia="fr-SN"/>
        </w:rPr>
        <w:t xml:space="preserve">Pterocarpus </w:t>
      </w:r>
      <w:proofErr w:type="spellStart"/>
      <w:r w:rsidRPr="00E01239">
        <w:rPr>
          <w:rFonts w:asciiTheme="minorHAnsi" w:hAnsiTheme="minorHAnsi" w:cstheme="minorHAnsi"/>
          <w:i/>
          <w:iCs/>
          <w:color w:val="000000" w:themeColor="text1"/>
          <w:sz w:val="22"/>
          <w:szCs w:val="22"/>
          <w:lang w:eastAsia="fr-SN"/>
        </w:rPr>
        <w:t>erinaceus</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Detarium</w:t>
      </w:r>
      <w:proofErr w:type="spellEnd"/>
      <w:r w:rsidRPr="00E01239">
        <w:rPr>
          <w:rFonts w:asciiTheme="minorHAnsi" w:hAnsiTheme="minorHAnsi" w:cstheme="minorHAnsi"/>
          <w:i/>
          <w:iCs/>
          <w:color w:val="000000" w:themeColor="text1"/>
          <w:sz w:val="22"/>
          <w:szCs w:val="22"/>
          <w:lang w:eastAsia="fr-SN"/>
        </w:rPr>
        <w:t xml:space="preserve"> senegalensis</w:t>
      </w:r>
      <w:r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i/>
          <w:iCs/>
          <w:color w:val="000000" w:themeColor="text1"/>
          <w:sz w:val="22"/>
          <w:szCs w:val="22"/>
          <w:lang w:eastAsia="fr-SN"/>
        </w:rPr>
        <w:t xml:space="preserve">Cassia </w:t>
      </w:r>
      <w:proofErr w:type="spellStart"/>
      <w:r w:rsidRPr="00E01239">
        <w:rPr>
          <w:rFonts w:asciiTheme="minorHAnsi" w:hAnsiTheme="minorHAnsi" w:cstheme="minorHAnsi"/>
          <w:i/>
          <w:iCs/>
          <w:color w:val="000000" w:themeColor="text1"/>
          <w:sz w:val="22"/>
          <w:szCs w:val="22"/>
          <w:lang w:eastAsia="fr-SN"/>
        </w:rPr>
        <w:t>siebariana</w:t>
      </w:r>
      <w:proofErr w:type="spellEnd"/>
      <w:r w:rsidRPr="00E01239">
        <w:rPr>
          <w:rFonts w:asciiTheme="minorHAnsi" w:hAnsiTheme="minorHAnsi" w:cstheme="minorHAnsi"/>
          <w:color w:val="000000" w:themeColor="text1"/>
          <w:sz w:val="22"/>
          <w:szCs w:val="22"/>
          <w:lang w:eastAsia="fr-SN"/>
        </w:rPr>
        <w:t>, Borassus</w:t>
      </w:r>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aethiopium</w:t>
      </w:r>
      <w:proofErr w:type="spellEnd"/>
      <w:r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i/>
          <w:iCs/>
          <w:color w:val="000000" w:themeColor="text1"/>
          <w:sz w:val="22"/>
          <w:szCs w:val="22"/>
          <w:lang w:eastAsia="fr-SN"/>
        </w:rPr>
        <w:t xml:space="preserve">Elaeis </w:t>
      </w:r>
      <w:proofErr w:type="spellStart"/>
      <w:r w:rsidRPr="00E01239">
        <w:rPr>
          <w:rFonts w:asciiTheme="minorHAnsi" w:hAnsiTheme="minorHAnsi" w:cstheme="minorHAnsi"/>
          <w:i/>
          <w:iCs/>
          <w:color w:val="000000" w:themeColor="text1"/>
          <w:sz w:val="22"/>
          <w:szCs w:val="22"/>
          <w:lang w:eastAsia="fr-SN"/>
        </w:rPr>
        <w:t>guineense</w:t>
      </w:r>
      <w:proofErr w:type="spellEnd"/>
      <w:r w:rsidRPr="00E01239">
        <w:rPr>
          <w:rFonts w:asciiTheme="minorHAnsi" w:hAnsiTheme="minorHAnsi" w:cstheme="minorHAnsi"/>
          <w:color w:val="000000" w:themeColor="text1"/>
          <w:sz w:val="22"/>
          <w:szCs w:val="22"/>
          <w:lang w:eastAsia="fr-SN"/>
        </w:rPr>
        <w:t xml:space="preserve"> témoignent de la diversité d’antan tandis que la mangrove à </w:t>
      </w:r>
      <w:r w:rsidRPr="00E01239">
        <w:rPr>
          <w:rFonts w:asciiTheme="minorHAnsi" w:hAnsiTheme="minorHAnsi" w:cstheme="minorHAnsi"/>
          <w:i/>
          <w:iCs/>
          <w:color w:val="000000" w:themeColor="text1"/>
          <w:sz w:val="22"/>
          <w:szCs w:val="22"/>
          <w:lang w:eastAsia="fr-SN"/>
        </w:rPr>
        <w:t>Rhizophora</w:t>
      </w:r>
      <w:r w:rsidRPr="00E01239">
        <w:rPr>
          <w:rFonts w:asciiTheme="minorHAnsi" w:hAnsiTheme="minorHAnsi" w:cstheme="minorHAnsi"/>
          <w:color w:val="000000" w:themeColor="text1"/>
          <w:sz w:val="22"/>
          <w:szCs w:val="22"/>
          <w:lang w:eastAsia="fr-SN"/>
        </w:rPr>
        <w:t xml:space="preserve"> et </w:t>
      </w:r>
      <w:proofErr w:type="spellStart"/>
      <w:r w:rsidRPr="00E01239">
        <w:rPr>
          <w:rFonts w:asciiTheme="minorHAnsi" w:hAnsiTheme="minorHAnsi" w:cstheme="minorHAnsi"/>
          <w:i/>
          <w:iCs/>
          <w:color w:val="000000" w:themeColor="text1"/>
          <w:sz w:val="22"/>
          <w:szCs w:val="22"/>
          <w:lang w:eastAsia="fr-SN"/>
        </w:rPr>
        <w:t>Avicennia</w:t>
      </w:r>
      <w:proofErr w:type="spellEnd"/>
      <w:r w:rsidRPr="00E01239">
        <w:rPr>
          <w:rFonts w:asciiTheme="minorHAnsi" w:hAnsiTheme="minorHAnsi" w:cstheme="minorHAnsi"/>
          <w:color w:val="000000" w:themeColor="text1"/>
          <w:sz w:val="22"/>
          <w:szCs w:val="22"/>
          <w:lang w:eastAsia="fr-SN"/>
        </w:rPr>
        <w:t xml:space="preserve"> occupe le delta du Saloum. </w:t>
      </w:r>
    </w:p>
    <w:p w14:paraId="2FD1D9FD"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Pour les herbacées, il y a un important potentiel fourrager surtout dans les dépressions (</w:t>
      </w:r>
      <w:proofErr w:type="spellStart"/>
      <w:r w:rsidRPr="00E01239">
        <w:rPr>
          <w:rFonts w:asciiTheme="minorHAnsi" w:hAnsiTheme="minorHAnsi" w:cstheme="minorHAnsi"/>
          <w:i/>
          <w:iCs/>
          <w:color w:val="000000" w:themeColor="text1"/>
          <w:sz w:val="22"/>
          <w:szCs w:val="22"/>
          <w:lang w:eastAsia="fr-SN"/>
        </w:rPr>
        <w:t>Cynodon</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dactylon</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Vetiveria</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nigritana</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Eragrostis</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barteii</w:t>
      </w:r>
      <w:proofErr w:type="spellEnd"/>
      <w:r w:rsidRPr="00E01239">
        <w:rPr>
          <w:rFonts w:asciiTheme="minorHAnsi" w:hAnsiTheme="minorHAnsi" w:cstheme="minorHAnsi"/>
          <w:i/>
          <w:iCs/>
          <w:color w:val="000000" w:themeColor="text1"/>
          <w:sz w:val="22"/>
          <w:szCs w:val="22"/>
          <w:lang w:eastAsia="fr-SN"/>
        </w:rPr>
        <w:t>,</w:t>
      </w:r>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Dactyloctenium</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aegyptium</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Cenchrus</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biflorus</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Eragrostis</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tremula</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Aristida</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sp</w:t>
      </w:r>
      <w:proofErr w:type="spellEnd"/>
      <w:r w:rsidRPr="00E01239">
        <w:rPr>
          <w:rFonts w:asciiTheme="minorHAnsi" w:hAnsiTheme="minorHAnsi" w:cstheme="minorHAnsi"/>
          <w:color w:val="000000" w:themeColor="text1"/>
          <w:sz w:val="22"/>
          <w:szCs w:val="22"/>
          <w:lang w:eastAsia="fr-SN"/>
        </w:rPr>
        <w:t>.</w:t>
      </w:r>
      <w:r w:rsidRPr="00E01239">
        <w:rPr>
          <w:rFonts w:asciiTheme="minorHAnsi" w:hAnsiTheme="minorHAnsi" w:cstheme="minorHAnsi"/>
          <w:i/>
          <w:iCs/>
          <w:color w:val="000000" w:themeColor="text1"/>
          <w:sz w:val="22"/>
          <w:szCs w:val="22"/>
          <w:lang w:eastAsia="fr-SN"/>
        </w:rPr>
        <w:t>)</w:t>
      </w:r>
      <w:r w:rsidRPr="00E01239">
        <w:rPr>
          <w:rFonts w:asciiTheme="minorHAnsi" w:hAnsiTheme="minorHAnsi" w:cstheme="minorHAnsi"/>
          <w:color w:val="000000" w:themeColor="text1"/>
          <w:sz w:val="22"/>
          <w:szCs w:val="22"/>
          <w:lang w:eastAsia="fr-SN"/>
        </w:rPr>
        <w:t xml:space="preserve">. Les charges sont de l’ordre de 0,3 ha/UBT et peuvent atteindre 6 ha/UBT quand la pluviométrie dépasse 500 </w:t>
      </w:r>
      <w:proofErr w:type="spellStart"/>
      <w:r w:rsidRPr="00E01239">
        <w:rPr>
          <w:rFonts w:asciiTheme="minorHAnsi" w:hAnsiTheme="minorHAnsi" w:cstheme="minorHAnsi"/>
          <w:color w:val="000000" w:themeColor="text1"/>
          <w:sz w:val="22"/>
          <w:szCs w:val="22"/>
          <w:lang w:eastAsia="fr-SN"/>
        </w:rPr>
        <w:t>mm.</w:t>
      </w:r>
      <w:proofErr w:type="spellEnd"/>
    </w:p>
    <w:p w14:paraId="13AF11C0" w14:textId="19A46D70" w:rsidR="008E4D64" w:rsidRPr="00E01239" w:rsidRDefault="00E40E22" w:rsidP="00B7342E">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Les</w:t>
      </w:r>
      <w:r w:rsidR="008E4D64" w:rsidRPr="00E01239">
        <w:rPr>
          <w:rFonts w:asciiTheme="minorHAnsi" w:hAnsiTheme="minorHAnsi" w:cstheme="minorHAnsi"/>
          <w:color w:val="000000" w:themeColor="text1"/>
          <w:sz w:val="22"/>
          <w:szCs w:val="22"/>
          <w:lang w:eastAsia="fr-SN"/>
        </w:rPr>
        <w:t xml:space="preserve"> départements de Nioro, Kaffrine, et Foundiougne), le domaine forestier classé du bassin arachidier (753 000 ha) est de plus en plus réduit avec l’avancée des fronts agricoles et les changements globaux. </w:t>
      </w:r>
    </w:p>
    <w:p w14:paraId="5D1B41FE" w14:textId="77777777" w:rsidR="00A312BF" w:rsidRPr="00E01239" w:rsidRDefault="00A312BF" w:rsidP="00202CE9">
      <w:pPr>
        <w:spacing w:before="120" w:line="280" w:lineRule="exact"/>
        <w:jc w:val="both"/>
        <w:textAlignment w:val="baseline"/>
        <w:rPr>
          <w:rFonts w:asciiTheme="minorHAnsi" w:hAnsiTheme="minorHAnsi" w:cstheme="minorHAnsi"/>
          <w:color w:val="000000" w:themeColor="text1"/>
          <w:sz w:val="22"/>
          <w:szCs w:val="22"/>
          <w:lang w:eastAsia="fr-SN"/>
        </w:rPr>
      </w:pPr>
    </w:p>
    <w:p w14:paraId="3E48ABFF" w14:textId="77777777" w:rsidR="008E4D64" w:rsidRPr="00E01239" w:rsidRDefault="008E4D64" w:rsidP="00202CE9">
      <w:pPr>
        <w:pStyle w:val="Titre3"/>
        <w:ind w:left="1418"/>
        <w:rPr>
          <w:rFonts w:asciiTheme="minorHAnsi" w:hAnsiTheme="minorHAnsi" w:cstheme="minorHAnsi"/>
        </w:rPr>
      </w:pPr>
      <w:bookmarkStart w:id="521" w:name="_Toc144654080"/>
      <w:bookmarkStart w:id="522" w:name="_Toc84845173"/>
      <w:r w:rsidRPr="00E01239">
        <w:rPr>
          <w:rFonts w:asciiTheme="minorHAnsi" w:hAnsiTheme="minorHAnsi" w:cstheme="minorHAnsi"/>
        </w:rPr>
        <w:t>Occupation du sol</w:t>
      </w:r>
      <w:bookmarkEnd w:id="521"/>
      <w:r w:rsidRPr="00E01239">
        <w:rPr>
          <w:rFonts w:asciiTheme="minorHAnsi" w:hAnsiTheme="minorHAnsi" w:cstheme="minorHAnsi"/>
        </w:rPr>
        <w:t xml:space="preserve"> </w:t>
      </w:r>
      <w:bookmarkEnd w:id="522"/>
      <w:r w:rsidRPr="00E01239">
        <w:rPr>
          <w:rFonts w:asciiTheme="minorHAnsi" w:hAnsiTheme="minorHAnsi" w:cstheme="minorHAnsi"/>
        </w:rPr>
        <w:t xml:space="preserve"> </w:t>
      </w:r>
    </w:p>
    <w:p w14:paraId="04FB26CA" w14:textId="7774B312"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L’occupation du sol du bassin arachidier se traduit globalement par 20% des terres affecté</w:t>
      </w:r>
      <w:r w:rsidR="007F0CBC">
        <w:rPr>
          <w:rFonts w:asciiTheme="minorHAnsi" w:hAnsiTheme="minorHAnsi" w:cstheme="minorHAnsi"/>
          <w:color w:val="000000" w:themeColor="text1"/>
          <w:sz w:val="22"/>
          <w:szCs w:val="22"/>
          <w:lang w:eastAsia="fr-SN"/>
        </w:rPr>
        <w:t>e</w:t>
      </w:r>
      <w:r w:rsidRPr="00E01239">
        <w:rPr>
          <w:rFonts w:asciiTheme="minorHAnsi" w:hAnsiTheme="minorHAnsi" w:cstheme="minorHAnsi"/>
          <w:color w:val="000000" w:themeColor="text1"/>
          <w:sz w:val="22"/>
          <w:szCs w:val="22"/>
          <w:lang w:eastAsia="fr-SN"/>
        </w:rPr>
        <w:t xml:space="preserve">s par des changements qui se traduisent par la régression de la végétation naturelle (41,64%), l’augmentation des superficies cultivées (19,68%), la salinisation (7,9 %) et l’urbanisation (26 %). Ainsi, près de 65 % des terres ont changé de poste d'occupation principalement au détriment des espaces végétaux et en faveur des zones des cultures (15 %). Toutefois, avec les anciennes jachères et les champs abandonnés, il y a une relative recolonisation des milieux. </w:t>
      </w:r>
    </w:p>
    <w:p w14:paraId="320BBBFF" w14:textId="77777777" w:rsidR="008E4D64" w:rsidRPr="00E01239" w:rsidRDefault="008E4D64" w:rsidP="00202CE9">
      <w:pPr>
        <w:jc w:val="both"/>
        <w:textAlignment w:val="baseline"/>
        <w:rPr>
          <w:rFonts w:asciiTheme="minorHAnsi" w:hAnsiTheme="minorHAnsi" w:cstheme="minorHAnsi"/>
          <w:color w:val="000000" w:themeColor="text1"/>
          <w:sz w:val="22"/>
          <w:szCs w:val="22"/>
          <w:lang w:eastAsia="fr-SN"/>
        </w:rPr>
      </w:pPr>
    </w:p>
    <w:p w14:paraId="0737EA5A" w14:textId="77777777" w:rsidR="008E4D64" w:rsidRPr="00E01239" w:rsidRDefault="21A48B5C" w:rsidP="00027669">
      <w:pPr>
        <w:pStyle w:val="Titre2"/>
        <w:numPr>
          <w:ilvl w:val="1"/>
          <w:numId w:val="171"/>
        </w:numPr>
        <w:tabs>
          <w:tab w:val="num" w:pos="360"/>
        </w:tabs>
        <w:ind w:left="644" w:hanging="360"/>
        <w:rPr>
          <w:rFonts w:asciiTheme="minorHAnsi" w:hAnsiTheme="minorHAnsi" w:cstheme="minorHAnsi"/>
          <w:color w:val="auto"/>
        </w:rPr>
      </w:pPr>
      <w:bookmarkStart w:id="523" w:name="_Toc84845174"/>
      <w:bookmarkStart w:id="524" w:name="_Toc144654081"/>
      <w:r w:rsidRPr="00E01239">
        <w:rPr>
          <w:rFonts w:asciiTheme="minorHAnsi" w:hAnsiTheme="minorHAnsi" w:cstheme="minorBidi"/>
          <w:color w:val="auto"/>
        </w:rPr>
        <w:t>DESCRIPTIF BIOPHYSIQUE DE LA ZONE SYLVOPASTORALE (FERLO)</w:t>
      </w:r>
      <w:bookmarkEnd w:id="523"/>
      <w:bookmarkEnd w:id="524"/>
    </w:p>
    <w:p w14:paraId="07262177" w14:textId="6C341FE8" w:rsidR="008E4D64" w:rsidRPr="00E01239" w:rsidRDefault="008E4D64" w:rsidP="00B7342E">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La zone sylvopastorale, communément appelée Ferlo, est principalement caractérisée par l’élevage pastoral et à la marge l’agriculture, de vastes réserves forestières et une population très peu dense et dispersée.</w:t>
      </w:r>
    </w:p>
    <w:p w14:paraId="26B8F4FA" w14:textId="77777777" w:rsidR="00B7342E" w:rsidRPr="00E01239" w:rsidRDefault="00B7342E" w:rsidP="00202CE9">
      <w:pPr>
        <w:spacing w:before="120" w:line="280" w:lineRule="exact"/>
        <w:jc w:val="both"/>
        <w:textAlignment w:val="baseline"/>
        <w:rPr>
          <w:rFonts w:asciiTheme="minorHAnsi" w:hAnsiTheme="minorHAnsi" w:cstheme="minorHAnsi"/>
          <w:color w:val="000000" w:themeColor="text1"/>
          <w:sz w:val="22"/>
          <w:szCs w:val="22"/>
          <w:lang w:eastAsia="fr-SN"/>
        </w:rPr>
      </w:pPr>
    </w:p>
    <w:p w14:paraId="5CDE907F" w14:textId="77777777" w:rsidR="008E4D64" w:rsidRPr="00E01239" w:rsidRDefault="008E4D64" w:rsidP="00202CE9">
      <w:pPr>
        <w:pStyle w:val="Titre3"/>
        <w:ind w:left="1134"/>
        <w:rPr>
          <w:rFonts w:asciiTheme="minorHAnsi" w:hAnsiTheme="minorHAnsi" w:cstheme="minorHAnsi"/>
        </w:rPr>
      </w:pPr>
      <w:bookmarkStart w:id="525" w:name="_Toc84845175"/>
      <w:bookmarkStart w:id="526" w:name="_Toc144654082"/>
      <w:r w:rsidRPr="00E01239">
        <w:rPr>
          <w:rFonts w:asciiTheme="minorHAnsi" w:hAnsiTheme="minorHAnsi" w:cstheme="minorHAnsi"/>
        </w:rPr>
        <w:t>Environnement physique</w:t>
      </w:r>
      <w:bookmarkEnd w:id="525"/>
      <w:bookmarkEnd w:id="526"/>
    </w:p>
    <w:p w14:paraId="615A2FCD"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u w:val="single"/>
          <w:lang w:eastAsia="fr-SN"/>
        </w:rPr>
      </w:pPr>
      <w:bookmarkStart w:id="527" w:name="_Toc84845176"/>
      <w:r w:rsidRPr="00E01239">
        <w:rPr>
          <w:rFonts w:asciiTheme="minorHAnsi" w:hAnsiTheme="minorHAnsi" w:cstheme="minorHAnsi"/>
          <w:color w:val="000000" w:themeColor="text1"/>
          <w:sz w:val="22"/>
          <w:szCs w:val="22"/>
          <w:u w:val="single"/>
          <w:lang w:eastAsia="fr-SN"/>
        </w:rPr>
        <w:t>Climatologie</w:t>
      </w:r>
      <w:bookmarkEnd w:id="527"/>
      <w:r w:rsidRPr="00E01239">
        <w:rPr>
          <w:rFonts w:asciiTheme="minorHAnsi" w:hAnsiTheme="minorHAnsi" w:cstheme="minorHAnsi"/>
          <w:color w:val="000000" w:themeColor="text1"/>
          <w:sz w:val="22"/>
          <w:szCs w:val="22"/>
          <w:u w:val="single"/>
          <w:lang w:eastAsia="fr-SN"/>
        </w:rPr>
        <w:t xml:space="preserve"> </w:t>
      </w:r>
    </w:p>
    <w:p w14:paraId="5BE8B93E"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La pluviométrie annuelle moyenne est comprise entre 200 mm et 400 mm avec un maximum de précipitations au mois d’août (FIDA, 2018) ; malgré une grande variabilité spatio-temporelle de la pluviosité avec une tendance à la baisse. </w:t>
      </w:r>
    </w:p>
    <w:p w14:paraId="0A175D56"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C’est une zone où soufflent d’importants vents avec une vitesse moyenne de 1,45 ± 0,25 m/s dont un maximum en en juin (1,81±0,16 m/s) et un minimum en octobre (1,02±0,09 m/s) (Ndiaye, 2015). En outre, il y a une forte amplitude thermique (10,1°C) avec des températures moyennes maximales de 41,6°C (mai) et minimales de 17,1°C (janvier) (</w:t>
      </w:r>
      <w:proofErr w:type="spellStart"/>
      <w:r w:rsidRPr="00E01239">
        <w:rPr>
          <w:rFonts w:asciiTheme="minorHAnsi" w:hAnsiTheme="minorHAnsi" w:cstheme="minorHAnsi"/>
          <w:color w:val="000000" w:themeColor="text1"/>
          <w:sz w:val="22"/>
          <w:szCs w:val="22"/>
          <w:lang w:eastAsia="fr-SN"/>
        </w:rPr>
        <w:t>Fall</w:t>
      </w:r>
      <w:proofErr w:type="spellEnd"/>
      <w:r w:rsidRPr="00E01239">
        <w:rPr>
          <w:rFonts w:asciiTheme="minorHAnsi" w:hAnsiTheme="minorHAnsi" w:cstheme="minorHAnsi"/>
          <w:color w:val="000000" w:themeColor="text1"/>
          <w:sz w:val="22"/>
          <w:szCs w:val="22"/>
          <w:lang w:eastAsia="fr-SN"/>
        </w:rPr>
        <w:t>, 2014). La forte insolation contribue activement à l’évaporation rapide des eaux pluviales retenues dans les mares, source d’abreuvement du bétail.</w:t>
      </w:r>
    </w:p>
    <w:p w14:paraId="511A4C19"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u w:val="single"/>
          <w:lang w:eastAsia="fr-SN"/>
        </w:rPr>
      </w:pPr>
      <w:bookmarkStart w:id="528" w:name="_Toc84845177"/>
      <w:r w:rsidRPr="00E01239">
        <w:rPr>
          <w:rFonts w:asciiTheme="minorHAnsi" w:hAnsiTheme="minorHAnsi" w:cstheme="minorHAnsi"/>
          <w:color w:val="000000" w:themeColor="text1"/>
          <w:sz w:val="22"/>
          <w:szCs w:val="22"/>
          <w:u w:val="single"/>
          <w:lang w:eastAsia="fr-SN"/>
        </w:rPr>
        <w:t>Géologie de la zone</w:t>
      </w:r>
      <w:bookmarkEnd w:id="528"/>
      <w:r w:rsidRPr="00E01239">
        <w:rPr>
          <w:rFonts w:asciiTheme="minorHAnsi" w:hAnsiTheme="minorHAnsi" w:cstheme="minorHAnsi"/>
          <w:color w:val="000000" w:themeColor="text1"/>
          <w:sz w:val="22"/>
          <w:szCs w:val="22"/>
          <w:u w:val="single"/>
          <w:lang w:eastAsia="fr-SN"/>
        </w:rPr>
        <w:t xml:space="preserve"> </w:t>
      </w:r>
    </w:p>
    <w:p w14:paraId="78E63D29"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Cette zone appartient au grand bassin sédimentaire du Secondaire et Tertiaire, souvent appelé le bassin sédimentaire sénégalo-mauritanien (Ndiaye, 2015). La formation du Continental terminal (CT) est caractéristique du Ferlo où son épaisseur atteint parfois 130 m (CSE/ROSELT/OSS, 2002, cité par Ndiaye 2015). Le CT s’y caractérise par un ensemble de plateaux sableux très monotones constitués essentiellement de grès et de grès argileux. </w:t>
      </w:r>
    </w:p>
    <w:p w14:paraId="33C5452E" w14:textId="77777777" w:rsidR="008E4D64" w:rsidRPr="00E01239" w:rsidRDefault="008E4D64" w:rsidP="008E4D64">
      <w:pPr>
        <w:spacing w:before="120" w:line="36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lastRenderedPageBreak/>
        <w:t xml:space="preserve">La région du Ferlo est caractérisée par un relief plat et monotone. Le relief se présente sous forme de plateaux dunaires (communément appelés « </w:t>
      </w:r>
      <w:proofErr w:type="spellStart"/>
      <w:r w:rsidRPr="00E01239">
        <w:rPr>
          <w:rFonts w:asciiTheme="minorHAnsi" w:hAnsiTheme="minorHAnsi" w:cstheme="minorHAnsi"/>
          <w:color w:val="000000" w:themeColor="text1"/>
          <w:sz w:val="22"/>
          <w:szCs w:val="22"/>
          <w:lang w:eastAsia="fr-SN"/>
        </w:rPr>
        <w:t>séno</w:t>
      </w:r>
      <w:proofErr w:type="spellEnd"/>
      <w:r w:rsidRPr="00E01239">
        <w:rPr>
          <w:rFonts w:asciiTheme="minorHAnsi" w:hAnsiTheme="minorHAnsi" w:cstheme="minorHAnsi"/>
          <w:color w:val="000000" w:themeColor="text1"/>
          <w:sz w:val="22"/>
          <w:szCs w:val="22"/>
          <w:lang w:eastAsia="fr-SN"/>
        </w:rPr>
        <w:t xml:space="preserve"> » en peul) et de dépressions longitudinales argileuses (bas-fonds) (</w:t>
      </w:r>
      <w:proofErr w:type="spellStart"/>
      <w:r w:rsidRPr="00E01239">
        <w:rPr>
          <w:rFonts w:asciiTheme="minorHAnsi" w:hAnsiTheme="minorHAnsi" w:cstheme="minorHAnsi"/>
          <w:color w:val="000000" w:themeColor="text1"/>
          <w:sz w:val="22"/>
          <w:szCs w:val="22"/>
          <w:lang w:eastAsia="fr-SN"/>
        </w:rPr>
        <w:t>Fall</w:t>
      </w:r>
      <w:proofErr w:type="spellEnd"/>
      <w:r w:rsidRPr="00E01239">
        <w:rPr>
          <w:rFonts w:asciiTheme="minorHAnsi" w:hAnsiTheme="minorHAnsi" w:cstheme="minorHAnsi"/>
          <w:color w:val="000000" w:themeColor="text1"/>
          <w:sz w:val="22"/>
          <w:szCs w:val="22"/>
          <w:lang w:eastAsia="fr-SN"/>
        </w:rPr>
        <w:t xml:space="preserve"> 2014).</w:t>
      </w:r>
    </w:p>
    <w:p w14:paraId="31FBD625"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u w:val="single"/>
          <w:lang w:eastAsia="fr-SN"/>
        </w:rPr>
      </w:pPr>
      <w:bookmarkStart w:id="529" w:name="_Toc84845179"/>
      <w:r w:rsidRPr="00E01239">
        <w:rPr>
          <w:rFonts w:asciiTheme="minorHAnsi" w:hAnsiTheme="minorHAnsi" w:cstheme="minorHAnsi"/>
          <w:color w:val="000000" w:themeColor="text1"/>
          <w:sz w:val="22"/>
          <w:szCs w:val="22"/>
          <w:u w:val="single"/>
          <w:lang w:eastAsia="fr-SN"/>
        </w:rPr>
        <w:t>Ressources pédologiques</w:t>
      </w:r>
      <w:bookmarkEnd w:id="529"/>
      <w:r w:rsidRPr="00E01239">
        <w:rPr>
          <w:rFonts w:asciiTheme="minorHAnsi" w:hAnsiTheme="minorHAnsi" w:cstheme="minorHAnsi"/>
          <w:color w:val="000000" w:themeColor="text1"/>
          <w:sz w:val="22"/>
          <w:szCs w:val="22"/>
          <w:u w:val="single"/>
          <w:lang w:eastAsia="fr-SN"/>
        </w:rPr>
        <w:t xml:space="preserve"> </w:t>
      </w:r>
    </w:p>
    <w:p w14:paraId="25531A84"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Au niveau pédologique, une étude du CSE (2000) a fait état de l’existence de plusieurs types de sols, résultant des conditions bioclimatiques et géologiques. Il s’agit des : </w:t>
      </w:r>
    </w:p>
    <w:p w14:paraId="002D01F7" w14:textId="54071C0E" w:rsidR="008E4D64" w:rsidRPr="00E01239" w:rsidRDefault="008E4D64" w:rsidP="00027669">
      <w:pPr>
        <w:pStyle w:val="Paragraphedeliste"/>
        <w:numPr>
          <w:ilvl w:val="0"/>
          <w:numId w:val="176"/>
        </w:num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 </w:t>
      </w:r>
      <w:r w:rsidR="00EC0199" w:rsidRPr="00E01239">
        <w:rPr>
          <w:rFonts w:asciiTheme="minorHAnsi" w:hAnsiTheme="minorHAnsi" w:cstheme="minorHAnsi"/>
          <w:color w:val="000000" w:themeColor="text1"/>
          <w:sz w:val="22"/>
          <w:szCs w:val="22"/>
          <w:lang w:eastAsia="fr-SN"/>
        </w:rPr>
        <w:t>Sols</w:t>
      </w:r>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color w:val="000000" w:themeColor="text1"/>
          <w:sz w:val="22"/>
          <w:szCs w:val="22"/>
          <w:lang w:eastAsia="fr-SN"/>
        </w:rPr>
        <w:t>isohumiques</w:t>
      </w:r>
      <w:proofErr w:type="spellEnd"/>
      <w:r w:rsidRPr="00E01239">
        <w:rPr>
          <w:rFonts w:asciiTheme="minorHAnsi" w:hAnsiTheme="minorHAnsi" w:cstheme="minorHAnsi"/>
          <w:color w:val="000000" w:themeColor="text1"/>
          <w:sz w:val="22"/>
          <w:szCs w:val="22"/>
          <w:lang w:eastAsia="fr-SN"/>
        </w:rPr>
        <w:t xml:space="preserve"> (brun - rouges subarides), caractérisés par une texture sableuse (entre 80 et 85 %) sur tout le profil, pauvres en matière organique avec une faible fertilité chimique et forte sensibilité à l’érosion éolienne qui le prêtent faiblement à l’agriculture ;</w:t>
      </w:r>
    </w:p>
    <w:p w14:paraId="59B10332" w14:textId="2FCC3208" w:rsidR="008E4D64" w:rsidRPr="00E01239" w:rsidRDefault="008E4D64" w:rsidP="00027669">
      <w:pPr>
        <w:pStyle w:val="Paragraphedeliste"/>
        <w:numPr>
          <w:ilvl w:val="0"/>
          <w:numId w:val="176"/>
        </w:num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 </w:t>
      </w:r>
      <w:r w:rsidR="00EC0199" w:rsidRPr="00E01239">
        <w:rPr>
          <w:rFonts w:asciiTheme="minorHAnsi" w:hAnsiTheme="minorHAnsi" w:cstheme="minorHAnsi"/>
          <w:color w:val="000000" w:themeColor="text1"/>
          <w:sz w:val="22"/>
          <w:szCs w:val="22"/>
          <w:lang w:eastAsia="fr-SN"/>
        </w:rPr>
        <w:t>Sols</w:t>
      </w:r>
      <w:r w:rsidRPr="00E01239">
        <w:rPr>
          <w:rFonts w:asciiTheme="minorHAnsi" w:hAnsiTheme="minorHAnsi" w:cstheme="minorHAnsi"/>
          <w:color w:val="000000" w:themeColor="text1"/>
          <w:sz w:val="22"/>
          <w:szCs w:val="22"/>
          <w:lang w:eastAsia="fr-SN"/>
        </w:rPr>
        <w:t xml:space="preserve"> ferrugineux tropicaux peu ou pas lessivés situés plus au sud, caractérisés par leur forte proportion en sable, ainsi que leur extrême sensibilité à l’érosion hydrique et éolienne dédiés à l’arachide et au niébé, etc. » ; </w:t>
      </w:r>
    </w:p>
    <w:p w14:paraId="76D48448" w14:textId="47A83ACB" w:rsidR="008E4D64" w:rsidRPr="00E01239" w:rsidRDefault="008E4D64" w:rsidP="00027669">
      <w:pPr>
        <w:pStyle w:val="Paragraphedeliste"/>
        <w:numPr>
          <w:ilvl w:val="0"/>
          <w:numId w:val="176"/>
        </w:num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 </w:t>
      </w:r>
      <w:r w:rsidR="00EC0199" w:rsidRPr="00E01239">
        <w:rPr>
          <w:rFonts w:asciiTheme="minorHAnsi" w:hAnsiTheme="minorHAnsi" w:cstheme="minorHAnsi"/>
          <w:color w:val="000000" w:themeColor="text1"/>
          <w:sz w:val="22"/>
          <w:szCs w:val="22"/>
          <w:lang w:eastAsia="fr-SN"/>
        </w:rPr>
        <w:t>Sols</w:t>
      </w:r>
      <w:r w:rsidRPr="00E01239">
        <w:rPr>
          <w:rFonts w:asciiTheme="minorHAnsi" w:hAnsiTheme="minorHAnsi" w:cstheme="minorHAnsi"/>
          <w:color w:val="000000" w:themeColor="text1"/>
          <w:sz w:val="22"/>
          <w:szCs w:val="22"/>
          <w:lang w:eastAsia="fr-SN"/>
        </w:rPr>
        <w:t xml:space="preserve"> ferrugineux tropicaux lessivés, bruns ou beiges, caractérisés par une texture sableuse ou sablo-limoneuse en superficie et limoneuse à limono-argileuse en profondeur et exposés principalement à l’érosion hydrique et éolienne malgré son utilisation dans la culture de l’arachide » ;</w:t>
      </w:r>
    </w:p>
    <w:p w14:paraId="51E3B4B1" w14:textId="1BE44814" w:rsidR="008E4D64" w:rsidRPr="00E01239" w:rsidRDefault="008E4D64" w:rsidP="00027669">
      <w:pPr>
        <w:pStyle w:val="Paragraphedeliste"/>
        <w:numPr>
          <w:ilvl w:val="0"/>
          <w:numId w:val="176"/>
        </w:num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 </w:t>
      </w:r>
      <w:r w:rsidR="00EC0199" w:rsidRPr="00E01239">
        <w:rPr>
          <w:rFonts w:asciiTheme="minorHAnsi" w:hAnsiTheme="minorHAnsi" w:cstheme="minorHAnsi"/>
          <w:color w:val="000000" w:themeColor="text1"/>
          <w:sz w:val="22"/>
          <w:szCs w:val="22"/>
          <w:lang w:eastAsia="fr-SN"/>
        </w:rPr>
        <w:t>Les</w:t>
      </w:r>
      <w:r w:rsidRPr="00E01239">
        <w:rPr>
          <w:rFonts w:asciiTheme="minorHAnsi" w:hAnsiTheme="minorHAnsi" w:cstheme="minorHAnsi"/>
          <w:color w:val="000000" w:themeColor="text1"/>
          <w:sz w:val="22"/>
          <w:szCs w:val="22"/>
          <w:lang w:eastAsia="fr-SN"/>
        </w:rPr>
        <w:t xml:space="preserve"> sols hydromorphes caractérisés par la présence temporaire ou permanente de l’eau » se retrouvent au niveau de la vallée fossile du Ferlo. </w:t>
      </w:r>
    </w:p>
    <w:p w14:paraId="065D52F5"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u w:val="single"/>
          <w:lang w:eastAsia="fr-SN"/>
        </w:rPr>
      </w:pPr>
      <w:bookmarkStart w:id="530" w:name="_Toc84845180"/>
      <w:r w:rsidRPr="00E01239">
        <w:rPr>
          <w:rFonts w:asciiTheme="minorHAnsi" w:hAnsiTheme="minorHAnsi" w:cstheme="minorHAnsi"/>
          <w:color w:val="000000" w:themeColor="text1"/>
          <w:sz w:val="22"/>
          <w:szCs w:val="22"/>
          <w:u w:val="single"/>
          <w:lang w:eastAsia="fr-SN"/>
        </w:rPr>
        <w:t>Ressources en eau</w:t>
      </w:r>
      <w:bookmarkEnd w:id="530"/>
      <w:r w:rsidRPr="00E01239">
        <w:rPr>
          <w:rFonts w:asciiTheme="minorHAnsi" w:hAnsiTheme="minorHAnsi" w:cstheme="minorHAnsi"/>
          <w:color w:val="000000" w:themeColor="text1"/>
          <w:sz w:val="22"/>
          <w:szCs w:val="22"/>
          <w:u w:val="single"/>
          <w:lang w:eastAsia="fr-SN"/>
        </w:rPr>
        <w:t xml:space="preserve"> </w:t>
      </w:r>
    </w:p>
    <w:p w14:paraId="65E5D59C"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Le réseau hydrographique de surface de la zone Sylvopastorale est constitué par les eaux du fleuve Sénégal, les eaux méridionales du lac de Guiers, la partie amont du bassin versant du Ferlo et ses mares temporaires (Ndiaye, 2015). Elles assurent l’approvisionnement des pasteurs la saison des pluies et la répartition des animaux dans l’espace. </w:t>
      </w:r>
    </w:p>
    <w:p w14:paraId="66A08C2E" w14:textId="1E62EBDF"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De même, les 363 mares aménagées (</w:t>
      </w:r>
      <w:proofErr w:type="spellStart"/>
      <w:r w:rsidRPr="00E01239">
        <w:rPr>
          <w:rFonts w:asciiTheme="minorHAnsi" w:hAnsiTheme="minorHAnsi" w:cstheme="minorHAnsi"/>
          <w:color w:val="000000" w:themeColor="text1"/>
          <w:sz w:val="22"/>
          <w:szCs w:val="22"/>
          <w:lang w:eastAsia="fr-SN"/>
        </w:rPr>
        <w:t>Sarr</w:t>
      </w:r>
      <w:proofErr w:type="spellEnd"/>
      <w:r w:rsidRPr="00E01239">
        <w:rPr>
          <w:rFonts w:asciiTheme="minorHAnsi" w:hAnsiTheme="minorHAnsi" w:cstheme="minorHAnsi"/>
          <w:color w:val="000000" w:themeColor="text1"/>
          <w:sz w:val="22"/>
          <w:szCs w:val="22"/>
          <w:lang w:eastAsia="fr-SN"/>
        </w:rPr>
        <w:t xml:space="preserve">, 2009 </w:t>
      </w:r>
      <w:proofErr w:type="gramStart"/>
      <w:r w:rsidRPr="00E01239">
        <w:rPr>
          <w:rFonts w:asciiTheme="minorHAnsi" w:hAnsiTheme="minorHAnsi" w:cstheme="minorHAnsi"/>
          <w:color w:val="000000" w:themeColor="text1"/>
          <w:sz w:val="22"/>
          <w:szCs w:val="22"/>
          <w:lang w:eastAsia="fr-SN"/>
        </w:rPr>
        <w:t>cité</w:t>
      </w:r>
      <w:proofErr w:type="gramEnd"/>
      <w:r w:rsidRPr="00E01239">
        <w:rPr>
          <w:rFonts w:asciiTheme="minorHAnsi" w:hAnsiTheme="minorHAnsi" w:cstheme="minorHAnsi"/>
          <w:color w:val="000000" w:themeColor="text1"/>
          <w:sz w:val="22"/>
          <w:szCs w:val="22"/>
          <w:lang w:eastAsia="fr-SN"/>
        </w:rPr>
        <w:t xml:space="preserve"> par Ndiaye, 2015), en fonction des lames d’eau, peuvent assurer l’approvisionnement du bétail et des pasteurs jusqu’en milieu de saison sèche ; ce qui leur confère un rôle stratégique dans le système pastoral du Ferlo malgré des problèmes de pollution (Sy, 2009 cité par Ndiaye, 2015).</w:t>
      </w:r>
      <w:r w:rsidR="00B7342E"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color w:val="000000" w:themeColor="text1"/>
          <w:sz w:val="22"/>
          <w:szCs w:val="22"/>
          <w:lang w:eastAsia="fr-SN"/>
        </w:rPr>
        <w:t xml:space="preserve">Elles proviennent de trois nappes différentes : </w:t>
      </w:r>
    </w:p>
    <w:p w14:paraId="382EAA49" w14:textId="77777777" w:rsidR="008E4D64" w:rsidRPr="00E01239" w:rsidRDefault="008E4D64" w:rsidP="00027669">
      <w:pPr>
        <w:pStyle w:val="Paragraphedeliste"/>
        <w:numPr>
          <w:ilvl w:val="0"/>
          <w:numId w:val="176"/>
        </w:num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La nappe phréatique du CT, dans les calcaires de l’Eocène, concerne la presque totalité du bassin versant du Ferlo avec une profondeur évaluée entre 30 et 100 m (Michel et </w:t>
      </w:r>
      <w:proofErr w:type="spellStart"/>
      <w:r w:rsidRPr="00E01239">
        <w:rPr>
          <w:rFonts w:asciiTheme="minorHAnsi" w:hAnsiTheme="minorHAnsi" w:cstheme="minorHAnsi"/>
          <w:color w:val="000000" w:themeColor="text1"/>
          <w:sz w:val="22"/>
          <w:szCs w:val="22"/>
          <w:lang w:eastAsia="fr-SN"/>
        </w:rPr>
        <w:t>Sall</w:t>
      </w:r>
      <w:proofErr w:type="spellEnd"/>
      <w:r w:rsidRPr="00E01239">
        <w:rPr>
          <w:rFonts w:asciiTheme="minorHAnsi" w:hAnsiTheme="minorHAnsi" w:cstheme="minorHAnsi"/>
          <w:color w:val="000000" w:themeColor="text1"/>
          <w:sz w:val="22"/>
          <w:szCs w:val="22"/>
          <w:lang w:eastAsia="fr-SN"/>
        </w:rPr>
        <w:t xml:space="preserve">, 1980 </w:t>
      </w:r>
      <w:proofErr w:type="gramStart"/>
      <w:r w:rsidRPr="00E01239">
        <w:rPr>
          <w:rFonts w:asciiTheme="minorHAnsi" w:hAnsiTheme="minorHAnsi" w:cstheme="minorHAnsi"/>
          <w:color w:val="000000" w:themeColor="text1"/>
          <w:sz w:val="22"/>
          <w:szCs w:val="22"/>
          <w:lang w:eastAsia="fr-SN"/>
        </w:rPr>
        <w:t>cité</w:t>
      </w:r>
      <w:proofErr w:type="gramEnd"/>
      <w:r w:rsidRPr="00E01239">
        <w:rPr>
          <w:rFonts w:asciiTheme="minorHAnsi" w:hAnsiTheme="minorHAnsi" w:cstheme="minorHAnsi"/>
          <w:color w:val="000000" w:themeColor="text1"/>
          <w:sz w:val="22"/>
          <w:szCs w:val="22"/>
          <w:lang w:eastAsia="fr-SN"/>
        </w:rPr>
        <w:t xml:space="preserve"> par </w:t>
      </w:r>
      <w:proofErr w:type="spellStart"/>
      <w:r w:rsidRPr="00E01239">
        <w:rPr>
          <w:rFonts w:asciiTheme="minorHAnsi" w:hAnsiTheme="minorHAnsi" w:cstheme="minorHAnsi"/>
          <w:color w:val="000000" w:themeColor="text1"/>
          <w:sz w:val="22"/>
          <w:szCs w:val="22"/>
          <w:lang w:eastAsia="fr-SN"/>
        </w:rPr>
        <w:t>Sarr</w:t>
      </w:r>
      <w:proofErr w:type="spellEnd"/>
      <w:r w:rsidRPr="00E01239">
        <w:rPr>
          <w:rFonts w:asciiTheme="minorHAnsi" w:hAnsiTheme="minorHAnsi" w:cstheme="minorHAnsi"/>
          <w:color w:val="000000" w:themeColor="text1"/>
          <w:sz w:val="22"/>
          <w:szCs w:val="22"/>
          <w:lang w:eastAsia="fr-SN"/>
        </w:rPr>
        <w:t>, 2009).</w:t>
      </w:r>
    </w:p>
    <w:p w14:paraId="714789BC" w14:textId="77777777" w:rsidR="008E4D64" w:rsidRPr="00E01239" w:rsidRDefault="008E4D64" w:rsidP="00027669">
      <w:pPr>
        <w:pStyle w:val="Paragraphedeliste"/>
        <w:numPr>
          <w:ilvl w:val="0"/>
          <w:numId w:val="176"/>
        </w:num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 La nappe maestrichtienne, localisée dans le Crétacé supérieur, joue un rôle très important dans l’hydrogéologie du bassin versant du Ferlo même si ses eaux se trouvent entre 100 et 350 m de profondeur surtout dans l’alimentation hydrique par les forages à exhaure mécanique de ce vaste ensemble sylvopastoral (Mbaye, 1991 </w:t>
      </w:r>
      <w:proofErr w:type="gramStart"/>
      <w:r w:rsidRPr="00E01239">
        <w:rPr>
          <w:rFonts w:asciiTheme="minorHAnsi" w:hAnsiTheme="minorHAnsi" w:cstheme="minorHAnsi"/>
          <w:color w:val="000000" w:themeColor="text1"/>
          <w:sz w:val="22"/>
          <w:szCs w:val="22"/>
          <w:lang w:eastAsia="fr-SN"/>
        </w:rPr>
        <w:t>cité</w:t>
      </w:r>
      <w:proofErr w:type="gramEnd"/>
      <w:r w:rsidRPr="00E01239">
        <w:rPr>
          <w:rFonts w:asciiTheme="minorHAnsi" w:hAnsiTheme="minorHAnsi" w:cstheme="minorHAnsi"/>
          <w:color w:val="000000" w:themeColor="text1"/>
          <w:sz w:val="22"/>
          <w:szCs w:val="22"/>
          <w:lang w:eastAsia="fr-SN"/>
        </w:rPr>
        <w:t xml:space="preserve"> par Ndiaye, 2015). </w:t>
      </w:r>
    </w:p>
    <w:p w14:paraId="607BDB9E" w14:textId="77777777" w:rsidR="008E4D64" w:rsidRPr="00E01239" w:rsidRDefault="008E4D64" w:rsidP="00027669">
      <w:pPr>
        <w:pStyle w:val="Paragraphedeliste"/>
        <w:numPr>
          <w:ilvl w:val="0"/>
          <w:numId w:val="176"/>
        </w:num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La nappe perchée phréatique localisée au contact des formations dunaires de faible importance (PGIES, 2003 ; Ndiaye, 2015).</w:t>
      </w:r>
    </w:p>
    <w:p w14:paraId="0AA53303" w14:textId="77777777" w:rsidR="008E4D64" w:rsidRPr="00E01239" w:rsidRDefault="008E4D64" w:rsidP="008E4D64">
      <w:pPr>
        <w:spacing w:before="120" w:line="360" w:lineRule="exact"/>
        <w:jc w:val="both"/>
        <w:rPr>
          <w:rFonts w:asciiTheme="minorHAnsi" w:hAnsiTheme="minorHAnsi" w:cstheme="minorHAnsi"/>
        </w:rPr>
      </w:pPr>
    </w:p>
    <w:p w14:paraId="7EA2C22B" w14:textId="77777777" w:rsidR="008E4D64" w:rsidRPr="00E01239" w:rsidRDefault="008E4D64" w:rsidP="00202CE9">
      <w:pPr>
        <w:pStyle w:val="Titre3"/>
        <w:ind w:left="1134"/>
        <w:rPr>
          <w:rFonts w:asciiTheme="minorHAnsi" w:hAnsiTheme="minorHAnsi" w:cstheme="minorHAnsi"/>
        </w:rPr>
      </w:pPr>
      <w:bookmarkStart w:id="531" w:name="_Toc84845181"/>
      <w:bookmarkStart w:id="532" w:name="_Toc144654083"/>
      <w:r w:rsidRPr="00E01239">
        <w:rPr>
          <w:rFonts w:asciiTheme="minorHAnsi" w:hAnsiTheme="minorHAnsi" w:cstheme="minorHAnsi"/>
        </w:rPr>
        <w:t>Environnement biologique</w:t>
      </w:r>
      <w:bookmarkEnd w:id="531"/>
      <w:bookmarkEnd w:id="532"/>
      <w:r w:rsidRPr="00E01239">
        <w:rPr>
          <w:rFonts w:asciiTheme="minorHAnsi" w:hAnsiTheme="minorHAnsi" w:cstheme="minorHAnsi"/>
        </w:rPr>
        <w:t xml:space="preserve"> </w:t>
      </w:r>
    </w:p>
    <w:p w14:paraId="2785A0BB"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La diversité faunistique est principalement liée aux </w:t>
      </w:r>
      <w:proofErr w:type="spellStart"/>
      <w:r w:rsidRPr="00E01239">
        <w:rPr>
          <w:rFonts w:asciiTheme="minorHAnsi" w:hAnsiTheme="minorHAnsi" w:cstheme="minorHAnsi"/>
          <w:color w:val="000000" w:themeColor="text1"/>
          <w:sz w:val="22"/>
          <w:szCs w:val="22"/>
          <w:lang w:eastAsia="fr-SN"/>
        </w:rPr>
        <w:t>reserves</w:t>
      </w:r>
      <w:proofErr w:type="spellEnd"/>
      <w:r w:rsidRPr="00E01239">
        <w:rPr>
          <w:rFonts w:asciiTheme="minorHAnsi" w:hAnsiTheme="minorHAnsi" w:cstheme="minorHAnsi"/>
          <w:color w:val="000000" w:themeColor="text1"/>
          <w:sz w:val="22"/>
          <w:szCs w:val="22"/>
          <w:lang w:eastAsia="fr-SN"/>
        </w:rPr>
        <w:t xml:space="preserve"> avec </w:t>
      </w:r>
      <w:proofErr w:type="spellStart"/>
      <w:r w:rsidRPr="00E01239">
        <w:rPr>
          <w:rFonts w:asciiTheme="minorHAnsi" w:hAnsiTheme="minorHAnsi" w:cstheme="minorHAnsi"/>
          <w:i/>
          <w:iCs/>
          <w:color w:val="000000" w:themeColor="text1"/>
          <w:sz w:val="22"/>
          <w:szCs w:val="22"/>
          <w:lang w:eastAsia="fr-SN"/>
        </w:rPr>
        <w:t>Gazella</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rufifrons</w:t>
      </w:r>
      <w:proofErr w:type="spellEnd"/>
      <w:r w:rsidRPr="00E01239">
        <w:rPr>
          <w:rFonts w:asciiTheme="minorHAnsi" w:hAnsiTheme="minorHAnsi" w:cstheme="minorHAnsi"/>
          <w:color w:val="000000" w:themeColor="text1"/>
          <w:sz w:val="22"/>
          <w:szCs w:val="22"/>
          <w:lang w:eastAsia="fr-SN"/>
        </w:rPr>
        <w:t xml:space="preserve"> et </w:t>
      </w:r>
      <w:proofErr w:type="spellStart"/>
      <w:r w:rsidRPr="00E01239">
        <w:rPr>
          <w:rFonts w:asciiTheme="minorHAnsi" w:hAnsiTheme="minorHAnsi" w:cstheme="minorHAnsi"/>
          <w:i/>
          <w:iCs/>
          <w:color w:val="000000" w:themeColor="text1"/>
          <w:sz w:val="22"/>
          <w:szCs w:val="22"/>
          <w:lang w:eastAsia="fr-SN"/>
        </w:rPr>
        <w:t>Gazella</w:t>
      </w:r>
      <w:proofErr w:type="spellEnd"/>
      <w:r w:rsidRPr="00E01239">
        <w:rPr>
          <w:rFonts w:asciiTheme="minorHAnsi" w:hAnsiTheme="minorHAnsi" w:cstheme="minorHAnsi"/>
          <w:i/>
          <w:iCs/>
          <w:color w:val="000000" w:themeColor="text1"/>
          <w:sz w:val="22"/>
          <w:szCs w:val="22"/>
          <w:lang w:eastAsia="fr-SN"/>
        </w:rPr>
        <w:t xml:space="preserve"> dorcas</w:t>
      </w:r>
      <w:r w:rsidRPr="00E01239">
        <w:rPr>
          <w:rFonts w:asciiTheme="minorHAnsi" w:hAnsiTheme="minorHAnsi" w:cstheme="minorHAnsi"/>
          <w:color w:val="000000" w:themeColor="text1"/>
          <w:sz w:val="22"/>
          <w:szCs w:val="22"/>
          <w:lang w:eastAsia="fr-SN"/>
        </w:rPr>
        <w:t xml:space="preserve">, de la tortue </w:t>
      </w:r>
      <w:proofErr w:type="spellStart"/>
      <w:r w:rsidRPr="00E01239">
        <w:rPr>
          <w:rFonts w:asciiTheme="minorHAnsi" w:hAnsiTheme="minorHAnsi" w:cstheme="minorHAnsi"/>
          <w:color w:val="000000" w:themeColor="text1"/>
          <w:sz w:val="22"/>
          <w:szCs w:val="22"/>
          <w:lang w:eastAsia="fr-SN"/>
        </w:rPr>
        <w:t>Sulcata</w:t>
      </w:r>
      <w:proofErr w:type="spellEnd"/>
      <w:r w:rsidRPr="00E01239">
        <w:rPr>
          <w:rFonts w:asciiTheme="minorHAnsi" w:hAnsiTheme="minorHAnsi" w:cstheme="minorHAnsi"/>
          <w:color w:val="000000" w:themeColor="text1"/>
          <w:sz w:val="22"/>
          <w:szCs w:val="22"/>
          <w:lang w:eastAsia="fr-SN"/>
        </w:rPr>
        <w:t xml:space="preserve"> et de plus de 180 espèces d’oiseaux dont l’autruche (</w:t>
      </w:r>
      <w:r w:rsidRPr="00E01239">
        <w:rPr>
          <w:rFonts w:asciiTheme="minorHAnsi" w:hAnsiTheme="minorHAnsi" w:cstheme="minorHAnsi"/>
          <w:i/>
          <w:iCs/>
          <w:color w:val="000000" w:themeColor="text1"/>
          <w:sz w:val="22"/>
          <w:szCs w:val="22"/>
          <w:lang w:eastAsia="fr-SN"/>
        </w:rPr>
        <w:t xml:space="preserve">Struthio </w:t>
      </w:r>
      <w:proofErr w:type="spellStart"/>
      <w:r w:rsidRPr="00E01239">
        <w:rPr>
          <w:rFonts w:asciiTheme="minorHAnsi" w:hAnsiTheme="minorHAnsi" w:cstheme="minorHAnsi"/>
          <w:i/>
          <w:iCs/>
          <w:color w:val="000000" w:themeColor="text1"/>
          <w:sz w:val="22"/>
          <w:szCs w:val="22"/>
          <w:lang w:eastAsia="fr-SN"/>
        </w:rPr>
        <w:t>camelus</w:t>
      </w:r>
      <w:proofErr w:type="spellEnd"/>
      <w:r w:rsidRPr="00E01239">
        <w:rPr>
          <w:rFonts w:asciiTheme="minorHAnsi" w:hAnsiTheme="minorHAnsi" w:cstheme="minorHAnsi"/>
          <w:color w:val="000000" w:themeColor="text1"/>
          <w:sz w:val="22"/>
          <w:szCs w:val="22"/>
          <w:lang w:eastAsia="fr-SN"/>
        </w:rPr>
        <w:t>), le calao terrestre (</w:t>
      </w:r>
      <w:proofErr w:type="spellStart"/>
      <w:r w:rsidRPr="00E01239">
        <w:rPr>
          <w:rFonts w:asciiTheme="minorHAnsi" w:hAnsiTheme="minorHAnsi" w:cstheme="minorHAnsi"/>
          <w:i/>
          <w:iCs/>
          <w:color w:val="000000" w:themeColor="text1"/>
          <w:sz w:val="22"/>
          <w:szCs w:val="22"/>
          <w:lang w:eastAsia="fr-SN"/>
        </w:rPr>
        <w:t>Bucorvus</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abyssinicus</w:t>
      </w:r>
      <w:proofErr w:type="spellEnd"/>
      <w:r w:rsidRPr="00E01239">
        <w:rPr>
          <w:rFonts w:asciiTheme="minorHAnsi" w:hAnsiTheme="minorHAnsi" w:cstheme="minorHAnsi"/>
          <w:color w:val="000000" w:themeColor="text1"/>
          <w:sz w:val="22"/>
          <w:szCs w:val="22"/>
          <w:lang w:eastAsia="fr-SN"/>
        </w:rPr>
        <w:t>), la grande outarde arabe (</w:t>
      </w:r>
      <w:r w:rsidRPr="00E01239">
        <w:rPr>
          <w:rFonts w:asciiTheme="minorHAnsi" w:hAnsiTheme="minorHAnsi" w:cstheme="minorHAnsi"/>
          <w:i/>
          <w:iCs/>
          <w:color w:val="000000" w:themeColor="text1"/>
          <w:sz w:val="22"/>
          <w:szCs w:val="22"/>
          <w:lang w:eastAsia="fr-SN"/>
        </w:rPr>
        <w:t xml:space="preserve">Otis </w:t>
      </w:r>
      <w:proofErr w:type="spellStart"/>
      <w:r w:rsidRPr="00E01239">
        <w:rPr>
          <w:rFonts w:asciiTheme="minorHAnsi" w:hAnsiTheme="minorHAnsi" w:cstheme="minorHAnsi"/>
          <w:i/>
          <w:iCs/>
          <w:color w:val="000000" w:themeColor="text1"/>
          <w:sz w:val="22"/>
          <w:szCs w:val="22"/>
          <w:lang w:eastAsia="fr-SN"/>
        </w:rPr>
        <w:t>arabs</w:t>
      </w:r>
      <w:proofErr w:type="spellEnd"/>
      <w:r w:rsidRPr="00E01239">
        <w:rPr>
          <w:rFonts w:asciiTheme="minorHAnsi" w:hAnsiTheme="minorHAnsi" w:cstheme="minorHAnsi"/>
          <w:color w:val="000000" w:themeColor="text1"/>
          <w:sz w:val="22"/>
          <w:szCs w:val="22"/>
          <w:lang w:eastAsia="fr-SN"/>
        </w:rPr>
        <w:t xml:space="preserve">), etc.   </w:t>
      </w:r>
    </w:p>
    <w:p w14:paraId="4C73EF10"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La diversité floristique, quant à elle, est tributaire des conditions </w:t>
      </w:r>
      <w:proofErr w:type="spellStart"/>
      <w:r w:rsidRPr="00E01239">
        <w:rPr>
          <w:rFonts w:asciiTheme="minorHAnsi" w:hAnsiTheme="minorHAnsi" w:cstheme="minorHAnsi"/>
          <w:color w:val="000000" w:themeColor="text1"/>
          <w:sz w:val="22"/>
          <w:szCs w:val="22"/>
          <w:lang w:eastAsia="fr-SN"/>
        </w:rPr>
        <w:t>édaphoclimatiques</w:t>
      </w:r>
      <w:proofErr w:type="spellEnd"/>
      <w:r w:rsidRPr="00E01239">
        <w:rPr>
          <w:rFonts w:asciiTheme="minorHAnsi" w:hAnsiTheme="minorHAnsi" w:cstheme="minorHAnsi"/>
          <w:color w:val="000000" w:themeColor="text1"/>
          <w:sz w:val="22"/>
          <w:szCs w:val="22"/>
          <w:lang w:eastAsia="fr-SN"/>
        </w:rPr>
        <w:t xml:space="preserve">. Il s’agit entre autres de formations de type pseudo-steppes arbustives et de savanes arbustives à arborées » caducifoliées, très ouvertes, souvent épineuses où prédominent </w:t>
      </w:r>
      <w:r w:rsidRPr="00E01239">
        <w:rPr>
          <w:rFonts w:asciiTheme="minorHAnsi" w:hAnsiTheme="minorHAnsi" w:cstheme="minorHAnsi"/>
          <w:i/>
          <w:iCs/>
          <w:color w:val="000000" w:themeColor="text1"/>
          <w:sz w:val="22"/>
          <w:szCs w:val="22"/>
          <w:lang w:eastAsia="fr-SN"/>
        </w:rPr>
        <w:t xml:space="preserve">Acacia </w:t>
      </w:r>
      <w:proofErr w:type="spellStart"/>
      <w:r w:rsidRPr="00E01239">
        <w:rPr>
          <w:rFonts w:asciiTheme="minorHAnsi" w:hAnsiTheme="minorHAnsi" w:cstheme="minorHAnsi"/>
          <w:i/>
          <w:iCs/>
          <w:color w:val="000000" w:themeColor="text1"/>
          <w:sz w:val="22"/>
          <w:szCs w:val="22"/>
          <w:lang w:eastAsia="fr-SN"/>
        </w:rPr>
        <w:t>raddiana</w:t>
      </w:r>
      <w:proofErr w:type="spellEnd"/>
      <w:r w:rsidRPr="00E01239">
        <w:rPr>
          <w:rFonts w:asciiTheme="minorHAnsi" w:hAnsiTheme="minorHAnsi" w:cstheme="minorHAnsi"/>
          <w:color w:val="000000" w:themeColor="text1"/>
          <w:sz w:val="22"/>
          <w:szCs w:val="22"/>
          <w:lang w:eastAsia="fr-SN"/>
        </w:rPr>
        <w:t xml:space="preserve"> et </w:t>
      </w:r>
      <w:r w:rsidRPr="00E01239">
        <w:rPr>
          <w:rFonts w:asciiTheme="minorHAnsi" w:hAnsiTheme="minorHAnsi" w:cstheme="minorHAnsi"/>
          <w:i/>
          <w:iCs/>
          <w:color w:val="000000" w:themeColor="text1"/>
          <w:sz w:val="22"/>
          <w:szCs w:val="22"/>
          <w:lang w:eastAsia="fr-SN"/>
        </w:rPr>
        <w:t xml:space="preserve">Balanites </w:t>
      </w:r>
      <w:r w:rsidRPr="00E01239">
        <w:rPr>
          <w:rFonts w:asciiTheme="minorHAnsi" w:hAnsiTheme="minorHAnsi" w:cstheme="minorHAnsi"/>
          <w:i/>
          <w:iCs/>
          <w:color w:val="000000" w:themeColor="text1"/>
          <w:sz w:val="22"/>
          <w:szCs w:val="22"/>
          <w:lang w:eastAsia="fr-SN"/>
        </w:rPr>
        <w:lastRenderedPageBreak/>
        <w:t>aegyptiaca</w:t>
      </w:r>
      <w:r w:rsidRPr="00E01239">
        <w:rPr>
          <w:rFonts w:asciiTheme="minorHAnsi" w:hAnsiTheme="minorHAnsi" w:cstheme="minorHAnsi"/>
          <w:color w:val="000000" w:themeColor="text1"/>
          <w:sz w:val="22"/>
          <w:szCs w:val="22"/>
          <w:lang w:eastAsia="fr-SN"/>
        </w:rPr>
        <w:t xml:space="preserve">. En dehors des </w:t>
      </w:r>
      <w:r w:rsidRPr="00E01239">
        <w:rPr>
          <w:rFonts w:asciiTheme="minorHAnsi" w:hAnsiTheme="minorHAnsi" w:cstheme="minorHAnsi"/>
          <w:i/>
          <w:iCs/>
          <w:color w:val="000000" w:themeColor="text1"/>
          <w:sz w:val="22"/>
          <w:szCs w:val="22"/>
          <w:lang w:eastAsia="fr-SN"/>
        </w:rPr>
        <w:t>Balanites</w:t>
      </w:r>
      <w:r w:rsidRPr="00E01239">
        <w:rPr>
          <w:rFonts w:asciiTheme="minorHAnsi" w:hAnsiTheme="minorHAnsi" w:cstheme="minorHAnsi"/>
          <w:color w:val="000000" w:themeColor="text1"/>
          <w:sz w:val="22"/>
          <w:szCs w:val="22"/>
          <w:lang w:eastAsia="fr-SN"/>
        </w:rPr>
        <w:t xml:space="preserve">, la strate arbustive est dominée par </w:t>
      </w:r>
      <w:proofErr w:type="spellStart"/>
      <w:r w:rsidRPr="00E01239">
        <w:rPr>
          <w:rFonts w:asciiTheme="minorHAnsi" w:hAnsiTheme="minorHAnsi" w:cstheme="minorHAnsi"/>
          <w:i/>
          <w:iCs/>
          <w:color w:val="000000" w:themeColor="text1"/>
          <w:sz w:val="22"/>
          <w:szCs w:val="22"/>
          <w:lang w:eastAsia="fr-SN"/>
        </w:rPr>
        <w:t>Boscia</w:t>
      </w:r>
      <w:proofErr w:type="spellEnd"/>
      <w:r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i/>
          <w:iCs/>
          <w:color w:val="000000" w:themeColor="text1"/>
          <w:sz w:val="22"/>
          <w:szCs w:val="22"/>
          <w:lang w:eastAsia="fr-SN"/>
        </w:rPr>
        <w:t>senegalensis</w:t>
      </w:r>
      <w:r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i/>
          <w:iCs/>
          <w:color w:val="000000" w:themeColor="text1"/>
          <w:sz w:val="22"/>
          <w:szCs w:val="22"/>
          <w:lang w:eastAsia="fr-SN"/>
        </w:rPr>
        <w:t>Ziziphus</w:t>
      </w:r>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mauritiana</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color w:val="000000" w:themeColor="text1"/>
          <w:sz w:val="22"/>
          <w:szCs w:val="22"/>
          <w:lang w:eastAsia="fr-SN"/>
        </w:rPr>
        <w:t>Sarr</w:t>
      </w:r>
      <w:proofErr w:type="spellEnd"/>
      <w:r w:rsidRPr="00E01239">
        <w:rPr>
          <w:rFonts w:asciiTheme="minorHAnsi" w:hAnsiTheme="minorHAnsi" w:cstheme="minorHAnsi"/>
          <w:color w:val="000000" w:themeColor="text1"/>
          <w:sz w:val="22"/>
          <w:szCs w:val="22"/>
          <w:lang w:eastAsia="fr-SN"/>
        </w:rPr>
        <w:t xml:space="preserve">, 2008 </w:t>
      </w:r>
      <w:proofErr w:type="gramStart"/>
      <w:r w:rsidRPr="00E01239">
        <w:rPr>
          <w:rFonts w:asciiTheme="minorHAnsi" w:hAnsiTheme="minorHAnsi" w:cstheme="minorHAnsi"/>
          <w:color w:val="000000" w:themeColor="text1"/>
          <w:sz w:val="22"/>
          <w:szCs w:val="22"/>
          <w:lang w:eastAsia="fr-SN"/>
        </w:rPr>
        <w:t>cité</w:t>
      </w:r>
      <w:proofErr w:type="gramEnd"/>
      <w:r w:rsidRPr="00E01239">
        <w:rPr>
          <w:rFonts w:asciiTheme="minorHAnsi" w:hAnsiTheme="minorHAnsi" w:cstheme="minorHAnsi"/>
          <w:color w:val="000000" w:themeColor="text1"/>
          <w:sz w:val="22"/>
          <w:szCs w:val="22"/>
          <w:lang w:eastAsia="fr-SN"/>
        </w:rPr>
        <w:t xml:space="preserve"> par </w:t>
      </w:r>
      <w:proofErr w:type="spellStart"/>
      <w:r w:rsidRPr="00E01239">
        <w:rPr>
          <w:rFonts w:asciiTheme="minorHAnsi" w:hAnsiTheme="minorHAnsi" w:cstheme="minorHAnsi"/>
          <w:color w:val="000000" w:themeColor="text1"/>
          <w:sz w:val="22"/>
          <w:szCs w:val="22"/>
          <w:lang w:eastAsia="fr-SN"/>
        </w:rPr>
        <w:t>Fall</w:t>
      </w:r>
      <w:proofErr w:type="spellEnd"/>
      <w:r w:rsidRPr="00E01239">
        <w:rPr>
          <w:rFonts w:asciiTheme="minorHAnsi" w:hAnsiTheme="minorHAnsi" w:cstheme="minorHAnsi"/>
          <w:color w:val="000000" w:themeColor="text1"/>
          <w:sz w:val="22"/>
          <w:szCs w:val="22"/>
          <w:lang w:eastAsia="fr-SN"/>
        </w:rPr>
        <w:t xml:space="preserve">, 2014) tandis que </w:t>
      </w:r>
      <w:r w:rsidRPr="00E01239">
        <w:rPr>
          <w:rFonts w:asciiTheme="minorHAnsi" w:hAnsiTheme="minorHAnsi" w:cstheme="minorHAnsi"/>
          <w:i/>
          <w:iCs/>
          <w:color w:val="000000" w:themeColor="text1"/>
          <w:sz w:val="22"/>
          <w:szCs w:val="22"/>
          <w:lang w:eastAsia="fr-SN"/>
        </w:rPr>
        <w:t xml:space="preserve">Acacia seyal </w:t>
      </w:r>
      <w:r w:rsidRPr="00E01239">
        <w:rPr>
          <w:rFonts w:asciiTheme="minorHAnsi" w:hAnsiTheme="minorHAnsi" w:cstheme="minorHAnsi"/>
          <w:color w:val="000000" w:themeColor="text1"/>
          <w:sz w:val="22"/>
          <w:szCs w:val="22"/>
          <w:lang w:eastAsia="fr-SN"/>
        </w:rPr>
        <w:t xml:space="preserve">se domine les sols argileux et vaseux en compagnie de </w:t>
      </w:r>
      <w:proofErr w:type="spellStart"/>
      <w:r w:rsidRPr="00E01239">
        <w:rPr>
          <w:rFonts w:asciiTheme="minorHAnsi" w:hAnsiTheme="minorHAnsi" w:cstheme="minorHAnsi"/>
          <w:i/>
          <w:iCs/>
          <w:color w:val="000000" w:themeColor="text1"/>
          <w:sz w:val="22"/>
          <w:szCs w:val="22"/>
          <w:lang w:eastAsia="fr-SN"/>
        </w:rPr>
        <w:t>Combretum</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glutinosum</w:t>
      </w:r>
      <w:proofErr w:type="spellEnd"/>
      <w:r w:rsidRPr="00E01239">
        <w:rPr>
          <w:rFonts w:asciiTheme="minorHAnsi" w:hAnsiTheme="minorHAnsi" w:cstheme="minorHAnsi"/>
          <w:i/>
          <w:iCs/>
          <w:color w:val="000000" w:themeColor="text1"/>
          <w:sz w:val="22"/>
          <w:szCs w:val="22"/>
          <w:lang w:eastAsia="fr-SN"/>
        </w:rPr>
        <w:t xml:space="preserve">. </w:t>
      </w:r>
      <w:r w:rsidRPr="00E01239">
        <w:rPr>
          <w:rFonts w:asciiTheme="minorHAnsi" w:hAnsiTheme="minorHAnsi" w:cstheme="minorHAnsi"/>
          <w:color w:val="000000" w:themeColor="text1"/>
          <w:sz w:val="22"/>
          <w:szCs w:val="22"/>
          <w:lang w:eastAsia="fr-SN"/>
        </w:rPr>
        <w:t xml:space="preserve">Dans le Ferlo latéritique à l’Est et au Sud-Est, </w:t>
      </w:r>
      <w:r w:rsidRPr="00E01239">
        <w:rPr>
          <w:rFonts w:asciiTheme="minorHAnsi" w:hAnsiTheme="minorHAnsi" w:cstheme="minorHAnsi"/>
          <w:i/>
          <w:iCs/>
          <w:color w:val="000000" w:themeColor="text1"/>
          <w:sz w:val="22"/>
          <w:szCs w:val="22"/>
          <w:lang w:eastAsia="fr-SN"/>
        </w:rPr>
        <w:t>Pterocarpus</w:t>
      </w:r>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lucens</w:t>
      </w:r>
      <w:proofErr w:type="spellEnd"/>
      <w:r w:rsidRPr="00E01239">
        <w:rPr>
          <w:rFonts w:asciiTheme="minorHAnsi" w:hAnsiTheme="minorHAnsi" w:cstheme="minorHAnsi"/>
          <w:color w:val="000000" w:themeColor="text1"/>
          <w:sz w:val="22"/>
          <w:szCs w:val="22"/>
          <w:lang w:eastAsia="fr-SN"/>
        </w:rPr>
        <w:t xml:space="preserve"> associée à </w:t>
      </w:r>
      <w:r w:rsidRPr="00E01239">
        <w:rPr>
          <w:rFonts w:asciiTheme="minorHAnsi" w:hAnsiTheme="minorHAnsi" w:cstheme="minorHAnsi"/>
          <w:i/>
          <w:iCs/>
          <w:color w:val="000000" w:themeColor="text1"/>
          <w:sz w:val="22"/>
          <w:szCs w:val="22"/>
          <w:lang w:eastAsia="fr-SN"/>
        </w:rPr>
        <w:t>Acacia</w:t>
      </w:r>
      <w:r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i/>
          <w:iCs/>
          <w:color w:val="000000" w:themeColor="text1"/>
          <w:sz w:val="22"/>
          <w:szCs w:val="22"/>
          <w:lang w:eastAsia="fr-SN"/>
        </w:rPr>
        <w:t>seyal</w:t>
      </w:r>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Combretum</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micrantum</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Combretum</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nigricans</w:t>
      </w:r>
      <w:proofErr w:type="spellEnd"/>
      <w:r w:rsidRPr="00E01239">
        <w:rPr>
          <w:rFonts w:asciiTheme="minorHAnsi" w:hAnsiTheme="minorHAnsi" w:cstheme="minorHAnsi"/>
          <w:i/>
          <w:iCs/>
          <w:color w:val="000000" w:themeColor="text1"/>
          <w:sz w:val="22"/>
          <w:szCs w:val="22"/>
          <w:lang w:eastAsia="fr-SN"/>
        </w:rPr>
        <w:t xml:space="preserve"> domine</w:t>
      </w:r>
      <w:r w:rsidRPr="00E01239">
        <w:rPr>
          <w:rFonts w:asciiTheme="minorHAnsi" w:hAnsiTheme="minorHAnsi" w:cstheme="minorHAnsi"/>
          <w:color w:val="000000" w:themeColor="text1"/>
          <w:sz w:val="22"/>
          <w:szCs w:val="22"/>
          <w:lang w:eastAsia="fr-SN"/>
        </w:rPr>
        <w:t xml:space="preserve">. </w:t>
      </w:r>
    </w:p>
    <w:p w14:paraId="16A71D72" w14:textId="77777777" w:rsidR="008E4D64" w:rsidRPr="00E01239" w:rsidRDefault="008E4D64" w:rsidP="00202CE9">
      <w:pPr>
        <w:spacing w:before="120" w:line="280" w:lineRule="exact"/>
        <w:jc w:val="both"/>
        <w:textAlignment w:val="baseline"/>
        <w:rPr>
          <w:rFonts w:asciiTheme="minorHAnsi" w:hAnsiTheme="minorHAnsi" w:cstheme="minorHAnsi"/>
          <w:color w:val="000000" w:themeColor="text1"/>
          <w:sz w:val="22"/>
          <w:szCs w:val="22"/>
          <w:lang w:eastAsia="fr-SN"/>
        </w:rPr>
      </w:pPr>
      <w:r w:rsidRPr="00E01239">
        <w:rPr>
          <w:rFonts w:asciiTheme="minorHAnsi" w:hAnsiTheme="minorHAnsi" w:cstheme="minorHAnsi"/>
          <w:color w:val="000000" w:themeColor="text1"/>
          <w:sz w:val="22"/>
          <w:szCs w:val="22"/>
          <w:lang w:eastAsia="fr-SN"/>
        </w:rPr>
        <w:t xml:space="preserve">Au niveau des herbacées, il y a une domination des poacées à la bonne qualité fourragère comme </w:t>
      </w:r>
      <w:proofErr w:type="spellStart"/>
      <w:r w:rsidRPr="00E01239">
        <w:rPr>
          <w:rFonts w:asciiTheme="minorHAnsi" w:hAnsiTheme="minorHAnsi" w:cstheme="minorHAnsi"/>
          <w:i/>
          <w:iCs/>
          <w:color w:val="000000" w:themeColor="text1"/>
          <w:sz w:val="22"/>
          <w:szCs w:val="22"/>
          <w:lang w:eastAsia="fr-SN"/>
        </w:rPr>
        <w:t>Dactyloctenium</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aegyptium</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Cenchrus</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biflorus</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Aristida</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mutabilis</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Schoenefeldia</w:t>
      </w:r>
      <w:proofErr w:type="spellEnd"/>
      <w:r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i/>
          <w:iCs/>
          <w:color w:val="000000" w:themeColor="text1"/>
          <w:sz w:val="22"/>
          <w:szCs w:val="22"/>
          <w:lang w:eastAsia="fr-SN"/>
        </w:rPr>
        <w:t>gracilis</w:t>
      </w:r>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Eragrostis</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tremula</w:t>
      </w:r>
      <w:proofErr w:type="spellEnd"/>
      <w:r w:rsidRPr="00E01239">
        <w:rPr>
          <w:rFonts w:asciiTheme="minorHAnsi" w:hAnsiTheme="minorHAnsi" w:cstheme="minorHAnsi"/>
          <w:color w:val="000000" w:themeColor="text1"/>
          <w:sz w:val="22"/>
          <w:szCs w:val="22"/>
          <w:lang w:eastAsia="fr-SN"/>
        </w:rPr>
        <w:t xml:space="preserve">, </w:t>
      </w:r>
      <w:r w:rsidRPr="00E01239">
        <w:rPr>
          <w:rFonts w:asciiTheme="minorHAnsi" w:hAnsiTheme="minorHAnsi" w:cstheme="minorHAnsi"/>
          <w:i/>
          <w:iCs/>
          <w:color w:val="000000" w:themeColor="text1"/>
          <w:sz w:val="22"/>
          <w:szCs w:val="22"/>
          <w:lang w:eastAsia="fr-SN"/>
        </w:rPr>
        <w:t>Tragus</w:t>
      </w:r>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berteronianus</w:t>
      </w:r>
      <w:proofErr w:type="spellEnd"/>
      <w:r w:rsidRPr="00E01239">
        <w:rPr>
          <w:rFonts w:asciiTheme="minorHAnsi" w:hAnsiTheme="minorHAnsi" w:cstheme="minorHAnsi"/>
          <w:color w:val="000000" w:themeColor="text1"/>
          <w:sz w:val="22"/>
          <w:szCs w:val="22"/>
          <w:lang w:eastAsia="fr-SN"/>
        </w:rPr>
        <w:t xml:space="preserve">, et une fabacée </w:t>
      </w:r>
      <w:proofErr w:type="spellStart"/>
      <w:r w:rsidRPr="00E01239">
        <w:rPr>
          <w:rFonts w:asciiTheme="minorHAnsi" w:hAnsiTheme="minorHAnsi" w:cstheme="minorHAnsi"/>
          <w:i/>
          <w:iCs/>
          <w:color w:val="000000" w:themeColor="text1"/>
          <w:sz w:val="22"/>
          <w:szCs w:val="22"/>
          <w:lang w:eastAsia="fr-SN"/>
        </w:rPr>
        <w:t>Zornia</w:t>
      </w:r>
      <w:proofErr w:type="spellEnd"/>
      <w:r w:rsidRPr="00E01239">
        <w:rPr>
          <w:rFonts w:asciiTheme="minorHAnsi" w:hAnsiTheme="minorHAnsi" w:cstheme="minorHAnsi"/>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glochidiata</w:t>
      </w:r>
      <w:proofErr w:type="spellEnd"/>
      <w:r w:rsidRPr="00E01239">
        <w:rPr>
          <w:rFonts w:asciiTheme="minorHAnsi" w:hAnsiTheme="minorHAnsi" w:cstheme="minorHAnsi"/>
          <w:color w:val="000000" w:themeColor="text1"/>
          <w:sz w:val="22"/>
          <w:szCs w:val="22"/>
          <w:lang w:eastAsia="fr-SN"/>
        </w:rPr>
        <w:t xml:space="preserve"> fréquente dans les jachères et dans les zones de pâturage particulièrement recherchée par les éleveurs et les pasteurs pour ses qualités nutritionnelles., etc. (</w:t>
      </w:r>
      <w:proofErr w:type="spellStart"/>
      <w:r w:rsidRPr="00E01239">
        <w:rPr>
          <w:rFonts w:asciiTheme="minorHAnsi" w:hAnsiTheme="minorHAnsi" w:cstheme="minorHAnsi"/>
          <w:color w:val="000000" w:themeColor="text1"/>
          <w:sz w:val="22"/>
          <w:szCs w:val="22"/>
          <w:lang w:eastAsia="fr-SN"/>
        </w:rPr>
        <w:t>Fall</w:t>
      </w:r>
      <w:proofErr w:type="spellEnd"/>
      <w:r w:rsidRPr="00E01239">
        <w:rPr>
          <w:rFonts w:asciiTheme="minorHAnsi" w:hAnsiTheme="minorHAnsi" w:cstheme="minorHAnsi"/>
          <w:color w:val="000000" w:themeColor="text1"/>
          <w:sz w:val="22"/>
          <w:szCs w:val="22"/>
          <w:lang w:eastAsia="fr-SN"/>
        </w:rPr>
        <w:t xml:space="preserve">, 2021). Néanmoins, depuis 2017, il y a l’invasion du tapis herbacé par </w:t>
      </w:r>
      <w:proofErr w:type="spellStart"/>
      <w:r w:rsidRPr="00E01239">
        <w:rPr>
          <w:rFonts w:asciiTheme="minorHAnsi" w:hAnsiTheme="minorHAnsi" w:cstheme="minorHAnsi"/>
          <w:i/>
          <w:iCs/>
          <w:color w:val="000000" w:themeColor="text1"/>
          <w:sz w:val="22"/>
          <w:szCs w:val="22"/>
          <w:lang w:eastAsia="fr-SN"/>
        </w:rPr>
        <w:t>Diodia</w:t>
      </w:r>
      <w:proofErr w:type="spellEnd"/>
      <w:r w:rsidRPr="00E01239">
        <w:rPr>
          <w:rFonts w:asciiTheme="minorHAnsi" w:hAnsiTheme="minorHAnsi" w:cstheme="minorHAnsi"/>
          <w:i/>
          <w:iCs/>
          <w:color w:val="000000" w:themeColor="text1"/>
          <w:sz w:val="22"/>
          <w:szCs w:val="22"/>
          <w:lang w:eastAsia="fr-SN"/>
        </w:rPr>
        <w:t xml:space="preserve"> </w:t>
      </w:r>
      <w:proofErr w:type="spellStart"/>
      <w:r w:rsidRPr="00E01239">
        <w:rPr>
          <w:rFonts w:asciiTheme="minorHAnsi" w:hAnsiTheme="minorHAnsi" w:cstheme="minorHAnsi"/>
          <w:i/>
          <w:iCs/>
          <w:color w:val="000000" w:themeColor="text1"/>
          <w:sz w:val="22"/>
          <w:szCs w:val="22"/>
          <w:lang w:eastAsia="fr-SN"/>
        </w:rPr>
        <w:t>scandens</w:t>
      </w:r>
      <w:proofErr w:type="spellEnd"/>
      <w:r w:rsidRPr="00E01239">
        <w:rPr>
          <w:rFonts w:asciiTheme="minorHAnsi" w:hAnsiTheme="minorHAnsi" w:cstheme="minorHAnsi"/>
          <w:i/>
          <w:iCs/>
          <w:color w:val="000000" w:themeColor="text1"/>
          <w:sz w:val="22"/>
          <w:szCs w:val="22"/>
          <w:lang w:eastAsia="fr-SN"/>
        </w:rPr>
        <w:t xml:space="preserve">, </w:t>
      </w:r>
      <w:r w:rsidRPr="00E01239">
        <w:rPr>
          <w:rFonts w:asciiTheme="minorHAnsi" w:hAnsiTheme="minorHAnsi" w:cstheme="minorHAnsi"/>
          <w:color w:val="000000" w:themeColor="text1"/>
          <w:sz w:val="22"/>
          <w:szCs w:val="22"/>
          <w:lang w:eastAsia="fr-SN"/>
        </w:rPr>
        <w:t>une espèce colonisatrice et non appétée</w:t>
      </w:r>
      <w:r w:rsidRPr="00E01239">
        <w:rPr>
          <w:rFonts w:asciiTheme="minorHAnsi" w:hAnsiTheme="minorHAnsi" w:cstheme="minorHAnsi"/>
          <w:i/>
          <w:iCs/>
          <w:color w:val="000000" w:themeColor="text1"/>
          <w:sz w:val="22"/>
          <w:szCs w:val="22"/>
          <w:lang w:eastAsia="fr-SN"/>
        </w:rPr>
        <w:t xml:space="preserve">. </w:t>
      </w:r>
      <w:r w:rsidRPr="00E01239">
        <w:rPr>
          <w:rFonts w:asciiTheme="minorHAnsi" w:hAnsiTheme="minorHAnsi" w:cstheme="minorHAnsi"/>
          <w:color w:val="000000" w:themeColor="text1"/>
          <w:sz w:val="22"/>
          <w:szCs w:val="22"/>
          <w:lang w:eastAsia="fr-SN"/>
        </w:rPr>
        <w:t>En effet,</w:t>
      </w:r>
      <w:r w:rsidRPr="00E01239">
        <w:rPr>
          <w:rFonts w:asciiTheme="minorHAnsi" w:hAnsiTheme="minorHAnsi" w:cstheme="minorHAnsi"/>
          <w:i/>
          <w:iCs/>
          <w:color w:val="000000" w:themeColor="text1"/>
          <w:sz w:val="22"/>
          <w:szCs w:val="22"/>
          <w:lang w:eastAsia="fr-SN"/>
        </w:rPr>
        <w:t xml:space="preserve"> </w:t>
      </w:r>
      <w:r w:rsidRPr="00E01239">
        <w:rPr>
          <w:rFonts w:asciiTheme="minorHAnsi" w:hAnsiTheme="minorHAnsi" w:cstheme="minorHAnsi"/>
          <w:color w:val="000000" w:themeColor="text1"/>
          <w:sz w:val="22"/>
          <w:szCs w:val="22"/>
          <w:lang w:eastAsia="fr-SN"/>
        </w:rPr>
        <w:t>la physionomie actuelle de la végétation est la conséquence des changements globaux avec l’installation d’espèces plus adaptées à la sécheresse et moins appétées par le bétail (Ndiaye 2015).</w:t>
      </w:r>
    </w:p>
    <w:p w14:paraId="2CFC0D40"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Une partie importante de la zone Sylvopastorale a été aménagée en aires protégées dont :</w:t>
      </w:r>
    </w:p>
    <w:p w14:paraId="5C952E0F" w14:textId="77777777" w:rsidR="008E4D64" w:rsidRPr="00E01239" w:rsidRDefault="008E4D64" w:rsidP="00027669">
      <w:pPr>
        <w:pStyle w:val="Paragraphedeliste"/>
        <w:numPr>
          <w:ilvl w:val="0"/>
          <w:numId w:val="168"/>
        </w:numPr>
        <w:spacing w:before="120" w:line="280" w:lineRule="exact"/>
        <w:contextualSpacing w:val="0"/>
        <w:jc w:val="both"/>
        <w:rPr>
          <w:rFonts w:asciiTheme="minorHAnsi" w:hAnsiTheme="minorHAnsi" w:cstheme="minorHAnsi"/>
          <w:b/>
          <w:sz w:val="22"/>
          <w:szCs w:val="22"/>
        </w:rPr>
      </w:pPr>
      <w:r w:rsidRPr="00E01239">
        <w:rPr>
          <w:rFonts w:asciiTheme="minorHAnsi" w:hAnsiTheme="minorHAnsi" w:cstheme="minorHAnsi"/>
          <w:b/>
          <w:sz w:val="22"/>
          <w:szCs w:val="22"/>
        </w:rPr>
        <w:t>La réserve de faune du Ferlo</w:t>
      </w:r>
    </w:p>
    <w:p w14:paraId="6214DF2C"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Réserve de Faune du Ferlo est composée de 2 parties à savoir la Réserve du Nord (633 700 ha) et celle du Sud (487 000 ha) toutes deux créées en 1972 dans l’objectif de préserver la faune relique et favoriser l’équilibre naturel du site. On y trouve différentes espèces animales comme les gazelles (de type </w:t>
      </w:r>
      <w:proofErr w:type="spellStart"/>
      <w:r w:rsidRPr="00E01239">
        <w:rPr>
          <w:rFonts w:asciiTheme="minorHAnsi" w:hAnsiTheme="minorHAnsi" w:cstheme="minorHAnsi"/>
          <w:sz w:val="22"/>
          <w:szCs w:val="22"/>
        </w:rPr>
        <w:t>rufifrons</w:t>
      </w:r>
      <w:proofErr w:type="spellEnd"/>
      <w:r w:rsidRPr="00E01239">
        <w:rPr>
          <w:rFonts w:asciiTheme="minorHAnsi" w:hAnsiTheme="minorHAnsi" w:cstheme="minorHAnsi"/>
          <w:sz w:val="22"/>
          <w:szCs w:val="22"/>
        </w:rPr>
        <w:t xml:space="preserve"> et dorcas), la tortue (</w:t>
      </w:r>
      <w:proofErr w:type="spellStart"/>
      <w:r w:rsidRPr="00E01239">
        <w:rPr>
          <w:rFonts w:asciiTheme="minorHAnsi" w:hAnsiTheme="minorHAnsi" w:cstheme="minorHAnsi"/>
          <w:i/>
          <w:iCs/>
          <w:sz w:val="22"/>
          <w:szCs w:val="22"/>
        </w:rPr>
        <w:t>Sulcata</w:t>
      </w:r>
      <w:proofErr w:type="spellEnd"/>
      <w:r w:rsidRPr="00E01239">
        <w:rPr>
          <w:rFonts w:asciiTheme="minorHAnsi" w:hAnsiTheme="minorHAnsi" w:cstheme="minorHAnsi"/>
          <w:i/>
          <w:iCs/>
          <w:sz w:val="22"/>
          <w:szCs w:val="22"/>
        </w:rPr>
        <w:t xml:space="preserve"> </w:t>
      </w:r>
      <w:proofErr w:type="spellStart"/>
      <w:r w:rsidRPr="00E01239">
        <w:rPr>
          <w:rFonts w:asciiTheme="minorHAnsi" w:hAnsiTheme="minorHAnsi" w:cstheme="minorHAnsi"/>
          <w:i/>
          <w:iCs/>
          <w:sz w:val="22"/>
          <w:szCs w:val="22"/>
        </w:rPr>
        <w:t>geochelona</w:t>
      </w:r>
      <w:proofErr w:type="spellEnd"/>
      <w:r w:rsidRPr="00E01239">
        <w:rPr>
          <w:rFonts w:asciiTheme="minorHAnsi" w:hAnsiTheme="minorHAnsi" w:cstheme="minorHAnsi"/>
          <w:i/>
          <w:iCs/>
          <w:sz w:val="22"/>
          <w:szCs w:val="22"/>
        </w:rPr>
        <w:t>)</w:t>
      </w:r>
      <w:r w:rsidRPr="00E01239">
        <w:rPr>
          <w:rFonts w:asciiTheme="minorHAnsi" w:hAnsiTheme="minorHAnsi" w:cstheme="minorHAnsi"/>
          <w:sz w:val="22"/>
          <w:szCs w:val="22"/>
        </w:rPr>
        <w:t>, les autruches à cuisse rouge (</w:t>
      </w:r>
      <w:r w:rsidRPr="00E01239">
        <w:rPr>
          <w:rFonts w:asciiTheme="minorHAnsi" w:hAnsiTheme="minorHAnsi" w:cstheme="minorHAnsi"/>
          <w:i/>
          <w:iCs/>
          <w:sz w:val="22"/>
          <w:szCs w:val="22"/>
        </w:rPr>
        <w:t xml:space="preserve">Struthio </w:t>
      </w:r>
      <w:proofErr w:type="spellStart"/>
      <w:r w:rsidRPr="00E01239">
        <w:rPr>
          <w:rFonts w:asciiTheme="minorHAnsi" w:hAnsiTheme="minorHAnsi" w:cstheme="minorHAnsi"/>
          <w:i/>
          <w:iCs/>
          <w:sz w:val="22"/>
          <w:szCs w:val="22"/>
        </w:rPr>
        <w:t>camelus</w:t>
      </w:r>
      <w:proofErr w:type="spellEnd"/>
      <w:r w:rsidRPr="00E01239">
        <w:rPr>
          <w:rFonts w:asciiTheme="minorHAnsi" w:hAnsiTheme="minorHAnsi" w:cstheme="minorHAnsi"/>
          <w:sz w:val="22"/>
          <w:szCs w:val="22"/>
        </w:rPr>
        <w:t>) et diverses sortes d'oiseaux migrateurs. Ces réserves se caractérisent aussi par une riche biodiversité d’espèces végétales.</w:t>
      </w:r>
    </w:p>
    <w:p w14:paraId="55C28023"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L’évolution de ces réserves de faune en réserve biosphère du Ferlo comprenant, entre autres, les réserves Sylvopastorales, les réserves naturelles communautaires et les unités pastorales vont contribuer à préserver davantage ces aires protégées (ANSD, 2012).</w:t>
      </w:r>
    </w:p>
    <w:p w14:paraId="0FB78309" w14:textId="1FADE1F0" w:rsidR="008E4D64" w:rsidRPr="00E01239" w:rsidRDefault="00600E94" w:rsidP="00027669">
      <w:pPr>
        <w:pStyle w:val="Paragraphedeliste"/>
        <w:numPr>
          <w:ilvl w:val="0"/>
          <w:numId w:val="169"/>
        </w:numPr>
        <w:spacing w:before="120" w:line="280" w:lineRule="exact"/>
        <w:contextualSpacing w:val="0"/>
        <w:jc w:val="both"/>
        <w:rPr>
          <w:rFonts w:asciiTheme="minorHAnsi" w:hAnsiTheme="minorHAnsi" w:cstheme="minorHAnsi"/>
          <w:b/>
          <w:sz w:val="22"/>
          <w:szCs w:val="22"/>
        </w:rPr>
      </w:pPr>
      <w:r w:rsidRPr="00E01239">
        <w:rPr>
          <w:rFonts w:asciiTheme="minorHAnsi" w:hAnsiTheme="minorHAnsi" w:cstheme="minorHAnsi"/>
          <w:b/>
          <w:sz w:val="22"/>
          <w:szCs w:val="22"/>
        </w:rPr>
        <w:t>La</w:t>
      </w:r>
      <w:r w:rsidR="008E4D64" w:rsidRPr="00E01239">
        <w:rPr>
          <w:rFonts w:asciiTheme="minorHAnsi" w:hAnsiTheme="minorHAnsi" w:cstheme="minorHAnsi"/>
          <w:b/>
          <w:sz w:val="22"/>
          <w:szCs w:val="22"/>
        </w:rPr>
        <w:t xml:space="preserve"> réserve de biosphère</w:t>
      </w:r>
    </w:p>
    <w:p w14:paraId="0E2AAA58"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réserve de biosphère du Ferlo est située entre la vallée du fleuve Sénégal, au nord, et le bassin arachidier, au sud. D'une superficie de 2 057 862 ha, elle englobe plusieurs anciennes aires protégées :</w:t>
      </w:r>
    </w:p>
    <w:p w14:paraId="15D59CAE" w14:textId="77777777" w:rsidR="008E4D64" w:rsidRPr="00E01239" w:rsidRDefault="008E4D64" w:rsidP="00027669">
      <w:pPr>
        <w:numPr>
          <w:ilvl w:val="0"/>
          <w:numId w:val="167"/>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réserves de faune du Ferlo Nord (490 444 ha) et du Ferlo Sud (677 142 ha), créées en 1972, qui avaient pour objectif de protéger la faune résiduelle.</w:t>
      </w:r>
    </w:p>
    <w:p w14:paraId="3EE88738" w14:textId="77777777" w:rsidR="008E4D64" w:rsidRPr="00E01239" w:rsidRDefault="008E4D64" w:rsidP="00027669">
      <w:pPr>
        <w:numPr>
          <w:ilvl w:val="0"/>
          <w:numId w:val="167"/>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réserves de l'extrême ouest (153 000 ha) : réserves sylvopastorales de </w:t>
      </w:r>
      <w:proofErr w:type="spellStart"/>
      <w:r w:rsidRPr="00E01239">
        <w:rPr>
          <w:rFonts w:asciiTheme="minorHAnsi" w:hAnsiTheme="minorHAnsi" w:cstheme="minorHAnsi"/>
          <w:sz w:val="22"/>
          <w:szCs w:val="22"/>
        </w:rPr>
        <w:t>Younouféré</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Mbem</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Mbem</w:t>
      </w:r>
      <w:proofErr w:type="spellEnd"/>
      <w:r w:rsidRPr="00E01239">
        <w:rPr>
          <w:rFonts w:asciiTheme="minorHAnsi" w:hAnsiTheme="minorHAnsi" w:cstheme="minorHAnsi"/>
          <w:sz w:val="22"/>
          <w:szCs w:val="22"/>
        </w:rPr>
        <w:t xml:space="preserve"> et </w:t>
      </w:r>
      <w:proofErr w:type="spellStart"/>
      <w:r w:rsidRPr="00E01239">
        <w:rPr>
          <w:rFonts w:asciiTheme="minorHAnsi" w:hAnsiTheme="minorHAnsi" w:cstheme="minorHAnsi"/>
          <w:sz w:val="22"/>
          <w:szCs w:val="22"/>
        </w:rPr>
        <w:t>Sabsabré</w:t>
      </w:r>
      <w:proofErr w:type="spellEnd"/>
      <w:r w:rsidRPr="00E01239">
        <w:rPr>
          <w:rFonts w:asciiTheme="minorHAnsi" w:hAnsiTheme="minorHAnsi" w:cstheme="minorHAnsi"/>
          <w:sz w:val="22"/>
          <w:szCs w:val="22"/>
        </w:rPr>
        <w:t xml:space="preserve">, réserve naturelle communautaire de </w:t>
      </w:r>
      <w:proofErr w:type="spellStart"/>
      <w:r w:rsidRPr="00E01239">
        <w:rPr>
          <w:rFonts w:asciiTheme="minorHAnsi" w:hAnsiTheme="minorHAnsi" w:cstheme="minorHAnsi"/>
          <w:sz w:val="22"/>
          <w:szCs w:val="22"/>
        </w:rPr>
        <w:t>Mbounguiel</w:t>
      </w:r>
      <w:proofErr w:type="spellEnd"/>
      <w:r w:rsidRPr="00E01239">
        <w:rPr>
          <w:rFonts w:asciiTheme="minorHAnsi" w:hAnsiTheme="minorHAnsi" w:cstheme="minorHAnsi"/>
          <w:sz w:val="22"/>
          <w:szCs w:val="22"/>
        </w:rPr>
        <w:t xml:space="preserve"> et unités pastorales de </w:t>
      </w:r>
      <w:proofErr w:type="spellStart"/>
      <w:r w:rsidRPr="00E01239">
        <w:rPr>
          <w:rFonts w:asciiTheme="minorHAnsi" w:hAnsiTheme="minorHAnsi" w:cstheme="minorHAnsi"/>
          <w:sz w:val="22"/>
          <w:szCs w:val="22"/>
        </w:rPr>
        <w:t>Loumbol</w:t>
      </w:r>
      <w:proofErr w:type="spellEnd"/>
      <w:r w:rsidRPr="00E01239">
        <w:rPr>
          <w:rFonts w:asciiTheme="minorHAnsi" w:hAnsiTheme="minorHAnsi" w:cstheme="minorHAnsi"/>
          <w:sz w:val="22"/>
          <w:szCs w:val="22"/>
        </w:rPr>
        <w:t xml:space="preserve"> Samba Abdoul, </w:t>
      </w:r>
      <w:proofErr w:type="spellStart"/>
      <w:r w:rsidRPr="00E01239">
        <w:rPr>
          <w:rFonts w:asciiTheme="minorHAnsi" w:hAnsiTheme="minorHAnsi" w:cstheme="minorHAnsi"/>
          <w:sz w:val="22"/>
          <w:szCs w:val="22"/>
        </w:rPr>
        <w:t>Malandou</w:t>
      </w:r>
      <w:proofErr w:type="spellEnd"/>
      <w:r w:rsidRPr="00E01239">
        <w:rPr>
          <w:rFonts w:asciiTheme="minorHAnsi" w:hAnsiTheme="minorHAnsi" w:cstheme="minorHAnsi"/>
          <w:sz w:val="22"/>
          <w:szCs w:val="22"/>
        </w:rPr>
        <w:t xml:space="preserve"> et </w:t>
      </w:r>
      <w:proofErr w:type="spellStart"/>
      <w:r w:rsidRPr="00E01239">
        <w:rPr>
          <w:rFonts w:asciiTheme="minorHAnsi" w:hAnsiTheme="minorHAnsi" w:cstheme="minorHAnsi"/>
          <w:sz w:val="22"/>
          <w:szCs w:val="22"/>
        </w:rPr>
        <w:t>Windé</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Diohi</w:t>
      </w:r>
      <w:proofErr w:type="spellEnd"/>
      <w:r w:rsidRPr="00E01239">
        <w:rPr>
          <w:rFonts w:asciiTheme="minorHAnsi" w:hAnsiTheme="minorHAnsi" w:cstheme="minorHAnsi"/>
          <w:sz w:val="22"/>
          <w:szCs w:val="22"/>
        </w:rPr>
        <w:t xml:space="preserve"> créées en 1956 pour assurer le développement de l'élevage extensif.</w:t>
      </w:r>
    </w:p>
    <w:p w14:paraId="7998382C" w14:textId="77777777" w:rsidR="008E4D64" w:rsidRPr="00E01239" w:rsidRDefault="008E4D64" w:rsidP="00027669">
      <w:pPr>
        <w:numPr>
          <w:ilvl w:val="0"/>
          <w:numId w:val="167"/>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Au centre-ouest de la réserve de biosphère, la forêt de Vélingara Ferlo (50800 ha) a été classée en 1954, pour assurer la préservation des sols et des formations végétales.</w:t>
      </w:r>
    </w:p>
    <w:p w14:paraId="5FAFDF1A" w14:textId="77777777" w:rsidR="008E4D64" w:rsidRPr="00E01239" w:rsidRDefault="008E4D64" w:rsidP="008E4D64">
      <w:pPr>
        <w:rPr>
          <w:rFonts w:asciiTheme="minorHAnsi" w:hAnsiTheme="minorHAnsi" w:cstheme="minorHAnsi"/>
        </w:rPr>
      </w:pPr>
    </w:p>
    <w:p w14:paraId="790ED0AB" w14:textId="77777777" w:rsidR="008E4D64" w:rsidRPr="00E01239" w:rsidRDefault="008E4D64" w:rsidP="00202CE9">
      <w:pPr>
        <w:pStyle w:val="Titre3"/>
        <w:ind w:left="1134"/>
        <w:rPr>
          <w:rFonts w:asciiTheme="minorHAnsi" w:hAnsiTheme="minorHAnsi" w:cstheme="minorHAnsi"/>
        </w:rPr>
      </w:pPr>
      <w:bookmarkStart w:id="533" w:name="_Toc144654084"/>
      <w:bookmarkStart w:id="534" w:name="_Toc84845184"/>
      <w:r w:rsidRPr="00E01239">
        <w:rPr>
          <w:rFonts w:asciiTheme="minorHAnsi" w:hAnsiTheme="minorHAnsi" w:cstheme="minorHAnsi"/>
        </w:rPr>
        <w:t>Occupation du sol</w:t>
      </w:r>
      <w:bookmarkEnd w:id="533"/>
      <w:r w:rsidRPr="00E01239">
        <w:rPr>
          <w:rFonts w:asciiTheme="minorHAnsi" w:hAnsiTheme="minorHAnsi" w:cstheme="minorHAnsi"/>
        </w:rPr>
        <w:t xml:space="preserve"> </w:t>
      </w:r>
      <w:bookmarkEnd w:id="534"/>
      <w:r w:rsidRPr="00E01239">
        <w:rPr>
          <w:rFonts w:asciiTheme="minorHAnsi" w:hAnsiTheme="minorHAnsi" w:cstheme="minorHAnsi"/>
        </w:rPr>
        <w:t xml:space="preserve"> </w:t>
      </w:r>
    </w:p>
    <w:p w14:paraId="4868235C" w14:textId="2A54B7C1" w:rsidR="008E4D64" w:rsidRPr="00E01239" w:rsidRDefault="008E4D64" w:rsidP="00B7342E">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L’occupation du sol dans le Ferlo montre une présence importante de la couverture végétale (51 %) et la végétation ouverte sur </w:t>
      </w:r>
      <w:r w:rsidR="00A5016C">
        <w:rPr>
          <w:rFonts w:asciiTheme="minorHAnsi" w:hAnsiTheme="minorHAnsi" w:cstheme="minorHAnsi"/>
          <w:sz w:val="22"/>
          <w:szCs w:val="22"/>
        </w:rPr>
        <w:t xml:space="preserve">des </w:t>
      </w:r>
      <w:r w:rsidRPr="00E01239">
        <w:rPr>
          <w:rFonts w:asciiTheme="minorHAnsi" w:hAnsiTheme="minorHAnsi" w:cstheme="minorHAnsi"/>
          <w:sz w:val="22"/>
          <w:szCs w:val="22"/>
        </w:rPr>
        <w:t>sol</w:t>
      </w:r>
      <w:r w:rsidR="00A5016C">
        <w:rPr>
          <w:rFonts w:asciiTheme="minorHAnsi" w:hAnsiTheme="minorHAnsi" w:cstheme="minorHAnsi"/>
          <w:sz w:val="22"/>
          <w:szCs w:val="22"/>
        </w:rPr>
        <w:t>s</w:t>
      </w:r>
      <w:r w:rsidRPr="00E01239">
        <w:rPr>
          <w:rFonts w:asciiTheme="minorHAnsi" w:hAnsiTheme="minorHAnsi" w:cstheme="minorHAnsi"/>
          <w:sz w:val="22"/>
          <w:szCs w:val="22"/>
        </w:rPr>
        <w:t xml:space="preserve"> sableux clairs (31 %) contrairement à la végétation ouverte sur sols sombres (17 %) et la végétation fermée quasi absente (1 %). Les surfaces où la couverture végétale est absente sont majoritairement constituées des sols nus avec les sols nus sableux clairs (25 %), les sols nus sombres (4 %), les sols nus sablo-argileux (1 %) et des milieux aquatiques (eaux fluviales et marines principalement) avec 10% de superficie d’occupation. Les superficies de zones incendiées sont très importantes durant ces dernières années et sont principalement localisées au nord et au sud-est du Ferlo.</w:t>
      </w:r>
    </w:p>
    <w:p w14:paraId="294E7286" w14:textId="77777777" w:rsidR="00B7342E" w:rsidRPr="00E01239" w:rsidRDefault="00B7342E" w:rsidP="00202CE9">
      <w:pPr>
        <w:spacing w:before="120" w:line="280" w:lineRule="exact"/>
        <w:jc w:val="both"/>
        <w:rPr>
          <w:rFonts w:asciiTheme="minorHAnsi" w:hAnsiTheme="minorHAnsi" w:cstheme="minorHAnsi"/>
          <w:sz w:val="22"/>
          <w:szCs w:val="22"/>
        </w:rPr>
      </w:pPr>
    </w:p>
    <w:p w14:paraId="5E216859" w14:textId="77777777" w:rsidR="008E4D64" w:rsidRPr="00E01239" w:rsidRDefault="21A48B5C" w:rsidP="00027669">
      <w:pPr>
        <w:pStyle w:val="Titre2"/>
        <w:numPr>
          <w:ilvl w:val="1"/>
          <w:numId w:val="171"/>
        </w:numPr>
        <w:tabs>
          <w:tab w:val="num" w:pos="360"/>
        </w:tabs>
        <w:ind w:left="644" w:hanging="360"/>
        <w:rPr>
          <w:rFonts w:asciiTheme="minorHAnsi" w:hAnsiTheme="minorHAnsi" w:cstheme="minorHAnsi"/>
          <w:color w:val="auto"/>
        </w:rPr>
      </w:pPr>
      <w:bookmarkStart w:id="535" w:name="_Toc84845185"/>
      <w:bookmarkStart w:id="536" w:name="_Toc144654085"/>
      <w:r w:rsidRPr="00E01239">
        <w:rPr>
          <w:rFonts w:asciiTheme="minorHAnsi" w:hAnsiTheme="minorHAnsi" w:cstheme="minorBidi"/>
          <w:color w:val="auto"/>
        </w:rPr>
        <w:t>DESCRIPTIF BIOPHYSIQUE DE LA CASAMANCE</w:t>
      </w:r>
      <w:bookmarkEnd w:id="535"/>
      <w:r w:rsidRPr="00E01239">
        <w:rPr>
          <w:rFonts w:asciiTheme="minorHAnsi" w:hAnsiTheme="minorHAnsi" w:cstheme="minorBidi"/>
          <w:color w:val="auto"/>
        </w:rPr>
        <w:t xml:space="preserve"> NATURELLE</w:t>
      </w:r>
      <w:bookmarkEnd w:id="536"/>
    </w:p>
    <w:p w14:paraId="42ACF5B3" w14:textId="6CC17047" w:rsidR="008E4D64" w:rsidRPr="00E01239" w:rsidRDefault="008E4D64" w:rsidP="001D267F">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Casamance naturelle correspond aux régions administratives de Ziguinchor, Sédhiou et Kolda. Elle va de l'océan </w:t>
      </w:r>
      <w:r w:rsidR="00033B1B" w:rsidRPr="00E01239">
        <w:rPr>
          <w:rFonts w:asciiTheme="minorHAnsi" w:hAnsiTheme="minorHAnsi" w:cstheme="minorHAnsi"/>
          <w:sz w:val="22"/>
          <w:szCs w:val="22"/>
        </w:rPr>
        <w:t>Atlantique</w:t>
      </w:r>
      <w:r w:rsidRPr="00E01239">
        <w:rPr>
          <w:rFonts w:asciiTheme="minorHAnsi" w:hAnsiTheme="minorHAnsi" w:cstheme="minorHAnsi"/>
          <w:sz w:val="22"/>
          <w:szCs w:val="22"/>
        </w:rPr>
        <w:t xml:space="preserve"> au </w:t>
      </w:r>
      <w:proofErr w:type="spellStart"/>
      <w:r w:rsidRPr="00E01239">
        <w:rPr>
          <w:rFonts w:asciiTheme="minorHAnsi" w:hAnsiTheme="minorHAnsi" w:cstheme="minorHAnsi"/>
          <w:sz w:val="22"/>
          <w:szCs w:val="22"/>
        </w:rPr>
        <w:t>Gouloumbou</w:t>
      </w:r>
      <w:proofErr w:type="spellEnd"/>
      <w:r w:rsidRPr="00E01239">
        <w:rPr>
          <w:rFonts w:asciiTheme="minorHAnsi" w:hAnsiTheme="minorHAnsi" w:cstheme="minorHAnsi"/>
          <w:sz w:val="22"/>
          <w:szCs w:val="22"/>
        </w:rPr>
        <w:t xml:space="preserve"> (frontière naturelle entre Casamance et Sénégal oriental). Elle se caractérise par d’importantes ressources naturelles, surtout forestières.</w:t>
      </w:r>
    </w:p>
    <w:p w14:paraId="042F1112" w14:textId="77777777" w:rsidR="00B7342E" w:rsidRPr="00E01239" w:rsidRDefault="00B7342E" w:rsidP="00202CE9">
      <w:pPr>
        <w:spacing w:before="120" w:line="280" w:lineRule="exact"/>
        <w:jc w:val="both"/>
        <w:rPr>
          <w:rFonts w:asciiTheme="minorHAnsi" w:hAnsiTheme="minorHAnsi" w:cstheme="minorHAnsi"/>
          <w:sz w:val="22"/>
          <w:szCs w:val="22"/>
        </w:rPr>
      </w:pPr>
    </w:p>
    <w:p w14:paraId="005AA5EE" w14:textId="55C856D0" w:rsidR="008E4D64" w:rsidRPr="00E01239" w:rsidRDefault="008E4D64" w:rsidP="00027669">
      <w:pPr>
        <w:pStyle w:val="Titre3"/>
        <w:numPr>
          <w:ilvl w:val="2"/>
          <w:numId w:val="171"/>
        </w:numPr>
        <w:ind w:left="1418"/>
        <w:rPr>
          <w:rFonts w:asciiTheme="minorHAnsi" w:hAnsiTheme="minorHAnsi" w:cstheme="minorHAnsi"/>
        </w:rPr>
      </w:pPr>
      <w:bookmarkStart w:id="537" w:name="_Toc84845186"/>
      <w:bookmarkStart w:id="538" w:name="_Toc144654086"/>
      <w:r w:rsidRPr="00E01239">
        <w:rPr>
          <w:rFonts w:asciiTheme="minorHAnsi" w:hAnsiTheme="minorHAnsi" w:cstheme="minorHAnsi"/>
        </w:rPr>
        <w:t>Environnement physique</w:t>
      </w:r>
      <w:bookmarkEnd w:id="537"/>
      <w:bookmarkEnd w:id="538"/>
    </w:p>
    <w:p w14:paraId="309C3D08" w14:textId="77777777" w:rsidR="008E4D64" w:rsidRPr="00E01239" w:rsidRDefault="008E4D64" w:rsidP="00202CE9">
      <w:pPr>
        <w:spacing w:before="120" w:line="280" w:lineRule="exact"/>
        <w:jc w:val="both"/>
        <w:rPr>
          <w:rFonts w:asciiTheme="minorHAnsi" w:hAnsiTheme="minorHAnsi" w:cstheme="minorHAnsi"/>
          <w:sz w:val="22"/>
          <w:szCs w:val="22"/>
          <w:u w:val="single"/>
        </w:rPr>
      </w:pPr>
      <w:bookmarkStart w:id="539" w:name="_Toc84845187"/>
      <w:r w:rsidRPr="00E01239">
        <w:rPr>
          <w:rFonts w:asciiTheme="minorHAnsi" w:hAnsiTheme="minorHAnsi" w:cstheme="minorHAnsi"/>
          <w:sz w:val="22"/>
          <w:szCs w:val="22"/>
          <w:u w:val="single"/>
        </w:rPr>
        <w:t>Climatologie</w:t>
      </w:r>
      <w:bookmarkEnd w:id="539"/>
      <w:r w:rsidRPr="00E01239">
        <w:rPr>
          <w:rFonts w:asciiTheme="minorHAnsi" w:hAnsiTheme="minorHAnsi" w:cstheme="minorHAnsi"/>
          <w:sz w:val="22"/>
          <w:szCs w:val="22"/>
          <w:u w:val="single"/>
        </w:rPr>
        <w:t xml:space="preserve"> </w:t>
      </w:r>
    </w:p>
    <w:p w14:paraId="74DE1DC4"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Appartenant au domaine Soudano guinéen chaud et humide, la Casamance est la région la plus arrosée du Sénégal malgré des contrastes climatiques à l’échelle de son territoire régionale répartie en trois sous zones à savoir la basse, la moyenne et la haute Casamance. </w:t>
      </w:r>
    </w:p>
    <w:p w14:paraId="0828E9D5"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De manière générale, le climat est de type </w:t>
      </w:r>
      <w:proofErr w:type="spellStart"/>
      <w:r w:rsidRPr="00E01239">
        <w:rPr>
          <w:rFonts w:asciiTheme="minorHAnsi" w:hAnsiTheme="minorHAnsi" w:cstheme="minorHAnsi"/>
          <w:sz w:val="22"/>
          <w:szCs w:val="22"/>
        </w:rPr>
        <w:t>subguinéen</w:t>
      </w:r>
      <w:proofErr w:type="spellEnd"/>
      <w:r w:rsidRPr="00E01239">
        <w:rPr>
          <w:rFonts w:asciiTheme="minorHAnsi" w:hAnsiTheme="minorHAnsi" w:cstheme="minorHAnsi"/>
          <w:sz w:val="22"/>
          <w:szCs w:val="22"/>
        </w:rPr>
        <w:t xml:space="preserve">, avec des précipitations entre 1200 et 1 500 mm, une amplitude thermique faible et une forte hygrométrie. La température moyenne annuelle y est de 26°. </w:t>
      </w:r>
    </w:p>
    <w:p w14:paraId="249F4D26"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saison des pluies est concentrée sur 4 à 5 mois et le bilan de l'évaporation annuelle est proche du total des précipitations (1 478 mm contre 1541 mm à Ziguinchor).</w:t>
      </w:r>
    </w:p>
    <w:p w14:paraId="4170233F" w14:textId="5306BF6F"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Pour les vents, il y a trois principaux types :</w:t>
      </w:r>
      <w:r w:rsidR="00B7342E" w:rsidRPr="00E01239">
        <w:rPr>
          <w:rFonts w:asciiTheme="minorHAnsi" w:hAnsiTheme="minorHAnsi" w:cstheme="minorHAnsi"/>
          <w:sz w:val="22"/>
          <w:szCs w:val="22"/>
        </w:rPr>
        <w:t xml:space="preserve"> l</w:t>
      </w:r>
      <w:r w:rsidRPr="00E01239">
        <w:rPr>
          <w:rFonts w:asciiTheme="minorHAnsi" w:hAnsiTheme="minorHAnsi" w:cstheme="minorHAnsi"/>
          <w:sz w:val="22"/>
          <w:szCs w:val="22"/>
        </w:rPr>
        <w:t xml:space="preserve">es alizés maritimes qui sont des vents journaliers soufflant surtout de janvier </w:t>
      </w:r>
      <w:r w:rsidR="00947F0A">
        <w:rPr>
          <w:rFonts w:asciiTheme="minorHAnsi" w:hAnsiTheme="minorHAnsi" w:cstheme="minorHAnsi"/>
          <w:sz w:val="22"/>
          <w:szCs w:val="22"/>
        </w:rPr>
        <w:t>à</w:t>
      </w:r>
      <w:r w:rsidR="00947F0A" w:rsidRPr="00E01239">
        <w:rPr>
          <w:rFonts w:asciiTheme="minorHAnsi" w:hAnsiTheme="minorHAnsi" w:cstheme="minorHAnsi"/>
          <w:sz w:val="22"/>
          <w:szCs w:val="22"/>
        </w:rPr>
        <w:t xml:space="preserve"> </w:t>
      </w:r>
      <w:r w:rsidRPr="00E01239">
        <w:rPr>
          <w:rFonts w:asciiTheme="minorHAnsi" w:hAnsiTheme="minorHAnsi" w:cstheme="minorHAnsi"/>
          <w:sz w:val="22"/>
          <w:szCs w:val="22"/>
        </w:rPr>
        <w:t>mai et contribuent à diminuer les températures</w:t>
      </w:r>
      <w:r w:rsidR="00B7342E" w:rsidRPr="00E01239">
        <w:rPr>
          <w:rFonts w:asciiTheme="minorHAnsi" w:hAnsiTheme="minorHAnsi" w:cstheme="minorHAnsi"/>
          <w:sz w:val="22"/>
          <w:szCs w:val="22"/>
        </w:rPr>
        <w:t xml:space="preserve">, </w:t>
      </w:r>
      <w:proofErr w:type="spellStart"/>
      <w:r w:rsidR="00B7342E" w:rsidRPr="00E01239">
        <w:rPr>
          <w:rFonts w:asciiTheme="minorHAnsi" w:hAnsiTheme="minorHAnsi" w:cstheme="minorHAnsi"/>
          <w:sz w:val="22"/>
          <w:szCs w:val="22"/>
        </w:rPr>
        <w:t>l</w:t>
      </w:r>
      <w:r w:rsidRPr="00E01239">
        <w:rPr>
          <w:rFonts w:asciiTheme="minorHAnsi" w:hAnsiTheme="minorHAnsi" w:cstheme="minorHAnsi"/>
          <w:sz w:val="22"/>
          <w:szCs w:val="22"/>
        </w:rPr>
        <w:t>’Harmattan</w:t>
      </w:r>
      <w:proofErr w:type="spellEnd"/>
      <w:r w:rsidRPr="00E01239">
        <w:rPr>
          <w:rFonts w:asciiTheme="minorHAnsi" w:hAnsiTheme="minorHAnsi" w:cstheme="minorHAnsi"/>
          <w:sz w:val="22"/>
          <w:szCs w:val="22"/>
        </w:rPr>
        <w:t>, qui souffle d’octobre à février-mars, est chaud et sec soufflant assez régulièrement dans la journée, avec un maximum au milieu de la journée et une diminution sensible ver</w:t>
      </w:r>
      <w:r w:rsidR="008162C4">
        <w:rPr>
          <w:rFonts w:asciiTheme="minorHAnsi" w:hAnsiTheme="minorHAnsi" w:cstheme="minorHAnsi"/>
          <w:sz w:val="22"/>
          <w:szCs w:val="22"/>
        </w:rPr>
        <w:t>s</w:t>
      </w:r>
      <w:r w:rsidRPr="00E01239">
        <w:rPr>
          <w:rFonts w:asciiTheme="minorHAnsi" w:hAnsiTheme="minorHAnsi" w:cstheme="minorHAnsi"/>
          <w:sz w:val="22"/>
          <w:szCs w:val="22"/>
        </w:rPr>
        <w:t xml:space="preserve"> le soir</w:t>
      </w:r>
      <w:r w:rsidR="00B7342E" w:rsidRPr="00E01239">
        <w:rPr>
          <w:rFonts w:asciiTheme="minorHAnsi" w:hAnsiTheme="minorHAnsi" w:cstheme="minorHAnsi"/>
          <w:sz w:val="22"/>
          <w:szCs w:val="22"/>
        </w:rPr>
        <w:t xml:space="preserve"> et l</w:t>
      </w:r>
      <w:r w:rsidRPr="00E01239">
        <w:rPr>
          <w:rFonts w:asciiTheme="minorHAnsi" w:hAnsiTheme="minorHAnsi" w:cstheme="minorHAnsi"/>
          <w:sz w:val="22"/>
          <w:szCs w:val="22"/>
        </w:rPr>
        <w:t>a Mousson, très humide, souffle de mai-juin à octobre pour apporter les pluies d’été.</w:t>
      </w:r>
    </w:p>
    <w:p w14:paraId="06050327" w14:textId="77777777" w:rsidR="008E4D64" w:rsidRPr="00E01239" w:rsidRDefault="008E4D64" w:rsidP="00202CE9">
      <w:pPr>
        <w:spacing w:before="120" w:line="280" w:lineRule="exact"/>
        <w:jc w:val="both"/>
        <w:rPr>
          <w:rFonts w:asciiTheme="minorHAnsi" w:hAnsiTheme="minorHAnsi" w:cstheme="minorHAnsi"/>
          <w:sz w:val="22"/>
          <w:szCs w:val="22"/>
          <w:u w:val="single"/>
        </w:rPr>
      </w:pPr>
      <w:bookmarkStart w:id="540" w:name="_Toc84845188"/>
      <w:r w:rsidRPr="00E01239">
        <w:rPr>
          <w:rFonts w:asciiTheme="minorHAnsi" w:hAnsiTheme="minorHAnsi" w:cstheme="minorHAnsi"/>
          <w:sz w:val="22"/>
          <w:szCs w:val="22"/>
          <w:u w:val="single"/>
        </w:rPr>
        <w:t>Géologie de la zone</w:t>
      </w:r>
      <w:bookmarkEnd w:id="540"/>
      <w:r w:rsidRPr="00E01239">
        <w:rPr>
          <w:rFonts w:asciiTheme="minorHAnsi" w:hAnsiTheme="minorHAnsi" w:cstheme="minorHAnsi"/>
          <w:sz w:val="22"/>
          <w:szCs w:val="22"/>
          <w:u w:val="single"/>
        </w:rPr>
        <w:t xml:space="preserve"> </w:t>
      </w:r>
    </w:p>
    <w:p w14:paraId="0956ABCA"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Il s’agit de la partie méridionale du bassin sédimentaire sénégalo-mauritanien, l’un des plus vastes bassins du littoral ouest africain. Des forages profonds ont montré l’enfoncement des structures au niveau du fleuve Casamance. Les cours d’eau, en suivant les lignes de fractures, dessinent des coudes brusques qui caractérisent, le cours de la Casamance et des affluents nommés localement </w:t>
      </w:r>
      <w:proofErr w:type="spellStart"/>
      <w:r w:rsidRPr="00E01239">
        <w:rPr>
          <w:rFonts w:asciiTheme="minorHAnsi" w:hAnsiTheme="minorHAnsi" w:cstheme="minorHAnsi"/>
          <w:sz w:val="22"/>
          <w:szCs w:val="22"/>
        </w:rPr>
        <w:t>bolons</w:t>
      </w:r>
      <w:proofErr w:type="spellEnd"/>
      <w:r w:rsidRPr="00E01239">
        <w:rPr>
          <w:rFonts w:asciiTheme="minorHAnsi" w:hAnsiTheme="minorHAnsi" w:cstheme="minorHAnsi"/>
          <w:sz w:val="22"/>
          <w:szCs w:val="22"/>
        </w:rPr>
        <w:t>. Après la régression qui a suivi le Miocène, il se dépose un sédiment détritique qui correspond à la formation appelée Continental Terminal. Ce sédiment est composé de grès argileux bariolés interstratifiés de couches d’argiles (</w:t>
      </w:r>
      <w:proofErr w:type="spellStart"/>
      <w:r w:rsidRPr="00E01239">
        <w:rPr>
          <w:rFonts w:asciiTheme="minorHAnsi" w:hAnsiTheme="minorHAnsi" w:cstheme="minorHAnsi"/>
          <w:sz w:val="22"/>
          <w:szCs w:val="22"/>
        </w:rPr>
        <w:t>Vieillefon</w:t>
      </w:r>
      <w:proofErr w:type="spellEnd"/>
      <w:r w:rsidRPr="00E01239">
        <w:rPr>
          <w:rFonts w:asciiTheme="minorHAnsi" w:hAnsiTheme="minorHAnsi" w:cstheme="minorHAnsi"/>
          <w:sz w:val="22"/>
          <w:szCs w:val="22"/>
        </w:rPr>
        <w:t xml:space="preserve"> 1974, Kalck 1978, </w:t>
      </w:r>
      <w:proofErr w:type="spellStart"/>
      <w:r w:rsidRPr="00E01239">
        <w:rPr>
          <w:rFonts w:asciiTheme="minorHAnsi" w:hAnsiTheme="minorHAnsi" w:cstheme="minorHAnsi"/>
          <w:sz w:val="22"/>
          <w:szCs w:val="22"/>
        </w:rPr>
        <w:t>Sall</w:t>
      </w:r>
      <w:proofErr w:type="spellEnd"/>
      <w:r w:rsidRPr="00E01239">
        <w:rPr>
          <w:rFonts w:asciiTheme="minorHAnsi" w:hAnsiTheme="minorHAnsi" w:cstheme="minorHAnsi"/>
          <w:sz w:val="22"/>
          <w:szCs w:val="22"/>
        </w:rPr>
        <w:t xml:space="preserve"> 1983, Marius 1984, </w:t>
      </w:r>
      <w:proofErr w:type="spellStart"/>
      <w:r w:rsidRPr="00E01239">
        <w:rPr>
          <w:rFonts w:asciiTheme="minorHAnsi" w:hAnsiTheme="minorHAnsi" w:cstheme="minorHAnsi"/>
          <w:sz w:val="22"/>
          <w:szCs w:val="22"/>
        </w:rPr>
        <w:t>Pimmel</w:t>
      </w:r>
      <w:proofErr w:type="spellEnd"/>
      <w:r w:rsidRPr="00E01239">
        <w:rPr>
          <w:rFonts w:asciiTheme="minorHAnsi" w:hAnsiTheme="minorHAnsi" w:cstheme="minorHAnsi"/>
          <w:sz w:val="22"/>
          <w:szCs w:val="22"/>
        </w:rPr>
        <w:t xml:space="preserve"> 1984). Le Quaternaire récent est, surtout, marqué par les vallées qui s’enfoncent « en doigts de gants » à l’intérieur, disséquant les plateaux. La transgression continue et vers 5500 BP la mer atteint sa côte maximale de +2 à +2,5m ; avec la mer qui envahit l’estuaire de la Casamance jusqu’à Diana </w:t>
      </w:r>
      <w:proofErr w:type="spellStart"/>
      <w:r w:rsidRPr="00E01239">
        <w:rPr>
          <w:rFonts w:asciiTheme="minorHAnsi" w:hAnsiTheme="minorHAnsi" w:cstheme="minorHAnsi"/>
          <w:sz w:val="22"/>
          <w:szCs w:val="22"/>
        </w:rPr>
        <w:t>Malari</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Sall</w:t>
      </w:r>
      <w:proofErr w:type="spellEnd"/>
      <w:r w:rsidRPr="00E01239">
        <w:rPr>
          <w:rFonts w:asciiTheme="minorHAnsi" w:hAnsiTheme="minorHAnsi" w:cstheme="minorHAnsi"/>
          <w:sz w:val="22"/>
          <w:szCs w:val="22"/>
        </w:rPr>
        <w:t>, 1982).</w:t>
      </w:r>
    </w:p>
    <w:p w14:paraId="5D0915D6"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mise en place des grandes unités géomorphologiques, caractéristiques de l’estuaire de la Basse Casamance, relève de cette période comprise entre le </w:t>
      </w:r>
      <w:proofErr w:type="spellStart"/>
      <w:r w:rsidRPr="00E01239">
        <w:rPr>
          <w:rFonts w:asciiTheme="minorHAnsi" w:hAnsiTheme="minorHAnsi" w:cstheme="minorHAnsi"/>
          <w:sz w:val="22"/>
          <w:szCs w:val="22"/>
        </w:rPr>
        <w:t>Nouakchottien</w:t>
      </w:r>
      <w:proofErr w:type="spellEnd"/>
      <w:r w:rsidRPr="00E01239">
        <w:rPr>
          <w:rFonts w:asciiTheme="minorHAnsi" w:hAnsiTheme="minorHAnsi" w:cstheme="minorHAnsi"/>
          <w:sz w:val="22"/>
          <w:szCs w:val="22"/>
        </w:rPr>
        <w:t xml:space="preserve"> et l’actuel. Vers 3000 BP la progression des cordons littoraux est telle que le golfe se présente alors sous la forme d’une grande lagune, avec d’épais dépôts de vase où la mangrove peut se développer intensément (Kalck, 1978). Enfin vers 1500 BP, la Casamance prend une allure comparable à l’actuelle. Certaines unités telles que les tannes apparaissent à l’arrière des mangroves à la faveur d’un climat sec qui conduit à la dernière transformation importante du paysage. Parallèlement, les vasières à mangrove comblent peu à peu la lagune et donnent à l’ensemble de la zone estuarienne sa morphologie actuelle.</w:t>
      </w:r>
    </w:p>
    <w:p w14:paraId="40978816" w14:textId="77777777"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En Basse Casamance, le relief est généralement plat avec les plateaux du CT qui ne dépassent guère 50 m. Le long du fleuve Casamance, le relief présente le même niveau que celui de la mer. La moyenne Casamance est caractérisée par un relief essentiellement composé de plateaux, de vallées et de bas-fonds (Ndiaye, 2019).</w:t>
      </w:r>
    </w:p>
    <w:p w14:paraId="104C8990" w14:textId="77777777" w:rsidR="008E4D64" w:rsidRPr="00E01239" w:rsidRDefault="008E4D64" w:rsidP="00202CE9">
      <w:pPr>
        <w:spacing w:before="120" w:line="280" w:lineRule="exact"/>
        <w:jc w:val="both"/>
        <w:rPr>
          <w:rFonts w:asciiTheme="minorHAnsi" w:hAnsiTheme="minorHAnsi" w:cstheme="minorHAnsi"/>
          <w:sz w:val="22"/>
          <w:szCs w:val="22"/>
          <w:u w:val="single"/>
        </w:rPr>
      </w:pPr>
      <w:bookmarkStart w:id="541" w:name="_Toc84845190"/>
      <w:r w:rsidRPr="00E01239">
        <w:rPr>
          <w:rFonts w:asciiTheme="minorHAnsi" w:hAnsiTheme="minorHAnsi" w:cstheme="minorHAnsi"/>
          <w:sz w:val="22"/>
          <w:szCs w:val="22"/>
          <w:u w:val="single"/>
        </w:rPr>
        <w:lastRenderedPageBreak/>
        <w:t>Ressources pédologiques</w:t>
      </w:r>
      <w:bookmarkEnd w:id="541"/>
      <w:r w:rsidRPr="00E01239">
        <w:rPr>
          <w:rFonts w:asciiTheme="minorHAnsi" w:hAnsiTheme="minorHAnsi" w:cstheme="minorHAnsi"/>
          <w:sz w:val="22"/>
          <w:szCs w:val="22"/>
          <w:u w:val="single"/>
        </w:rPr>
        <w:t xml:space="preserve"> </w:t>
      </w:r>
    </w:p>
    <w:p w14:paraId="0964C988" w14:textId="53A4DEDC" w:rsidR="008E4D64" w:rsidRPr="00E01239" w:rsidRDefault="008E4D64"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 profil pédologique de la basse Casamance est constitué par les sols de types :</w:t>
      </w:r>
      <w:r w:rsidR="00B7342E" w:rsidRPr="00E01239">
        <w:rPr>
          <w:rFonts w:asciiTheme="minorHAnsi" w:hAnsiTheme="minorHAnsi" w:cstheme="minorHAnsi"/>
          <w:sz w:val="22"/>
          <w:szCs w:val="22"/>
        </w:rPr>
        <w:t xml:space="preserve"> </w:t>
      </w:r>
      <w:r w:rsidRPr="00E01239">
        <w:rPr>
          <w:rFonts w:asciiTheme="minorHAnsi" w:hAnsiTheme="minorHAnsi" w:cstheme="minorHAnsi"/>
          <w:sz w:val="22"/>
          <w:szCs w:val="22"/>
        </w:rPr>
        <w:t>hydromorphes à gley aptes à la riziculture et au maraîchage ; acidifiés salés (essentiellement d’anciennes mangroves), affectés par un mauvais système de drainage ; ferrugineux tropicaux lessivés et ferralitiques sableux propices aux grandes cultures malgré la salinisation progressive des sols et les problèmes de gestion des terres qui constituent un handicap (Ndiaye, 2019).</w:t>
      </w:r>
      <w:r w:rsidR="00B7342E" w:rsidRPr="00E01239">
        <w:rPr>
          <w:rFonts w:asciiTheme="minorHAnsi" w:hAnsiTheme="minorHAnsi" w:cstheme="minorHAnsi"/>
          <w:sz w:val="22"/>
          <w:szCs w:val="22"/>
        </w:rPr>
        <w:t xml:space="preserve"> </w:t>
      </w:r>
      <w:r w:rsidRPr="00E01239">
        <w:rPr>
          <w:rFonts w:asciiTheme="minorHAnsi" w:hAnsiTheme="minorHAnsi" w:cstheme="minorHAnsi"/>
          <w:sz w:val="22"/>
          <w:szCs w:val="22"/>
        </w:rPr>
        <w:t>Le profil pédologique de la basse Casamance est constitué par les sols de types :</w:t>
      </w:r>
    </w:p>
    <w:p w14:paraId="7A94293D" w14:textId="53FD478E" w:rsidR="008E4D64" w:rsidRPr="00E01239" w:rsidRDefault="00CC2546" w:rsidP="00027669">
      <w:pPr>
        <w:pStyle w:val="Paragraphedeliste"/>
        <w:numPr>
          <w:ilvl w:val="0"/>
          <w:numId w:val="177"/>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w:t>
      </w:r>
      <w:r w:rsidR="008E4D64" w:rsidRPr="00E01239">
        <w:rPr>
          <w:rFonts w:asciiTheme="minorHAnsi" w:hAnsiTheme="minorHAnsi" w:cstheme="minorHAnsi"/>
          <w:sz w:val="22"/>
          <w:szCs w:val="22"/>
        </w:rPr>
        <w:t xml:space="preserve"> sols ferrugineux tropicaux et/ou ferralitiques avec des variantes suivant les conditions bioclimatiques (Deck), caractérisés par leur aptitude à la culture des céréales et de l’arachide ;</w:t>
      </w:r>
    </w:p>
    <w:p w14:paraId="20FF0A44" w14:textId="36AF04DA" w:rsidR="008E4D64" w:rsidRPr="00E01239" w:rsidRDefault="00CC2546" w:rsidP="00027669">
      <w:pPr>
        <w:pStyle w:val="Paragraphedeliste"/>
        <w:numPr>
          <w:ilvl w:val="0"/>
          <w:numId w:val="177"/>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w:t>
      </w:r>
      <w:r w:rsidR="008E4D64" w:rsidRPr="00E01239">
        <w:rPr>
          <w:rFonts w:asciiTheme="minorHAnsi" w:hAnsiTheme="minorHAnsi" w:cstheme="minorHAnsi"/>
          <w:sz w:val="22"/>
          <w:szCs w:val="22"/>
        </w:rPr>
        <w:t xml:space="preserve"> sols argilo limoneux, localisés sur les pentes des vallées, avec des palmeraies aptes à l’arboriculture et au maraîchage ;</w:t>
      </w:r>
    </w:p>
    <w:p w14:paraId="733984FA" w14:textId="7359F91B" w:rsidR="008E4D64" w:rsidRPr="00E01239" w:rsidRDefault="00CC2546" w:rsidP="00027669">
      <w:pPr>
        <w:pStyle w:val="Paragraphedeliste"/>
        <w:numPr>
          <w:ilvl w:val="0"/>
          <w:numId w:val="177"/>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w:t>
      </w:r>
      <w:r w:rsidR="008E4D64" w:rsidRPr="00E01239">
        <w:rPr>
          <w:rFonts w:asciiTheme="minorHAnsi" w:hAnsiTheme="minorHAnsi" w:cstheme="minorHAnsi"/>
          <w:sz w:val="22"/>
          <w:szCs w:val="22"/>
        </w:rPr>
        <w:t xml:space="preserve"> sols hydromorphes ou sols gris situés en bas des pentes et aptes à la riziculture ;</w:t>
      </w:r>
    </w:p>
    <w:p w14:paraId="00AF6675" w14:textId="5DB67FD0" w:rsidR="008E4D64" w:rsidRPr="00E01239" w:rsidRDefault="00CC2546" w:rsidP="00027669">
      <w:pPr>
        <w:pStyle w:val="Paragraphedeliste"/>
        <w:numPr>
          <w:ilvl w:val="0"/>
          <w:numId w:val="177"/>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w:t>
      </w:r>
      <w:r w:rsidR="008E4D64" w:rsidRPr="00E01239">
        <w:rPr>
          <w:rFonts w:asciiTheme="minorHAnsi" w:hAnsiTheme="minorHAnsi" w:cstheme="minorHAnsi"/>
          <w:sz w:val="22"/>
          <w:szCs w:val="22"/>
        </w:rPr>
        <w:t xml:space="preserve"> sols hydromorphes à Gley salés issus du contact alluvial fluviomarin le long des fleuves Casamance et le </w:t>
      </w:r>
      <w:proofErr w:type="spellStart"/>
      <w:r w:rsidR="008E4D64" w:rsidRPr="00E01239">
        <w:rPr>
          <w:rFonts w:asciiTheme="minorHAnsi" w:hAnsiTheme="minorHAnsi" w:cstheme="minorHAnsi"/>
          <w:sz w:val="22"/>
          <w:szCs w:val="22"/>
        </w:rPr>
        <w:t>Soungrougrou</w:t>
      </w:r>
      <w:proofErr w:type="spellEnd"/>
      <w:r w:rsidR="008E4D64" w:rsidRPr="00E01239">
        <w:rPr>
          <w:rFonts w:asciiTheme="minorHAnsi" w:hAnsiTheme="minorHAnsi" w:cstheme="minorHAnsi"/>
          <w:sz w:val="22"/>
          <w:szCs w:val="22"/>
        </w:rPr>
        <w:t xml:space="preserve"> aptes à la riziculture en hivernage malgré l’exposition à l’intrusion de la langue salée ;</w:t>
      </w:r>
    </w:p>
    <w:p w14:paraId="63FA3EE3" w14:textId="3D5223E8" w:rsidR="008E4D64" w:rsidRPr="00E01239" w:rsidRDefault="00CC2546" w:rsidP="00027669">
      <w:pPr>
        <w:pStyle w:val="Paragraphedeliste"/>
        <w:numPr>
          <w:ilvl w:val="0"/>
          <w:numId w:val="177"/>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w:t>
      </w:r>
      <w:r w:rsidR="008E4D64" w:rsidRPr="00E01239">
        <w:rPr>
          <w:rFonts w:asciiTheme="minorHAnsi" w:hAnsiTheme="minorHAnsi" w:cstheme="minorHAnsi"/>
          <w:sz w:val="22"/>
          <w:szCs w:val="22"/>
        </w:rPr>
        <w:t xml:space="preserve"> sols halomorphes acidifiés marqués par la forte teneur en sel qui les rend inutilisables.</w:t>
      </w:r>
    </w:p>
    <w:p w14:paraId="7686C597" w14:textId="77777777" w:rsidR="008E4D64" w:rsidRPr="00E01239" w:rsidRDefault="008E4D64" w:rsidP="00202CE9">
      <w:pPr>
        <w:spacing w:before="120" w:line="280" w:lineRule="exact"/>
        <w:jc w:val="both"/>
        <w:rPr>
          <w:rFonts w:asciiTheme="minorHAnsi" w:hAnsiTheme="minorHAnsi" w:cstheme="minorHAnsi"/>
          <w:sz w:val="22"/>
          <w:szCs w:val="22"/>
          <w:u w:val="single"/>
        </w:rPr>
      </w:pPr>
      <w:bookmarkStart w:id="542" w:name="_Toc84845191"/>
      <w:r w:rsidRPr="00E01239">
        <w:rPr>
          <w:rFonts w:asciiTheme="minorHAnsi" w:hAnsiTheme="minorHAnsi" w:cstheme="minorHAnsi"/>
          <w:sz w:val="22"/>
          <w:szCs w:val="22"/>
          <w:u w:val="single"/>
        </w:rPr>
        <w:t>Ressources en eau</w:t>
      </w:r>
      <w:bookmarkEnd w:id="542"/>
      <w:r w:rsidRPr="00E01239">
        <w:rPr>
          <w:rFonts w:asciiTheme="minorHAnsi" w:hAnsiTheme="minorHAnsi" w:cstheme="minorHAnsi"/>
          <w:sz w:val="22"/>
          <w:szCs w:val="22"/>
          <w:u w:val="single"/>
        </w:rPr>
        <w:t xml:space="preserve"> </w:t>
      </w:r>
    </w:p>
    <w:p w14:paraId="4B67785A"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 xml:space="preserve">Le réseau hydrographique de la basse Casamance est constitué du fleuve Casamance long de 300 km, de ses affluents et de nombreux marigots. Le fleuve Casamance qui est d’un régime semi permanent dont l'écoulement dure de juin à mars, est souvent bordé de mangroves et envahi par les eaux marines jusqu'à 200 km de son embouchure (Diana </w:t>
      </w:r>
      <w:proofErr w:type="spellStart"/>
      <w:r w:rsidRPr="00E01239">
        <w:rPr>
          <w:rFonts w:asciiTheme="minorHAnsi" w:hAnsiTheme="minorHAnsi" w:cstheme="minorHAnsi"/>
          <w:color w:val="000000" w:themeColor="text1"/>
          <w:sz w:val="22"/>
          <w:szCs w:val="22"/>
        </w:rPr>
        <w:t>Malari</w:t>
      </w:r>
      <w:proofErr w:type="spellEnd"/>
      <w:r w:rsidRPr="00E01239">
        <w:rPr>
          <w:rFonts w:asciiTheme="minorHAnsi" w:hAnsiTheme="minorHAnsi" w:cstheme="minorHAnsi"/>
          <w:color w:val="000000" w:themeColor="text1"/>
          <w:sz w:val="22"/>
          <w:szCs w:val="22"/>
        </w:rPr>
        <w:t>/Sédhiou) où se déversent des volumes très variables (60 à 280 millions de m</w:t>
      </w:r>
      <w:r w:rsidRPr="00E01239">
        <w:rPr>
          <w:rFonts w:asciiTheme="minorHAnsi" w:hAnsiTheme="minorHAnsi" w:cstheme="minorHAnsi"/>
          <w:color w:val="000000" w:themeColor="text1"/>
          <w:sz w:val="22"/>
          <w:szCs w:val="22"/>
          <w:vertAlign w:val="superscript"/>
        </w:rPr>
        <w:t>3</w:t>
      </w:r>
      <w:r w:rsidRPr="00E01239">
        <w:rPr>
          <w:rFonts w:asciiTheme="minorHAnsi" w:hAnsiTheme="minorHAnsi" w:cstheme="minorHAnsi"/>
          <w:color w:val="000000" w:themeColor="text1"/>
          <w:sz w:val="22"/>
          <w:szCs w:val="22"/>
        </w:rPr>
        <w:t xml:space="preserve"> d’eau par an).</w:t>
      </w:r>
    </w:p>
    <w:p w14:paraId="5B80E71D"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Dans la moyenne Casamance, le réseau hydrographique est formé d’un ensemble de cours d’eau permanents et saisonniers qui rend cette zone très propice à la riziculture, surtout au niveau des bas-fonds. L’avancée de la langue salée explique la salinisation et l’acidification des terres surtout au niveau des vasières et de certains bas-fonds en moyenne Casamance. L’accroissement de la salinité et de l’acidité a provoqué le recul de la végétation naturelle de mangrove et l’extension des tannes. En hivernage, de nombreuses mares temporaires perdurent dans les cuvettes argileuses des plateaux (PAPSEN, 2015).</w:t>
      </w:r>
    </w:p>
    <w:p w14:paraId="5E270843"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 xml:space="preserve">Sur le plan hydrogéologique, on rencontre d’importants gisements d’eau douce en Moyenne et en Haute Casamance, dont les plus importants sont : </w:t>
      </w:r>
    </w:p>
    <w:p w14:paraId="1A74E85B" w14:textId="77777777" w:rsidR="008E4D64" w:rsidRPr="00E01239" w:rsidRDefault="008E4D64" w:rsidP="00027669">
      <w:pPr>
        <w:pStyle w:val="Paragraphedeliste"/>
        <w:numPr>
          <w:ilvl w:val="0"/>
          <w:numId w:val="170"/>
        </w:numPr>
        <w:spacing w:before="120" w:line="280" w:lineRule="exact"/>
        <w:contextualSpacing w:val="0"/>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L’aquifère superficiel de profondeur généralement inférieure à 10 m ;</w:t>
      </w:r>
    </w:p>
    <w:p w14:paraId="1202A1C2" w14:textId="77777777" w:rsidR="008E4D64" w:rsidRPr="00E01239" w:rsidRDefault="008E4D64" w:rsidP="00027669">
      <w:pPr>
        <w:pStyle w:val="Paragraphedeliste"/>
        <w:numPr>
          <w:ilvl w:val="0"/>
          <w:numId w:val="170"/>
        </w:numPr>
        <w:spacing w:before="120" w:line="280" w:lineRule="exact"/>
        <w:contextualSpacing w:val="0"/>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 xml:space="preserve">L’aquifère semi-profond présent dans les deux bassins (Casamance et </w:t>
      </w:r>
      <w:proofErr w:type="spellStart"/>
      <w:r w:rsidRPr="00E01239">
        <w:rPr>
          <w:rFonts w:asciiTheme="minorHAnsi" w:hAnsiTheme="minorHAnsi" w:cstheme="minorHAnsi"/>
          <w:color w:val="000000" w:themeColor="text1"/>
          <w:sz w:val="22"/>
          <w:szCs w:val="22"/>
        </w:rPr>
        <w:t>Anambé</w:t>
      </w:r>
      <w:proofErr w:type="spellEnd"/>
      <w:r w:rsidRPr="00E01239">
        <w:rPr>
          <w:rFonts w:asciiTheme="minorHAnsi" w:hAnsiTheme="minorHAnsi" w:cstheme="minorHAnsi"/>
          <w:color w:val="000000" w:themeColor="text1"/>
          <w:sz w:val="22"/>
          <w:szCs w:val="22"/>
        </w:rPr>
        <w:t>) sauf au sud de Kolda et capté à moins de 150 m ;</w:t>
      </w:r>
    </w:p>
    <w:p w14:paraId="0A0459E2" w14:textId="77777777" w:rsidR="008E4D64" w:rsidRPr="00E01239" w:rsidRDefault="008E4D64" w:rsidP="00027669">
      <w:pPr>
        <w:pStyle w:val="Paragraphedeliste"/>
        <w:numPr>
          <w:ilvl w:val="0"/>
          <w:numId w:val="170"/>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color w:val="000000" w:themeColor="text1"/>
          <w:sz w:val="22"/>
          <w:szCs w:val="22"/>
        </w:rPr>
        <w:t xml:space="preserve"> L’aquifère profond présentant des caractéristiques hydrodynamiques très bonnes en Haute Casamance et captée par forage à partir de 400 m de profondeur.</w:t>
      </w:r>
    </w:p>
    <w:p w14:paraId="63F8F4BD"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Les deux grandes formations aquifères (CT et maestrichtienne) de la région constituent une réserve considérable en eau malgré la salinité grandissante même si elle diminue à mesure qu’on s’éloigne de la côte. La nappe maestrichtienne, d’une profondeur voisine de 400 m, est accessible à moins de 160 m avec des débits de 200 à 300 m</w:t>
      </w:r>
      <w:r w:rsidRPr="00E01239">
        <w:rPr>
          <w:rFonts w:asciiTheme="minorHAnsi" w:hAnsiTheme="minorHAnsi" w:cstheme="minorHAnsi"/>
          <w:color w:val="000000" w:themeColor="text1"/>
          <w:sz w:val="22"/>
          <w:szCs w:val="22"/>
          <w:vertAlign w:val="superscript"/>
        </w:rPr>
        <w:t>3</w:t>
      </w:r>
      <w:r w:rsidRPr="00E01239">
        <w:rPr>
          <w:rFonts w:asciiTheme="minorHAnsi" w:hAnsiTheme="minorHAnsi" w:cstheme="minorHAnsi"/>
          <w:color w:val="000000" w:themeColor="text1"/>
          <w:sz w:val="22"/>
          <w:szCs w:val="22"/>
        </w:rPr>
        <w:t xml:space="preserve"> /heure (Ndiaye, 2019).</w:t>
      </w:r>
    </w:p>
    <w:p w14:paraId="60D1D4FE" w14:textId="77777777" w:rsidR="008E4D64" w:rsidRPr="00E01239" w:rsidRDefault="008E4D64" w:rsidP="008E4D64">
      <w:pPr>
        <w:spacing w:before="120" w:line="360" w:lineRule="exact"/>
        <w:jc w:val="both"/>
        <w:rPr>
          <w:rFonts w:asciiTheme="minorHAnsi" w:hAnsiTheme="minorHAnsi" w:cstheme="minorHAnsi"/>
          <w:color w:val="000000" w:themeColor="text1"/>
          <w:sz w:val="22"/>
          <w:szCs w:val="22"/>
        </w:rPr>
      </w:pPr>
    </w:p>
    <w:p w14:paraId="6CE50869" w14:textId="77777777" w:rsidR="008E4D64" w:rsidRPr="00E01239" w:rsidRDefault="008E4D64" w:rsidP="00027669">
      <w:pPr>
        <w:pStyle w:val="Titre3"/>
        <w:numPr>
          <w:ilvl w:val="2"/>
          <w:numId w:val="171"/>
        </w:numPr>
        <w:ind w:left="1134"/>
        <w:rPr>
          <w:rFonts w:asciiTheme="minorHAnsi" w:hAnsiTheme="minorHAnsi" w:cstheme="minorHAnsi"/>
        </w:rPr>
      </w:pPr>
      <w:r w:rsidRPr="00E01239">
        <w:rPr>
          <w:rFonts w:asciiTheme="minorHAnsi" w:hAnsiTheme="minorHAnsi" w:cstheme="minorHAnsi"/>
        </w:rPr>
        <w:t xml:space="preserve"> </w:t>
      </w:r>
      <w:bookmarkStart w:id="543" w:name="_Toc84845192"/>
      <w:bookmarkStart w:id="544" w:name="_Toc144654087"/>
      <w:r w:rsidRPr="00E01239">
        <w:rPr>
          <w:rFonts w:asciiTheme="minorHAnsi" w:hAnsiTheme="minorHAnsi" w:cstheme="minorHAnsi"/>
        </w:rPr>
        <w:t>Environnement biologique</w:t>
      </w:r>
      <w:bookmarkEnd w:id="543"/>
      <w:bookmarkEnd w:id="544"/>
      <w:r w:rsidRPr="00E01239">
        <w:rPr>
          <w:rFonts w:asciiTheme="minorHAnsi" w:hAnsiTheme="minorHAnsi" w:cstheme="minorHAnsi"/>
        </w:rPr>
        <w:t xml:space="preserve"> </w:t>
      </w:r>
    </w:p>
    <w:p w14:paraId="448D1A57"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La Casamance recèle un important potentiel faunistique du fait de l’existence d’habitats favorables à leur évolution. La faune est représentée par les espèces appartenant aux</w:t>
      </w:r>
      <w:r w:rsidRPr="00E01239">
        <w:rPr>
          <w:rFonts w:asciiTheme="minorHAnsi" w:hAnsiTheme="minorHAnsi" w:cstheme="minorHAnsi"/>
          <w:sz w:val="22"/>
          <w:szCs w:val="22"/>
        </w:rPr>
        <w:t xml:space="preserve"> mammifères (</w:t>
      </w:r>
      <w:r w:rsidRPr="00E01239">
        <w:rPr>
          <w:rFonts w:asciiTheme="minorHAnsi" w:hAnsiTheme="minorHAnsi" w:cstheme="minorHAnsi"/>
          <w:color w:val="000000" w:themeColor="text1"/>
          <w:sz w:val="22"/>
          <w:szCs w:val="22"/>
        </w:rPr>
        <w:t xml:space="preserve">élan géant et </w:t>
      </w:r>
      <w:r w:rsidRPr="00E01239">
        <w:rPr>
          <w:rFonts w:asciiTheme="minorHAnsi" w:hAnsiTheme="minorHAnsi" w:cstheme="minorHAnsi"/>
          <w:color w:val="000000" w:themeColor="text1"/>
          <w:sz w:val="22"/>
          <w:szCs w:val="22"/>
        </w:rPr>
        <w:lastRenderedPageBreak/>
        <w:t>bai), aux primates arboricoles, aux reptiles (python de Seba, le python royal, le naja cracheur, le mamba vert, le mamba noir, etc.), et aux rongeurs et rapaces. Dans les formations forestières (forêts classées, forêts galeries), on rencontre des antilopes (guibs, céphalophes, etc.), des singes (singes verts, patas et colobes), des porcs–épics et certains reptiles tels que les serpents, le varan du Nil, le varan des sables et les crocodiles.</w:t>
      </w:r>
    </w:p>
    <w:p w14:paraId="74386135"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Concernant la flore, la végétation est assez peu développée</w:t>
      </w:r>
      <w:r w:rsidRPr="00E01239" w:rsidDel="00C67D16">
        <w:rPr>
          <w:rFonts w:asciiTheme="minorHAnsi" w:hAnsiTheme="minorHAnsi" w:cstheme="minorHAnsi"/>
          <w:color w:val="000000" w:themeColor="text1"/>
          <w:sz w:val="22"/>
          <w:szCs w:val="22"/>
        </w:rPr>
        <w:t xml:space="preserve"> </w:t>
      </w:r>
      <w:r w:rsidRPr="00E01239">
        <w:rPr>
          <w:rFonts w:asciiTheme="minorHAnsi" w:hAnsiTheme="minorHAnsi" w:cstheme="minorHAnsi"/>
          <w:color w:val="000000" w:themeColor="text1"/>
          <w:sz w:val="22"/>
          <w:szCs w:val="22"/>
        </w:rPr>
        <w:t xml:space="preserve">sur les dunes et les cordons littoraux, souvent à base </w:t>
      </w:r>
      <w:r w:rsidRPr="00E01239">
        <w:rPr>
          <w:rFonts w:asciiTheme="minorHAnsi" w:hAnsiTheme="minorHAnsi" w:cstheme="minorHAnsi"/>
          <w:i/>
          <w:iCs/>
          <w:color w:val="000000" w:themeColor="text1"/>
          <w:sz w:val="22"/>
          <w:szCs w:val="22"/>
        </w:rPr>
        <w:t>d'</w:t>
      </w:r>
      <w:proofErr w:type="spellStart"/>
      <w:r w:rsidRPr="00E01239">
        <w:rPr>
          <w:rFonts w:asciiTheme="minorHAnsi" w:hAnsiTheme="minorHAnsi" w:cstheme="minorHAnsi"/>
          <w:i/>
          <w:iCs/>
          <w:color w:val="000000" w:themeColor="text1"/>
          <w:sz w:val="22"/>
          <w:szCs w:val="22"/>
        </w:rPr>
        <w:t>Ipomea</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pescaprae</w:t>
      </w:r>
      <w:proofErr w:type="spellEnd"/>
      <w:r w:rsidRPr="00E01239">
        <w:rPr>
          <w:rFonts w:asciiTheme="minorHAnsi" w:hAnsiTheme="minorHAnsi" w:cstheme="minorHAnsi"/>
          <w:color w:val="000000" w:themeColor="text1"/>
          <w:sz w:val="22"/>
          <w:szCs w:val="22"/>
        </w:rPr>
        <w:t xml:space="preserve"> et </w:t>
      </w:r>
      <w:proofErr w:type="spellStart"/>
      <w:r w:rsidRPr="00E01239">
        <w:rPr>
          <w:rFonts w:asciiTheme="minorHAnsi" w:hAnsiTheme="minorHAnsi" w:cstheme="minorHAnsi"/>
          <w:i/>
          <w:iCs/>
          <w:color w:val="000000" w:themeColor="text1"/>
          <w:sz w:val="22"/>
          <w:szCs w:val="22"/>
        </w:rPr>
        <w:t>Chrysobalanus</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orbicularis</w:t>
      </w:r>
      <w:proofErr w:type="spellEnd"/>
      <w:r w:rsidRPr="00E01239">
        <w:rPr>
          <w:rFonts w:asciiTheme="minorHAnsi" w:hAnsiTheme="minorHAnsi" w:cstheme="minorHAnsi"/>
          <w:i/>
          <w:iCs/>
          <w:color w:val="000000" w:themeColor="text1"/>
          <w:sz w:val="22"/>
          <w:szCs w:val="22"/>
        </w:rPr>
        <w:t>,</w:t>
      </w:r>
      <w:r w:rsidRPr="00E01239">
        <w:rPr>
          <w:rFonts w:asciiTheme="minorHAnsi" w:hAnsiTheme="minorHAnsi" w:cstheme="minorHAnsi"/>
          <w:color w:val="000000" w:themeColor="text1"/>
          <w:sz w:val="22"/>
          <w:szCs w:val="22"/>
        </w:rPr>
        <w:t xml:space="preserve"> auxquels se mêlent, au voisinage des dépressions, des fourrés arbustifs à </w:t>
      </w:r>
      <w:proofErr w:type="spellStart"/>
      <w:r w:rsidRPr="00E01239">
        <w:rPr>
          <w:rFonts w:asciiTheme="minorHAnsi" w:hAnsiTheme="minorHAnsi" w:cstheme="minorHAnsi"/>
          <w:i/>
          <w:iCs/>
          <w:color w:val="000000" w:themeColor="text1"/>
          <w:sz w:val="22"/>
          <w:szCs w:val="22"/>
        </w:rPr>
        <w:t>Conocarpus</w:t>
      </w:r>
      <w:proofErr w:type="spellEnd"/>
      <w:r w:rsidRPr="00E01239">
        <w:rPr>
          <w:rFonts w:asciiTheme="minorHAnsi" w:hAnsiTheme="minorHAnsi" w:cstheme="minorHAnsi"/>
          <w:i/>
          <w:iCs/>
          <w:color w:val="000000" w:themeColor="text1"/>
          <w:sz w:val="22"/>
          <w:szCs w:val="22"/>
        </w:rPr>
        <w:t xml:space="preserve"> erectus</w:t>
      </w:r>
      <w:r w:rsidRPr="00E01239">
        <w:rPr>
          <w:rFonts w:asciiTheme="minorHAnsi" w:hAnsiTheme="minorHAnsi" w:cstheme="minorHAnsi"/>
          <w:color w:val="000000" w:themeColor="text1"/>
          <w:sz w:val="22"/>
          <w:szCs w:val="22"/>
        </w:rPr>
        <w:t xml:space="preserve">. Dans les </w:t>
      </w:r>
      <w:proofErr w:type="spellStart"/>
      <w:r w:rsidRPr="00E01239">
        <w:rPr>
          <w:rFonts w:asciiTheme="minorHAnsi" w:hAnsiTheme="minorHAnsi" w:cstheme="minorHAnsi"/>
          <w:color w:val="000000" w:themeColor="text1"/>
          <w:sz w:val="22"/>
          <w:szCs w:val="22"/>
        </w:rPr>
        <w:t>interdunes</w:t>
      </w:r>
      <w:proofErr w:type="spellEnd"/>
      <w:r w:rsidRPr="00E01239">
        <w:rPr>
          <w:rFonts w:asciiTheme="minorHAnsi" w:hAnsiTheme="minorHAnsi" w:cstheme="minorHAnsi"/>
          <w:color w:val="000000" w:themeColor="text1"/>
          <w:sz w:val="22"/>
          <w:szCs w:val="22"/>
        </w:rPr>
        <w:t xml:space="preserve"> et entre les cordons, des espèces plus hygrophiles se concentrent. Sur les terrasses sableuses les plus anciennes s'annonce la végétation des plateaux, avec une certaine concentration de palmiers (</w:t>
      </w:r>
      <w:r w:rsidRPr="00E01239">
        <w:rPr>
          <w:rFonts w:asciiTheme="minorHAnsi" w:hAnsiTheme="minorHAnsi" w:cstheme="minorHAnsi"/>
          <w:i/>
          <w:iCs/>
          <w:color w:val="000000" w:themeColor="text1"/>
          <w:sz w:val="22"/>
          <w:szCs w:val="22"/>
        </w:rPr>
        <w:t>Elaeis</w:t>
      </w:r>
      <w:r w:rsidRPr="00E01239">
        <w:rPr>
          <w:rFonts w:asciiTheme="minorHAnsi" w:hAnsiTheme="minorHAnsi" w:cstheme="minorHAnsi"/>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guineensis</w:t>
      </w:r>
      <w:proofErr w:type="spellEnd"/>
      <w:r w:rsidRPr="00E01239">
        <w:rPr>
          <w:rFonts w:asciiTheme="minorHAnsi" w:hAnsiTheme="minorHAnsi" w:cstheme="minorHAnsi"/>
          <w:i/>
          <w:iCs/>
          <w:color w:val="000000" w:themeColor="text1"/>
          <w:sz w:val="22"/>
          <w:szCs w:val="22"/>
        </w:rPr>
        <w:t>)</w:t>
      </w:r>
      <w:r w:rsidRPr="00E01239">
        <w:rPr>
          <w:rFonts w:asciiTheme="minorHAnsi" w:hAnsiTheme="minorHAnsi" w:cstheme="minorHAnsi"/>
          <w:color w:val="000000" w:themeColor="text1"/>
          <w:sz w:val="22"/>
          <w:szCs w:val="22"/>
        </w:rPr>
        <w:t xml:space="preserve">. Sur des terrasses plus récentes, on observe souvent une formation presque monospécifique à </w:t>
      </w:r>
      <w:proofErr w:type="spellStart"/>
      <w:r w:rsidRPr="00E01239">
        <w:rPr>
          <w:rFonts w:asciiTheme="minorHAnsi" w:hAnsiTheme="minorHAnsi" w:cstheme="minorHAnsi"/>
          <w:i/>
          <w:iCs/>
          <w:color w:val="000000" w:themeColor="text1"/>
          <w:sz w:val="22"/>
          <w:szCs w:val="22"/>
        </w:rPr>
        <w:t>Parinari</w:t>
      </w:r>
      <w:proofErr w:type="spellEnd"/>
      <w:r w:rsidRPr="00E01239">
        <w:rPr>
          <w:rFonts w:asciiTheme="minorHAnsi" w:hAnsiTheme="minorHAnsi" w:cstheme="minorHAnsi"/>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macrophylla</w:t>
      </w:r>
      <w:proofErr w:type="spellEnd"/>
      <w:r w:rsidRPr="00E01239">
        <w:rPr>
          <w:rFonts w:asciiTheme="minorHAnsi" w:hAnsiTheme="minorHAnsi" w:cstheme="minorHAnsi"/>
          <w:color w:val="000000" w:themeColor="text1"/>
          <w:sz w:val="22"/>
          <w:szCs w:val="22"/>
        </w:rPr>
        <w:t xml:space="preserve">. </w:t>
      </w:r>
    </w:p>
    <w:p w14:paraId="31F613C8"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La richesse en ressources naturelles, avec les formations forestières les plus importantes du pays, donne des forêts-galeries et palmeraies (palme à huile et rôneraies) le long du fleuve et des marigots. Sur les plateaux, les forêts sèches claires sont composées de grands arbres (</w:t>
      </w:r>
      <w:proofErr w:type="spellStart"/>
      <w:r w:rsidRPr="00E01239">
        <w:rPr>
          <w:rFonts w:asciiTheme="minorHAnsi" w:hAnsiTheme="minorHAnsi" w:cstheme="minorHAnsi"/>
          <w:i/>
          <w:iCs/>
          <w:color w:val="000000" w:themeColor="text1"/>
          <w:sz w:val="22"/>
          <w:szCs w:val="22"/>
        </w:rPr>
        <w:t>Cordilia</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pinnata</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Parkia</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biglobosa</w:t>
      </w:r>
      <w:proofErr w:type="spellEnd"/>
      <w:r w:rsidRPr="00E01239">
        <w:rPr>
          <w:rFonts w:asciiTheme="minorHAnsi" w:hAnsiTheme="minorHAnsi" w:cstheme="minorHAnsi"/>
          <w:i/>
          <w:iCs/>
          <w:color w:val="000000" w:themeColor="text1"/>
          <w:sz w:val="22"/>
          <w:szCs w:val="22"/>
        </w:rPr>
        <w:t xml:space="preserve">, Bombax </w:t>
      </w:r>
      <w:proofErr w:type="spellStart"/>
      <w:r w:rsidRPr="00E01239">
        <w:rPr>
          <w:rFonts w:asciiTheme="minorHAnsi" w:hAnsiTheme="minorHAnsi" w:cstheme="minorHAnsi"/>
          <w:i/>
          <w:iCs/>
          <w:color w:val="000000" w:themeColor="text1"/>
          <w:sz w:val="22"/>
          <w:szCs w:val="22"/>
        </w:rPr>
        <w:t>costatum</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Daniellia</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oliveri</w:t>
      </w:r>
      <w:proofErr w:type="spellEnd"/>
      <w:r w:rsidRPr="00E01239">
        <w:rPr>
          <w:rFonts w:asciiTheme="minorHAnsi" w:hAnsiTheme="minorHAnsi" w:cstheme="minorHAnsi"/>
          <w:color w:val="000000" w:themeColor="text1"/>
          <w:sz w:val="22"/>
          <w:szCs w:val="22"/>
        </w:rPr>
        <w:t xml:space="preserve">), avec un sous-bois de combrétacées et de nombreuses graminées, à l’exception des cuirasses à végétation plus pauvre. La forêt </w:t>
      </w:r>
      <w:proofErr w:type="spellStart"/>
      <w:r w:rsidRPr="00E01239">
        <w:rPr>
          <w:rFonts w:asciiTheme="minorHAnsi" w:hAnsiTheme="minorHAnsi" w:cstheme="minorHAnsi"/>
          <w:color w:val="000000" w:themeColor="text1"/>
          <w:sz w:val="22"/>
          <w:szCs w:val="22"/>
        </w:rPr>
        <w:t>subguinéenne</w:t>
      </w:r>
      <w:proofErr w:type="spellEnd"/>
      <w:r w:rsidRPr="00E01239">
        <w:rPr>
          <w:rFonts w:asciiTheme="minorHAnsi" w:hAnsiTheme="minorHAnsi" w:cstheme="minorHAnsi"/>
          <w:color w:val="000000" w:themeColor="text1"/>
          <w:sz w:val="22"/>
          <w:szCs w:val="22"/>
        </w:rPr>
        <w:t>, qui s’étend sur la partie méridionale de la moyenne Casamance est constituée par de grands arbres (</w:t>
      </w:r>
      <w:proofErr w:type="spellStart"/>
      <w:r w:rsidRPr="00E01239">
        <w:rPr>
          <w:rFonts w:asciiTheme="minorHAnsi" w:hAnsiTheme="minorHAnsi" w:cstheme="minorHAnsi"/>
          <w:i/>
          <w:iCs/>
          <w:color w:val="000000" w:themeColor="text1"/>
          <w:sz w:val="22"/>
          <w:szCs w:val="22"/>
        </w:rPr>
        <w:t>Parinari</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excelsa</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Erythrophleum</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guineense</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Chlorophora</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regia</w:t>
      </w:r>
      <w:proofErr w:type="spellEnd"/>
      <w:r w:rsidRPr="00E01239">
        <w:rPr>
          <w:rFonts w:asciiTheme="minorHAnsi" w:hAnsiTheme="minorHAnsi" w:cstheme="minorHAnsi"/>
          <w:color w:val="000000" w:themeColor="text1"/>
          <w:sz w:val="22"/>
          <w:szCs w:val="22"/>
        </w:rPr>
        <w:t>) qui atteignent 20 à 30 mètres de hauteur sous une forme dense et fermée. Avec l’extension des zones agricoles et du fait de l’exploitation du bois, ces forêts connaissent une régression progressive (PAPSEN, 2015).</w:t>
      </w:r>
    </w:p>
    <w:p w14:paraId="4861BE4A" w14:textId="1EF3859D"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 xml:space="preserve">Sur les alluvions gorgées d'eau séparées par les chenaux de marée, la mangrove, au petit nombre d'espèces caractéristiques, prospère avec exubérance. Il s’agit principalement de </w:t>
      </w:r>
      <w:r w:rsidRPr="00E01239">
        <w:rPr>
          <w:rFonts w:asciiTheme="minorHAnsi" w:hAnsiTheme="minorHAnsi" w:cstheme="minorHAnsi"/>
          <w:i/>
          <w:iCs/>
          <w:color w:val="000000" w:themeColor="text1"/>
          <w:sz w:val="22"/>
          <w:szCs w:val="22"/>
        </w:rPr>
        <w:t xml:space="preserve">Rhizophora </w:t>
      </w:r>
      <w:proofErr w:type="spellStart"/>
      <w:r w:rsidRPr="00E01239">
        <w:rPr>
          <w:rFonts w:asciiTheme="minorHAnsi" w:hAnsiTheme="minorHAnsi" w:cstheme="minorHAnsi"/>
          <w:i/>
          <w:iCs/>
          <w:color w:val="000000" w:themeColor="text1"/>
          <w:sz w:val="22"/>
          <w:szCs w:val="22"/>
        </w:rPr>
        <w:t>racemosa</w:t>
      </w:r>
      <w:proofErr w:type="spellEnd"/>
      <w:r w:rsidRPr="00E01239">
        <w:rPr>
          <w:rFonts w:asciiTheme="minorHAnsi" w:hAnsiTheme="minorHAnsi" w:cstheme="minorHAnsi"/>
          <w:color w:val="000000" w:themeColor="text1"/>
          <w:sz w:val="22"/>
          <w:szCs w:val="22"/>
        </w:rPr>
        <w:t xml:space="preserve">, de </w:t>
      </w:r>
      <w:r w:rsidRPr="00E01239">
        <w:rPr>
          <w:rFonts w:asciiTheme="minorHAnsi" w:hAnsiTheme="minorHAnsi" w:cstheme="minorHAnsi"/>
          <w:i/>
          <w:iCs/>
          <w:color w:val="000000" w:themeColor="text1"/>
          <w:sz w:val="22"/>
          <w:szCs w:val="22"/>
        </w:rPr>
        <w:t>Rhizophora mangle,</w:t>
      </w:r>
      <w:r w:rsidRPr="00E01239">
        <w:rPr>
          <w:rFonts w:asciiTheme="minorHAnsi" w:hAnsiTheme="minorHAnsi" w:cstheme="minorHAnsi"/>
          <w:color w:val="000000" w:themeColor="text1"/>
          <w:sz w:val="22"/>
          <w:szCs w:val="22"/>
        </w:rPr>
        <w:t xml:space="preserve"> Rhizophora </w:t>
      </w:r>
      <w:proofErr w:type="spellStart"/>
      <w:r w:rsidRPr="00E01239">
        <w:rPr>
          <w:rFonts w:asciiTheme="minorHAnsi" w:hAnsiTheme="minorHAnsi" w:cstheme="minorHAnsi"/>
          <w:i/>
          <w:iCs/>
          <w:color w:val="000000" w:themeColor="text1"/>
          <w:sz w:val="22"/>
          <w:szCs w:val="22"/>
        </w:rPr>
        <w:t>harisonnii</w:t>
      </w:r>
      <w:proofErr w:type="spellEnd"/>
      <w:r w:rsidRPr="00E01239">
        <w:rPr>
          <w:rFonts w:asciiTheme="minorHAnsi" w:hAnsiTheme="minorHAnsi" w:cstheme="minorHAnsi"/>
          <w:i/>
          <w:iCs/>
          <w:color w:val="000000" w:themeColor="text1"/>
          <w:sz w:val="22"/>
          <w:szCs w:val="22"/>
        </w:rPr>
        <w:t>,</w:t>
      </w:r>
      <w:r w:rsidRPr="00E01239">
        <w:rPr>
          <w:rFonts w:asciiTheme="minorHAnsi" w:hAnsiTheme="minorHAnsi" w:cstheme="minorHAnsi"/>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Laguncularia</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racemosa</w:t>
      </w:r>
      <w:proofErr w:type="spellEnd"/>
      <w:r w:rsidRPr="00E01239">
        <w:rPr>
          <w:rFonts w:asciiTheme="minorHAnsi" w:hAnsiTheme="minorHAnsi" w:cstheme="minorHAnsi"/>
          <w:i/>
          <w:iCs/>
          <w:color w:val="000000" w:themeColor="text1"/>
          <w:sz w:val="22"/>
          <w:szCs w:val="22"/>
        </w:rPr>
        <w:t>,</w:t>
      </w:r>
      <w:r w:rsidRPr="00E01239">
        <w:rPr>
          <w:rFonts w:asciiTheme="minorHAnsi" w:hAnsiTheme="minorHAnsi" w:cstheme="minorHAnsi"/>
          <w:color w:val="000000" w:themeColor="text1"/>
          <w:sz w:val="22"/>
          <w:szCs w:val="22"/>
        </w:rPr>
        <w:t xml:space="preserve"> d'</w:t>
      </w:r>
      <w:proofErr w:type="spellStart"/>
      <w:r w:rsidRPr="00E01239">
        <w:rPr>
          <w:rFonts w:asciiTheme="minorHAnsi" w:hAnsiTheme="minorHAnsi" w:cstheme="minorHAnsi"/>
          <w:i/>
          <w:iCs/>
          <w:color w:val="000000" w:themeColor="text1"/>
          <w:sz w:val="22"/>
          <w:szCs w:val="22"/>
        </w:rPr>
        <w:t>Avicennia</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nitida</w:t>
      </w:r>
      <w:proofErr w:type="spellEnd"/>
      <w:r w:rsidRPr="00E01239">
        <w:rPr>
          <w:rFonts w:asciiTheme="minorHAnsi" w:hAnsiTheme="minorHAnsi" w:cstheme="minorHAnsi"/>
          <w:color w:val="000000" w:themeColor="text1"/>
          <w:sz w:val="22"/>
          <w:szCs w:val="22"/>
        </w:rPr>
        <w:t>. On note également la présence d'un sous-bois herbacé à</w:t>
      </w:r>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Paspalum</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vaginatum</w:t>
      </w:r>
      <w:proofErr w:type="spellEnd"/>
      <w:r w:rsidRPr="00E01239">
        <w:rPr>
          <w:rFonts w:asciiTheme="minorHAnsi" w:hAnsiTheme="minorHAnsi" w:cstheme="minorHAnsi"/>
          <w:i/>
          <w:iCs/>
          <w:color w:val="000000" w:themeColor="text1"/>
          <w:sz w:val="22"/>
          <w:szCs w:val="22"/>
        </w:rPr>
        <w:t>,</w:t>
      </w:r>
      <w:r w:rsidRPr="00E01239">
        <w:rPr>
          <w:rFonts w:asciiTheme="minorHAnsi" w:hAnsiTheme="minorHAnsi" w:cstheme="minorHAnsi"/>
          <w:color w:val="000000" w:themeColor="text1"/>
          <w:sz w:val="22"/>
          <w:szCs w:val="22"/>
        </w:rPr>
        <w:t xml:space="preserve"> des Cypéracées (</w:t>
      </w:r>
      <w:proofErr w:type="spellStart"/>
      <w:r w:rsidRPr="00E01239">
        <w:rPr>
          <w:rFonts w:asciiTheme="minorHAnsi" w:hAnsiTheme="minorHAnsi" w:cstheme="minorHAnsi"/>
          <w:i/>
          <w:iCs/>
          <w:color w:val="000000" w:themeColor="text1"/>
          <w:sz w:val="22"/>
          <w:szCs w:val="22"/>
        </w:rPr>
        <w:t>Heleocharis</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mutata</w:t>
      </w:r>
      <w:proofErr w:type="spellEnd"/>
      <w:r w:rsidRPr="00E01239">
        <w:rPr>
          <w:rFonts w:asciiTheme="minorHAnsi" w:hAnsiTheme="minorHAnsi" w:cstheme="minorHAnsi"/>
          <w:color w:val="000000" w:themeColor="text1"/>
          <w:sz w:val="22"/>
          <w:szCs w:val="22"/>
        </w:rPr>
        <w:t xml:space="preserve"> et </w:t>
      </w:r>
      <w:proofErr w:type="spellStart"/>
      <w:r w:rsidRPr="00E01239">
        <w:rPr>
          <w:rFonts w:asciiTheme="minorHAnsi" w:hAnsiTheme="minorHAnsi" w:cstheme="minorHAnsi"/>
          <w:i/>
          <w:iCs/>
          <w:color w:val="000000" w:themeColor="text1"/>
          <w:sz w:val="22"/>
          <w:szCs w:val="22"/>
        </w:rPr>
        <w:t>Heleocharis</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carribe</w:t>
      </w:r>
      <w:proofErr w:type="spellEnd"/>
      <w:r w:rsidRPr="00E01239">
        <w:rPr>
          <w:rFonts w:asciiTheme="minorHAnsi" w:hAnsiTheme="minorHAnsi" w:cstheme="minorHAnsi"/>
          <w:i/>
          <w:iCs/>
          <w:color w:val="000000" w:themeColor="text1"/>
          <w:sz w:val="22"/>
          <w:szCs w:val="22"/>
        </w:rPr>
        <w:t>)</w:t>
      </w:r>
      <w:r w:rsidRPr="00E01239">
        <w:rPr>
          <w:rFonts w:asciiTheme="minorHAnsi" w:hAnsiTheme="minorHAnsi" w:cstheme="minorHAnsi"/>
          <w:color w:val="000000" w:themeColor="text1"/>
          <w:sz w:val="22"/>
          <w:szCs w:val="22"/>
        </w:rPr>
        <w:t xml:space="preserve"> de même que </w:t>
      </w:r>
      <w:proofErr w:type="spellStart"/>
      <w:r w:rsidRPr="00E01239">
        <w:rPr>
          <w:rFonts w:asciiTheme="minorHAnsi" w:hAnsiTheme="minorHAnsi" w:cstheme="minorHAnsi"/>
          <w:i/>
          <w:iCs/>
          <w:color w:val="000000" w:themeColor="text1"/>
          <w:sz w:val="22"/>
          <w:szCs w:val="22"/>
        </w:rPr>
        <w:t>Sesuvium</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portulacastrum</w:t>
      </w:r>
      <w:proofErr w:type="spellEnd"/>
      <w:r w:rsidRPr="00E01239">
        <w:rPr>
          <w:rFonts w:asciiTheme="minorHAnsi" w:hAnsiTheme="minorHAnsi" w:cstheme="minorHAnsi"/>
          <w:i/>
          <w:iCs/>
          <w:color w:val="000000" w:themeColor="text1"/>
          <w:sz w:val="22"/>
          <w:szCs w:val="22"/>
        </w:rPr>
        <w:t xml:space="preserve"> </w:t>
      </w:r>
      <w:r w:rsidRPr="00E01239">
        <w:rPr>
          <w:rFonts w:asciiTheme="minorHAnsi" w:hAnsiTheme="minorHAnsi" w:cstheme="minorHAnsi"/>
          <w:color w:val="000000" w:themeColor="text1"/>
          <w:sz w:val="22"/>
          <w:szCs w:val="22"/>
        </w:rPr>
        <w:t xml:space="preserve">et </w:t>
      </w:r>
      <w:proofErr w:type="spellStart"/>
      <w:r w:rsidRPr="00E01239">
        <w:rPr>
          <w:rFonts w:asciiTheme="minorHAnsi" w:hAnsiTheme="minorHAnsi" w:cstheme="minorHAnsi"/>
          <w:i/>
          <w:iCs/>
          <w:color w:val="000000" w:themeColor="text1"/>
          <w:sz w:val="22"/>
          <w:szCs w:val="22"/>
        </w:rPr>
        <w:t>Philoxerus</w:t>
      </w:r>
      <w:proofErr w:type="spellEnd"/>
      <w:r w:rsidRPr="00E01239">
        <w:rPr>
          <w:rFonts w:asciiTheme="minorHAnsi" w:hAnsiTheme="minorHAnsi" w:cstheme="minorHAnsi"/>
          <w:i/>
          <w:iCs/>
          <w:color w:val="000000" w:themeColor="text1"/>
          <w:sz w:val="22"/>
          <w:szCs w:val="22"/>
        </w:rPr>
        <w:t xml:space="preserve"> </w:t>
      </w:r>
      <w:proofErr w:type="spellStart"/>
      <w:r w:rsidRPr="00E01239">
        <w:rPr>
          <w:rFonts w:asciiTheme="minorHAnsi" w:hAnsiTheme="minorHAnsi" w:cstheme="minorHAnsi"/>
          <w:i/>
          <w:iCs/>
          <w:color w:val="000000" w:themeColor="text1"/>
          <w:sz w:val="22"/>
          <w:szCs w:val="22"/>
        </w:rPr>
        <w:t>vermicularis</w:t>
      </w:r>
      <w:proofErr w:type="spellEnd"/>
      <w:r w:rsidRPr="00E01239">
        <w:rPr>
          <w:rFonts w:asciiTheme="minorHAnsi" w:hAnsiTheme="minorHAnsi" w:cstheme="minorHAnsi"/>
          <w:color w:val="000000" w:themeColor="text1"/>
          <w:sz w:val="22"/>
          <w:szCs w:val="22"/>
        </w:rPr>
        <w:t xml:space="preserve">, plantes halophiles </w:t>
      </w:r>
      <w:proofErr w:type="spellStart"/>
      <w:r w:rsidRPr="00E01239">
        <w:rPr>
          <w:rFonts w:asciiTheme="minorHAnsi" w:hAnsiTheme="minorHAnsi" w:cstheme="minorHAnsi"/>
          <w:color w:val="000000" w:themeColor="text1"/>
          <w:sz w:val="22"/>
          <w:szCs w:val="22"/>
        </w:rPr>
        <w:t>crassulescentes</w:t>
      </w:r>
      <w:proofErr w:type="spellEnd"/>
      <w:r w:rsidRPr="00E01239">
        <w:rPr>
          <w:rFonts w:asciiTheme="minorHAnsi" w:hAnsiTheme="minorHAnsi" w:cstheme="minorHAnsi"/>
          <w:color w:val="000000" w:themeColor="text1"/>
          <w:sz w:val="22"/>
          <w:szCs w:val="22"/>
        </w:rPr>
        <w:t xml:space="preserve">, en bordure de tanne. </w:t>
      </w:r>
    </w:p>
    <w:p w14:paraId="43C2200F"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Le domaine classé de la Casamance est riche et varié de   28 forêts classées, 01 parc national, 01 réserve ornithologique, 03 Aires Marines Protégées (AMP) et une Aire de Patrimoine Autochtone Communautaire (APAC) à Ziguinchor et 12 forêts classées à Sédhiou.</w:t>
      </w:r>
    </w:p>
    <w:p w14:paraId="0954B000"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Le phénomène du trafic de la coupe abusive de bois dont le caractère international entraine une sérieuse pression sur les ressources forestières dont le renouvellement est compromis par les changements climatiques.</w:t>
      </w:r>
    </w:p>
    <w:p w14:paraId="10F0AD98" w14:textId="77777777" w:rsidR="008E4D64" w:rsidRPr="00E01239" w:rsidRDefault="008E4D64" w:rsidP="008E4D64">
      <w:pPr>
        <w:spacing w:line="360" w:lineRule="auto"/>
        <w:jc w:val="both"/>
        <w:rPr>
          <w:rFonts w:asciiTheme="minorHAnsi" w:hAnsiTheme="minorHAnsi" w:cstheme="minorHAnsi"/>
          <w:sz w:val="22"/>
          <w:szCs w:val="22"/>
        </w:rPr>
      </w:pPr>
    </w:p>
    <w:p w14:paraId="7C405F88" w14:textId="77777777" w:rsidR="008E4D64" w:rsidRPr="00E01239" w:rsidRDefault="008E4D64" w:rsidP="00027669">
      <w:pPr>
        <w:pStyle w:val="Titre3"/>
        <w:numPr>
          <w:ilvl w:val="2"/>
          <w:numId w:val="171"/>
        </w:numPr>
        <w:ind w:left="1134"/>
        <w:rPr>
          <w:rFonts w:asciiTheme="minorHAnsi" w:hAnsiTheme="minorHAnsi" w:cstheme="minorHAnsi"/>
        </w:rPr>
      </w:pPr>
      <w:r w:rsidRPr="00E01239">
        <w:rPr>
          <w:rFonts w:asciiTheme="minorHAnsi" w:hAnsiTheme="minorHAnsi" w:cstheme="minorHAnsi"/>
        </w:rPr>
        <w:t xml:space="preserve"> </w:t>
      </w:r>
      <w:bookmarkStart w:id="545" w:name="_Toc144654088"/>
      <w:bookmarkStart w:id="546" w:name="_Toc84845195"/>
      <w:r w:rsidRPr="00E01239">
        <w:rPr>
          <w:rFonts w:asciiTheme="minorHAnsi" w:hAnsiTheme="minorHAnsi" w:cstheme="minorHAnsi"/>
        </w:rPr>
        <w:t>Occupation du sol</w:t>
      </w:r>
      <w:bookmarkEnd w:id="545"/>
      <w:r w:rsidRPr="00E01239">
        <w:rPr>
          <w:rFonts w:asciiTheme="minorHAnsi" w:hAnsiTheme="minorHAnsi" w:cstheme="minorHAnsi"/>
        </w:rPr>
        <w:t xml:space="preserve"> </w:t>
      </w:r>
      <w:bookmarkEnd w:id="546"/>
      <w:r w:rsidRPr="00E01239">
        <w:rPr>
          <w:rFonts w:asciiTheme="minorHAnsi" w:hAnsiTheme="minorHAnsi" w:cstheme="minorHAnsi"/>
        </w:rPr>
        <w:t xml:space="preserve"> </w:t>
      </w:r>
    </w:p>
    <w:p w14:paraId="4C9DD0E7"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La plupart du territoire de Casamance est couverte par diverses formes de végétation naturelle, de la forêt dense aux formations arborées ouvertes, savanes arbustives et herbeuses. Les zones agricoles occupent environ un quart de la surface totale avec une forte prédominance des cultures pluviales.</w:t>
      </w:r>
    </w:p>
    <w:p w14:paraId="5D64085B" w14:textId="77777777" w:rsidR="008E4D64" w:rsidRPr="00E01239" w:rsidRDefault="008E4D64" w:rsidP="00202CE9">
      <w:pPr>
        <w:spacing w:before="120" w:line="280" w:lineRule="exact"/>
        <w:jc w:val="both"/>
        <w:rPr>
          <w:rFonts w:asciiTheme="minorHAnsi" w:hAnsiTheme="minorHAnsi" w:cstheme="minorHAnsi"/>
          <w:color w:val="000000" w:themeColor="text1"/>
          <w:sz w:val="22"/>
          <w:szCs w:val="22"/>
        </w:rPr>
      </w:pPr>
      <w:r w:rsidRPr="00E01239">
        <w:rPr>
          <w:rFonts w:asciiTheme="minorHAnsi" w:hAnsiTheme="minorHAnsi" w:cstheme="minorHAnsi"/>
          <w:color w:val="000000" w:themeColor="text1"/>
          <w:sz w:val="22"/>
          <w:szCs w:val="22"/>
        </w:rPr>
        <w:t>Pendant les vingt dernières années, les changements ont touché principalement les cultures pluviales qui ont augmenté au détriment de la végétation naturelle. D'autre part, il n'y a pas eu des variations importantes pour les zones urbaines et les agglomérations rurales, les cultures irriguées et les zones humides.</w:t>
      </w:r>
    </w:p>
    <w:p w14:paraId="61A16E1D" w14:textId="02E215F1" w:rsidR="008E4D64" w:rsidRPr="00E01239" w:rsidRDefault="21A48B5C" w:rsidP="7CB1727A">
      <w:pPr>
        <w:spacing w:before="120" w:line="280" w:lineRule="exact"/>
        <w:jc w:val="both"/>
        <w:rPr>
          <w:rFonts w:asciiTheme="minorHAnsi" w:hAnsiTheme="minorHAnsi" w:cstheme="minorBidi"/>
          <w:color w:val="000000" w:themeColor="text1"/>
          <w:sz w:val="22"/>
          <w:szCs w:val="22"/>
        </w:rPr>
      </w:pPr>
      <w:r w:rsidRPr="00E01239">
        <w:rPr>
          <w:rFonts w:asciiTheme="minorHAnsi" w:hAnsiTheme="minorHAnsi" w:cstheme="minorBidi"/>
          <w:color w:val="000000" w:themeColor="text1"/>
          <w:sz w:val="22"/>
          <w:szCs w:val="22"/>
        </w:rPr>
        <w:t>La région connaît de nombreux changements dont la plupart sont liés à la dégradation des formations de mangrove, l’endiguement de la mangrove, les défrichements agricoles en terre ferme, le développement des plantations d’anacardiers, la dégradation des agro</w:t>
      </w:r>
      <w:r w:rsidR="33387152" w:rsidRPr="00E01239">
        <w:rPr>
          <w:rFonts w:asciiTheme="minorHAnsi" w:hAnsiTheme="minorHAnsi" w:cstheme="minorBidi"/>
          <w:color w:val="000000" w:themeColor="text1"/>
          <w:sz w:val="22"/>
          <w:szCs w:val="22"/>
        </w:rPr>
        <w:t>-</w:t>
      </w:r>
      <w:r w:rsidRPr="00E01239">
        <w:rPr>
          <w:rFonts w:asciiTheme="minorHAnsi" w:hAnsiTheme="minorHAnsi" w:cstheme="minorBidi"/>
          <w:color w:val="000000" w:themeColor="text1"/>
          <w:sz w:val="22"/>
          <w:szCs w:val="22"/>
        </w:rPr>
        <w:t>forêts soudano-sahéliennes, l’abandon et l’enfrichement de certaines zones agricoles, etc.</w:t>
      </w:r>
    </w:p>
    <w:p w14:paraId="3AA3EFD0" w14:textId="280EF00B" w:rsidR="7CB1727A" w:rsidRPr="00E01239" w:rsidRDefault="7CB1727A" w:rsidP="7CB1727A">
      <w:pPr>
        <w:spacing w:before="120" w:line="280" w:lineRule="exact"/>
        <w:jc w:val="both"/>
        <w:rPr>
          <w:rFonts w:asciiTheme="minorHAnsi" w:hAnsiTheme="minorHAnsi" w:cstheme="minorBidi"/>
          <w:color w:val="000000" w:themeColor="text1"/>
          <w:sz w:val="22"/>
          <w:szCs w:val="22"/>
        </w:rPr>
      </w:pPr>
    </w:p>
    <w:p w14:paraId="5C646D08" w14:textId="133850DA" w:rsidR="008E4D64" w:rsidRPr="00E01239" w:rsidRDefault="21A48B5C" w:rsidP="00027669">
      <w:pPr>
        <w:pStyle w:val="Titre2"/>
        <w:numPr>
          <w:ilvl w:val="1"/>
          <w:numId w:val="171"/>
        </w:numPr>
        <w:tabs>
          <w:tab w:val="num" w:pos="360"/>
        </w:tabs>
        <w:ind w:left="644" w:hanging="360"/>
        <w:rPr>
          <w:rFonts w:asciiTheme="minorHAnsi" w:hAnsiTheme="minorHAnsi" w:cstheme="minorHAnsi"/>
          <w:color w:val="auto"/>
        </w:rPr>
      </w:pPr>
      <w:bookmarkStart w:id="547" w:name="_Toc84845196"/>
      <w:bookmarkStart w:id="548" w:name="_Toc144654089"/>
      <w:r w:rsidRPr="00E01239">
        <w:rPr>
          <w:rFonts w:asciiTheme="minorHAnsi" w:hAnsiTheme="minorHAnsi" w:cstheme="minorBidi"/>
          <w:color w:val="auto"/>
        </w:rPr>
        <w:t>DESCRIPTIF SOCIO-ECONOMIQUE DE LA ZONE DU PROJET</w:t>
      </w:r>
      <w:bookmarkEnd w:id="547"/>
      <w:bookmarkEnd w:id="548"/>
    </w:p>
    <w:p w14:paraId="13B7B2DC" w14:textId="77777777"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En 2021, la population du Sénégal était estimée à 17 223 497 habitants selon l’ANSD, contre 15 726 056 en 2018 et 4 997 885 en 1976. Ces chiffres montrent que la population a presque triplé en moins de 50 ans. Globalement, au vu des évolutions des dernières décennies, plusieurs facteurs expliquent cette situation. En effet, la dynamique démographique naturelle du Sénégal est marquée par une natalité toujours élevée (taux brut de natalité de 37,1 pour mille en 2017 et 36,8 pour mille en 2018) et une mortalité en constante baisse (taux brut de mortalité de 7,3 pour mille en 2017 et 7,1 pour mille en 2018). En outre, l’Indice Synthétique de Fécondité (ISF), qui mesure le nombre moyen d’enfants qu’aurait une femme en fin de vie féconde si elle avait des enfants aux taux de fécondité par âge actuels chez les femmes de 15-49 ans, présente une légère tendance à la baisse ces deux dernières années. Ainsi, elle est passée de 4,6 en 2017 à 4,4 en 2018.</w:t>
      </w:r>
    </w:p>
    <w:p w14:paraId="09556B6E" w14:textId="77777777"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La répartition de la population sur le territoire national est inégale, marquée par une forte concentration dans les régions de l'ouest et du centre du pays, qui correspond essentiellement à la zone d’intervention du FRSP. La population urbaine représente 45% de l'ensemble avec une majorité à Dakar et le reste à l'ouest d'une ligne Dakar, Thiès, Fatick. </w:t>
      </w:r>
    </w:p>
    <w:p w14:paraId="2D0715B5" w14:textId="77777777"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Actuellement, l'économie sénégalaise repose principalement sur un secteur primaire (agricole) dominé par la culture de l'arachide et quelques céréales sèches comme le mil et le maïs. Les secteurs secondaire (industrie) et tertiaire (commerce et services) relativement importants sont pour une large part tributaire du secteur primaire sujet à plusieurs problèmes de production.</w:t>
      </w:r>
    </w:p>
    <w:p w14:paraId="03D883D2" w14:textId="77777777"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La contribution des différents secteurs dans la formation du PIB a été sensiblement modifiée en faveur des secteurs secondaire et tertiaire. Les huileries occupent encore une large part dans le secteur secondaire et 30% des matières premières utilisées dans l'industrie sénégalaise proviennent du secteur agricole.</w:t>
      </w:r>
    </w:p>
    <w:p w14:paraId="2445B235" w14:textId="0394D07F"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L’élevage occupe une place assez importante dans l’économie locale, surtout en association avec d’autres activités agricoles et halieutiques. Il absorbe, en effet, environ 70 à 80% des populations et contribue notablement à leur sécurité alimentaire. La zone d’intervention du F</w:t>
      </w:r>
      <w:r w:rsidR="00737B42" w:rsidRPr="00E01239">
        <w:rPr>
          <w:rFonts w:asciiTheme="minorHAnsi" w:eastAsia="Calibri" w:hAnsiTheme="minorHAnsi" w:cstheme="minorHAnsi"/>
          <w:sz w:val="22"/>
          <w:szCs w:val="22"/>
        </w:rPr>
        <w:t>SR</w:t>
      </w:r>
      <w:r w:rsidRPr="00E01239">
        <w:rPr>
          <w:rFonts w:asciiTheme="minorHAnsi" w:eastAsia="Calibri" w:hAnsiTheme="minorHAnsi" w:cstheme="minorHAnsi"/>
          <w:sz w:val="22"/>
          <w:szCs w:val="22"/>
        </w:rPr>
        <w:t>P</w:t>
      </w:r>
      <w:r w:rsidR="00737B42" w:rsidRPr="00E01239">
        <w:rPr>
          <w:rFonts w:asciiTheme="minorHAnsi" w:eastAsia="Calibri" w:hAnsiTheme="minorHAnsi" w:cstheme="minorHAnsi"/>
          <w:sz w:val="22"/>
          <w:szCs w:val="22"/>
        </w:rPr>
        <w:t>-SN</w:t>
      </w:r>
      <w:r w:rsidRPr="00E01239">
        <w:rPr>
          <w:rFonts w:asciiTheme="minorHAnsi" w:eastAsia="Calibri" w:hAnsiTheme="minorHAnsi" w:cstheme="minorHAnsi"/>
          <w:sz w:val="22"/>
          <w:szCs w:val="22"/>
        </w:rPr>
        <w:t xml:space="preserve"> regorge de nombreuses potentialités pastorales, avec une diversité des systèmes de production d’élevage (extensif, semi-intensif et intensif), une existence des ressources pastorales (pâturages, eau, sous-produits agricoles, etc.), un cheptel et une richesse zootechnique, une présence de partenaires techniques et financiers, une existence de laiterie, fermes et unités de transformation laitière et une organisation des acteurs des filières au moins dans certaines zones.</w:t>
      </w:r>
    </w:p>
    <w:p w14:paraId="20D26775" w14:textId="7F0F51C1"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A côté des activités de production agricoles et pastorales, la zone d’intervention du </w:t>
      </w:r>
      <w:r w:rsidR="00737B42" w:rsidRPr="00E01239">
        <w:rPr>
          <w:rFonts w:asciiTheme="minorHAnsi" w:eastAsia="Calibri" w:hAnsiTheme="minorHAnsi" w:cstheme="minorHAnsi"/>
          <w:sz w:val="22"/>
          <w:szCs w:val="22"/>
        </w:rPr>
        <w:t>FSRP-SN</w:t>
      </w:r>
      <w:r w:rsidRPr="00E01239">
        <w:rPr>
          <w:rFonts w:asciiTheme="minorHAnsi" w:eastAsia="Calibri" w:hAnsiTheme="minorHAnsi" w:cstheme="minorHAnsi"/>
          <w:sz w:val="22"/>
          <w:szCs w:val="22"/>
        </w:rPr>
        <w:t xml:space="preserve"> se caractérise par d’autres activités qui tournent autour de l’exploitation des biens et services des écosystèmes forestiers et agroforestiers, autour des productions halieutiques, de l’artisanat, du commerce et du transport.</w:t>
      </w:r>
    </w:p>
    <w:p w14:paraId="42D7C2EE" w14:textId="658CF648"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Toutefois des différences relatives peuvent être notée</w:t>
      </w:r>
      <w:r w:rsidR="00BA6F6D">
        <w:rPr>
          <w:rFonts w:asciiTheme="minorHAnsi" w:eastAsia="Calibri" w:hAnsiTheme="minorHAnsi" w:cstheme="minorHAnsi"/>
          <w:sz w:val="22"/>
          <w:szCs w:val="22"/>
        </w:rPr>
        <w:t>s</w:t>
      </w:r>
      <w:r w:rsidRPr="00E01239">
        <w:rPr>
          <w:rFonts w:asciiTheme="minorHAnsi" w:eastAsia="Calibri" w:hAnsiTheme="minorHAnsi" w:cstheme="minorHAnsi"/>
          <w:sz w:val="22"/>
          <w:szCs w:val="22"/>
        </w:rPr>
        <w:t xml:space="preserve"> dans les différentes régions de la zone d’intervention du </w:t>
      </w:r>
      <w:r w:rsidR="00737B42" w:rsidRPr="00E01239">
        <w:rPr>
          <w:rFonts w:asciiTheme="minorHAnsi" w:eastAsia="Calibri" w:hAnsiTheme="minorHAnsi" w:cstheme="minorHAnsi"/>
          <w:sz w:val="22"/>
          <w:szCs w:val="22"/>
        </w:rPr>
        <w:t>FSRP-SN</w:t>
      </w:r>
      <w:r w:rsidRPr="00E01239">
        <w:rPr>
          <w:rFonts w:asciiTheme="minorHAnsi" w:eastAsia="Calibri" w:hAnsiTheme="minorHAnsi" w:cstheme="minorHAnsi"/>
          <w:sz w:val="22"/>
          <w:szCs w:val="22"/>
        </w:rPr>
        <w:t xml:space="preserve"> en fonction des zones éco</w:t>
      </w:r>
      <w:r w:rsidR="00814D96" w:rsidRPr="00E01239">
        <w:rPr>
          <w:rFonts w:asciiTheme="minorHAnsi" w:eastAsia="Calibri" w:hAnsiTheme="minorHAnsi" w:cstheme="minorHAnsi"/>
          <w:sz w:val="22"/>
          <w:szCs w:val="22"/>
        </w:rPr>
        <w:t>-</w:t>
      </w:r>
      <w:r w:rsidRPr="00E01239">
        <w:rPr>
          <w:rFonts w:asciiTheme="minorHAnsi" w:eastAsia="Calibri" w:hAnsiTheme="minorHAnsi" w:cstheme="minorHAnsi"/>
          <w:sz w:val="22"/>
          <w:szCs w:val="22"/>
        </w:rPr>
        <w:t>géographiques en termes de dynamisme et de productivité de ce secteur économique.</w:t>
      </w:r>
    </w:p>
    <w:p w14:paraId="6A5DEC9D" w14:textId="77777777"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échanges commerciaux extérieurs du Sénégal, principalement orientés vers la France et les pays de l'Union européenne, sont déficitaires. Pour sa consommation et son équipement, le Sénégal doit importer davantage de produits à prix élevés qu'il ne peut exporter de produits élaborés (huile d'arachide, tourteaux d'arachide, conserves de poisson, légumes verts) ou de matières premières (phosphates).</w:t>
      </w:r>
    </w:p>
    <w:p w14:paraId="304B402B" w14:textId="77777777" w:rsidR="008E4D64"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lastRenderedPageBreak/>
        <w:t>Ce bref aperçu montre que l'économie sénégalaise est largement dépendante de ses ressources naturelles. Par conséquent, une compréhension des enjeux et la préservation de ces ressources par une exploitation rationnelle est nécessaire pour assurer le bien−être des populations.</w:t>
      </w:r>
    </w:p>
    <w:p w14:paraId="61283441" w14:textId="77777777" w:rsidR="00FF4C20" w:rsidRPr="00E01239" w:rsidRDefault="00FF4C20" w:rsidP="00202CE9">
      <w:pPr>
        <w:spacing w:before="120" w:line="280" w:lineRule="exact"/>
        <w:jc w:val="both"/>
        <w:rPr>
          <w:rFonts w:asciiTheme="minorHAnsi" w:eastAsia="Calibri" w:hAnsiTheme="minorHAnsi" w:cstheme="minorHAnsi"/>
          <w:sz w:val="22"/>
          <w:szCs w:val="22"/>
        </w:rPr>
      </w:pPr>
    </w:p>
    <w:p w14:paraId="543B5B7A" w14:textId="77777777" w:rsidR="008E4D64" w:rsidRPr="00E01239" w:rsidRDefault="21A48B5C" w:rsidP="00027669">
      <w:pPr>
        <w:pStyle w:val="Titre2"/>
        <w:numPr>
          <w:ilvl w:val="1"/>
          <w:numId w:val="171"/>
        </w:numPr>
        <w:tabs>
          <w:tab w:val="num" w:pos="360"/>
        </w:tabs>
        <w:ind w:left="644" w:hanging="360"/>
        <w:rPr>
          <w:rFonts w:asciiTheme="minorHAnsi" w:hAnsiTheme="minorHAnsi" w:cstheme="minorHAnsi"/>
          <w:color w:val="auto"/>
        </w:rPr>
      </w:pPr>
      <w:bookmarkStart w:id="549" w:name="_Toc84845214"/>
      <w:bookmarkStart w:id="550" w:name="_Toc144654090"/>
      <w:r w:rsidRPr="00E01239">
        <w:rPr>
          <w:rFonts w:asciiTheme="minorHAnsi" w:hAnsiTheme="minorHAnsi" w:cstheme="minorBidi"/>
          <w:color w:val="auto"/>
        </w:rPr>
        <w:t>SYNTHESE DES ENJEUX ENVIRONNEMENTAUX ET SOCIAUX DU PROJET</w:t>
      </w:r>
      <w:bookmarkEnd w:id="549"/>
      <w:bookmarkEnd w:id="550"/>
    </w:p>
    <w:p w14:paraId="04314060" w14:textId="1F07B4F8"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Dans la perspective de la mise en œuvre du programme FRSP, quelques problématiques sont discutées </w:t>
      </w:r>
      <w:r w:rsidR="00F45BD8" w:rsidRPr="00E01239">
        <w:rPr>
          <w:rFonts w:ascii="Calibri" w:eastAsia="Calibri" w:hAnsi="Calibri" w:cs="Calibri"/>
          <w:sz w:val="22"/>
          <w:szCs w:val="22"/>
        </w:rPr>
        <w:t xml:space="preserve">et analysées par la suite </w:t>
      </w:r>
      <w:r w:rsidRPr="00E01239">
        <w:rPr>
          <w:rFonts w:asciiTheme="minorHAnsi" w:eastAsia="Calibri" w:hAnsiTheme="minorHAnsi" w:cstheme="minorHAnsi"/>
          <w:sz w:val="22"/>
          <w:szCs w:val="22"/>
        </w:rPr>
        <w:t>aux fins de faire ressortir les enjeux transversaux tant environnementaux que sociaux.</w:t>
      </w:r>
    </w:p>
    <w:p w14:paraId="707F4950" w14:textId="77777777" w:rsidR="008E4D64" w:rsidRPr="00E01239" w:rsidRDefault="008E4D64" w:rsidP="008E4D64">
      <w:pPr>
        <w:rPr>
          <w:rFonts w:asciiTheme="minorHAnsi" w:hAnsiTheme="minorHAnsi" w:cstheme="minorHAnsi"/>
          <w:sz w:val="22"/>
          <w:szCs w:val="22"/>
        </w:rPr>
      </w:pPr>
    </w:p>
    <w:p w14:paraId="5E2C62DE" w14:textId="77777777" w:rsidR="008E4D64" w:rsidRPr="00E01239" w:rsidRDefault="008E4D64" w:rsidP="00027669">
      <w:pPr>
        <w:pStyle w:val="Titre3"/>
        <w:numPr>
          <w:ilvl w:val="2"/>
          <w:numId w:val="171"/>
        </w:numPr>
        <w:ind w:left="1134" w:hanging="708"/>
        <w:rPr>
          <w:rFonts w:asciiTheme="minorHAnsi" w:hAnsiTheme="minorHAnsi" w:cstheme="minorHAnsi"/>
        </w:rPr>
      </w:pPr>
      <w:bookmarkStart w:id="551" w:name="_Toc63285574"/>
      <w:bookmarkStart w:id="552" w:name="_Toc84845215"/>
      <w:bookmarkStart w:id="553" w:name="_Toc144654091"/>
      <w:r w:rsidRPr="00E01239">
        <w:rPr>
          <w:rFonts w:asciiTheme="minorHAnsi" w:hAnsiTheme="minorHAnsi" w:cstheme="minorHAnsi"/>
        </w:rPr>
        <w:t>Problématique de l’accès à l’eau</w:t>
      </w:r>
      <w:bookmarkEnd w:id="551"/>
      <w:bookmarkEnd w:id="552"/>
      <w:bookmarkEnd w:id="553"/>
    </w:p>
    <w:p w14:paraId="67D9D28F" w14:textId="04FF562E"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La problématique de la disponibilité de l’eau pour différents usages écosystémiques (AEP, forages pastoraux, irrigation, etc.) constitue une contrainte majeure dans les différentes zones éco</w:t>
      </w:r>
      <w:r w:rsidR="007659FC" w:rsidRPr="00E01239">
        <w:rPr>
          <w:rFonts w:asciiTheme="minorHAnsi" w:eastAsia="Calibri" w:hAnsiTheme="minorHAnsi" w:cstheme="minorHAnsi"/>
          <w:sz w:val="22"/>
          <w:szCs w:val="22"/>
        </w:rPr>
        <w:t>-</w:t>
      </w:r>
      <w:r w:rsidRPr="00E01239">
        <w:rPr>
          <w:rFonts w:asciiTheme="minorHAnsi" w:eastAsia="Calibri" w:hAnsiTheme="minorHAnsi" w:cstheme="minorHAnsi"/>
          <w:sz w:val="22"/>
          <w:szCs w:val="22"/>
        </w:rPr>
        <w:t>géographiques couvertes par le projet. Pourtant, l’accès n’est pas toujours garanti et quand c’est le cas, il s’accompagne de problèmes liés à la qualité. Il s’agit entre autres de i) la salinité des ressources souterraines en plus de leurs importantes profondeurs d’où une pression sur les eaux de surface une compétition accrue entre usagers, ii) la faible qualité des eaux souterraines (taux important de fluor, chlorure et sodium) sans compter la profondeur des nappes augmentent les coûts d’investissement.</w:t>
      </w:r>
    </w:p>
    <w:p w14:paraId="2A6FB814" w14:textId="5AC83EDA" w:rsidR="008E4D64" w:rsidRPr="00E01239" w:rsidRDefault="008E4D64" w:rsidP="00737B42">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Cette problématique impacte directement le secteur productif (agriculture, élevage) et influence, en partie, la disponibilité des ressources fourragères dans la zone d’intervention à fort potentiel agropastoral.</w:t>
      </w:r>
      <w:r w:rsidR="00EA3835" w:rsidRPr="00E01239">
        <w:rPr>
          <w:rFonts w:asciiTheme="minorHAnsi" w:eastAsia="Calibri" w:hAnsiTheme="minorHAnsi" w:cstheme="minorHAnsi"/>
          <w:sz w:val="22"/>
          <w:szCs w:val="22"/>
        </w:rPr>
        <w:t xml:space="preserve"> Cette problématique s’applique certes à tous les groupes d’acteur</w:t>
      </w:r>
      <w:r w:rsidR="00411741">
        <w:rPr>
          <w:rFonts w:asciiTheme="minorHAnsi" w:eastAsia="Calibri" w:hAnsiTheme="minorHAnsi" w:cstheme="minorHAnsi"/>
          <w:sz w:val="22"/>
          <w:szCs w:val="22"/>
        </w:rPr>
        <w:t>s</w:t>
      </w:r>
      <w:r w:rsidR="00EA3835" w:rsidRPr="00E01239">
        <w:rPr>
          <w:rFonts w:asciiTheme="minorHAnsi" w:eastAsia="Calibri" w:hAnsiTheme="minorHAnsi" w:cstheme="minorHAnsi"/>
          <w:sz w:val="22"/>
          <w:szCs w:val="22"/>
        </w:rPr>
        <w:t xml:space="preserve"> sans distinction de genre. Toutefois, des initiatives sont prises au niveau national pour faciliter aux femmes et aux jeunes</w:t>
      </w:r>
      <w:r w:rsidR="00242F26" w:rsidRPr="00E01239">
        <w:rPr>
          <w:rFonts w:asciiTheme="minorHAnsi" w:eastAsia="Calibri" w:hAnsiTheme="minorHAnsi" w:cstheme="minorHAnsi"/>
          <w:sz w:val="22"/>
          <w:szCs w:val="22"/>
        </w:rPr>
        <w:t xml:space="preserve"> l’accès aux ressources en eau pour la production, notamment à travers leur implication dans les processus d’élaboration et de mise en œuvre des plans de gestion de l’eau.</w:t>
      </w:r>
    </w:p>
    <w:p w14:paraId="7CB3ECAA" w14:textId="1D8B2EFF" w:rsidR="001678B8" w:rsidRPr="00E01239" w:rsidRDefault="001678B8" w:rsidP="00737B42">
      <w:pPr>
        <w:spacing w:before="120" w:line="280" w:lineRule="exact"/>
        <w:jc w:val="both"/>
        <w:rPr>
          <w:rFonts w:asciiTheme="minorHAnsi" w:eastAsia="Calibri" w:hAnsiTheme="minorHAnsi" w:cstheme="minorHAnsi"/>
          <w:sz w:val="22"/>
          <w:szCs w:val="22"/>
        </w:rPr>
      </w:pPr>
    </w:p>
    <w:p w14:paraId="57A32A7A" w14:textId="26281700" w:rsidR="001678B8" w:rsidRPr="00E01239" w:rsidRDefault="001678B8" w:rsidP="00027669">
      <w:pPr>
        <w:pStyle w:val="Titre3"/>
        <w:numPr>
          <w:ilvl w:val="2"/>
          <w:numId w:val="171"/>
        </w:numPr>
        <w:ind w:left="1134" w:hanging="708"/>
        <w:rPr>
          <w:rFonts w:asciiTheme="minorHAnsi" w:hAnsiTheme="minorHAnsi" w:cstheme="minorHAnsi"/>
        </w:rPr>
      </w:pPr>
      <w:bookmarkStart w:id="554" w:name="_Toc63812073"/>
      <w:bookmarkStart w:id="555" w:name="_Toc144654092"/>
      <w:r w:rsidRPr="00E01239">
        <w:rPr>
          <w:rFonts w:asciiTheme="minorHAnsi" w:hAnsiTheme="minorHAnsi" w:cstheme="minorHAnsi"/>
        </w:rPr>
        <w:t>Vulnérabilités climatiques</w:t>
      </w:r>
      <w:bookmarkEnd w:id="554"/>
      <w:bookmarkEnd w:id="555"/>
      <w:r w:rsidRPr="00E01239">
        <w:rPr>
          <w:rFonts w:asciiTheme="minorHAnsi" w:hAnsiTheme="minorHAnsi" w:cstheme="minorHAnsi"/>
        </w:rPr>
        <w:t xml:space="preserve"> </w:t>
      </w:r>
    </w:p>
    <w:p w14:paraId="32B9C5F8" w14:textId="6E8052CF"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A l'instar des pays sahélien, le Sénégal est confronté à une forte variabilité interannuelle de ses précipitations qui s'est traduite par une diminution du nombre de jours de pluie et du volume d'eau recueilli. A cette variabilité interannuelle s'ajoute une variabilité spatiale très marquée. L'effet cumulatif de ces deux facteurs conduit parfois à des sécheresses très aiguës. Malgré l’amorce d’une rémission pluviométrique observée depuis le début des années 2000, l’occurrence de périodes de sécheresse avec une tendance à la baisse de la pluviométrie constitue le trait le plus marquant du climat. </w:t>
      </w:r>
    </w:p>
    <w:p w14:paraId="738E97D0" w14:textId="77777777" w:rsidR="00A1305E" w:rsidRPr="00E01239" w:rsidRDefault="00A1305E" w:rsidP="001678B8">
      <w:pPr>
        <w:pStyle w:val="Lgende"/>
        <w:jc w:val="center"/>
        <w:rPr>
          <w:rFonts w:asciiTheme="minorHAnsi" w:hAnsiTheme="minorHAnsi" w:cstheme="minorHAnsi"/>
          <w:sz w:val="22"/>
          <w:szCs w:val="22"/>
        </w:rPr>
      </w:pPr>
      <w:bookmarkStart w:id="556" w:name="_Toc62731016"/>
    </w:p>
    <w:p w14:paraId="5BBBE1C8" w14:textId="325149F2" w:rsidR="001678B8" w:rsidRPr="00E01239" w:rsidRDefault="001678B8" w:rsidP="001678B8">
      <w:pPr>
        <w:pStyle w:val="Lgende"/>
        <w:jc w:val="center"/>
        <w:rPr>
          <w:rFonts w:asciiTheme="minorHAnsi" w:hAnsiTheme="minorHAnsi" w:cstheme="minorHAnsi"/>
          <w:b w:val="0"/>
          <w:bCs w:val="0"/>
          <w:sz w:val="22"/>
          <w:szCs w:val="22"/>
        </w:rPr>
      </w:pPr>
      <w:bookmarkStart w:id="557" w:name="_Toc142854043"/>
      <w:r w:rsidRPr="00E01239">
        <w:rPr>
          <w:rFonts w:asciiTheme="minorHAnsi" w:hAnsiTheme="minorHAnsi" w:cstheme="minorHAnsi"/>
          <w:sz w:val="22"/>
          <w:szCs w:val="22"/>
        </w:rPr>
        <w:t xml:space="preserve">Figure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Figure \* ARABIC </w:instrText>
      </w:r>
      <w:r w:rsidRPr="00E01239">
        <w:rPr>
          <w:rFonts w:asciiTheme="minorHAnsi" w:hAnsiTheme="minorHAnsi" w:cstheme="minorHAnsi"/>
          <w:sz w:val="22"/>
          <w:szCs w:val="22"/>
        </w:rPr>
        <w:fldChar w:fldCharType="separate"/>
      </w:r>
      <w:r w:rsidR="00896CCD" w:rsidRPr="00E01239">
        <w:rPr>
          <w:rFonts w:asciiTheme="minorHAnsi" w:hAnsiTheme="minorHAnsi" w:cstheme="minorHAnsi"/>
          <w:noProof/>
          <w:sz w:val="22"/>
          <w:szCs w:val="22"/>
        </w:rPr>
        <w:t>3</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xml:space="preserve"> : </w:t>
      </w:r>
      <w:r w:rsidRPr="00E01239">
        <w:rPr>
          <w:rFonts w:asciiTheme="minorHAnsi" w:hAnsiTheme="minorHAnsi" w:cstheme="minorHAnsi"/>
          <w:b w:val="0"/>
          <w:bCs w:val="0"/>
          <w:sz w:val="22"/>
          <w:szCs w:val="22"/>
        </w:rPr>
        <w:t>Moyennes pluviométriques par décennie (Source : CSE 2013)</w:t>
      </w:r>
      <w:bookmarkEnd w:id="556"/>
      <w:bookmarkEnd w:id="557"/>
    </w:p>
    <w:p w14:paraId="733DC17B" w14:textId="014F7501" w:rsidR="001678B8" w:rsidRPr="00E01239" w:rsidRDefault="001678B8" w:rsidP="00202CE9">
      <w:pPr>
        <w:tabs>
          <w:tab w:val="left" w:pos="2430"/>
        </w:tabs>
        <w:jc w:val="center"/>
        <w:rPr>
          <w:rFonts w:asciiTheme="minorHAnsi" w:hAnsiTheme="minorHAnsi" w:cstheme="minorHAnsi"/>
        </w:rPr>
      </w:pPr>
      <w:r w:rsidRPr="00E01239">
        <w:rPr>
          <w:rFonts w:asciiTheme="minorHAnsi" w:hAnsiTheme="minorHAnsi" w:cstheme="minorHAnsi"/>
          <w:noProof/>
        </w:rPr>
        <w:lastRenderedPageBreak/>
        <w:drawing>
          <wp:inline distT="0" distB="0" distL="0" distR="0" wp14:anchorId="4FF3D0EE" wp14:editId="69E4182C">
            <wp:extent cx="5139426" cy="360321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2167" cy="3605134"/>
                    </a:xfrm>
                    <a:prstGeom prst="rect">
                      <a:avLst/>
                    </a:prstGeom>
                    <a:noFill/>
                    <a:ln>
                      <a:noFill/>
                    </a:ln>
                  </pic:spPr>
                </pic:pic>
              </a:graphicData>
            </a:graphic>
          </wp:inline>
        </w:drawing>
      </w:r>
    </w:p>
    <w:p w14:paraId="06E29F3E"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Les impacts de cette baisse de la pluviométrie sont connus : dégradation du couvert végétal, détérioration des parcours naturels, raréfaction et salinisation des ressources en eau, mobilisation des particules de sable dans les zones déboisées, qui deviennent ainsi très sensibles à l’érosion éolienne. </w:t>
      </w:r>
    </w:p>
    <w:p w14:paraId="3F03AF65" w14:textId="77777777" w:rsidR="001678B8"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Même si actuellement au Sénégal, les précipitations constituent l’élément majeur du climat, les émissions de gaz à effet de serre (GES) ne sont pas à négliger dans le changement climatique. </w:t>
      </w:r>
    </w:p>
    <w:p w14:paraId="4FE240F6" w14:textId="77777777" w:rsidR="00667EA5" w:rsidRPr="00E931BE" w:rsidRDefault="00667EA5" w:rsidP="00667EA5">
      <w:pPr>
        <w:spacing w:before="120" w:line="280" w:lineRule="exact"/>
        <w:jc w:val="both"/>
        <w:rPr>
          <w:rFonts w:asciiTheme="minorHAnsi" w:eastAsia="Calibri" w:hAnsiTheme="minorHAnsi" w:cstheme="minorHAnsi"/>
          <w:sz w:val="22"/>
          <w:szCs w:val="22"/>
        </w:rPr>
      </w:pPr>
      <w:r w:rsidRPr="00E931BE">
        <w:rPr>
          <w:rFonts w:asciiTheme="minorHAnsi" w:eastAsia="Calibri" w:hAnsiTheme="minorHAnsi" w:cstheme="minorHAnsi"/>
          <w:sz w:val="22"/>
          <w:szCs w:val="22"/>
        </w:rPr>
        <w:t>Le Sénégal s'est engagé à réduire ses émissions de gaz à effet de serre (GES) dans le cadre de sa Contribution Déterminée au niveau National (CDN). Le pays s'est fixé un objectif réaliste de réduire ses émissions de 5% à l'horizon 2030, avec un objectif conditionnel de réduction de 21% en cas de soutien extérieur.</w:t>
      </w:r>
    </w:p>
    <w:p w14:paraId="35E2F329" w14:textId="77777777" w:rsidR="00667EA5" w:rsidRPr="00E931BE" w:rsidRDefault="00667EA5" w:rsidP="00667EA5">
      <w:pPr>
        <w:spacing w:before="120" w:line="280" w:lineRule="exact"/>
        <w:jc w:val="both"/>
        <w:rPr>
          <w:rFonts w:asciiTheme="minorHAnsi" w:eastAsia="Calibri" w:hAnsiTheme="minorHAnsi" w:cstheme="minorHAnsi"/>
          <w:sz w:val="22"/>
          <w:szCs w:val="22"/>
        </w:rPr>
      </w:pPr>
      <w:r w:rsidRPr="00E931BE">
        <w:rPr>
          <w:rFonts w:asciiTheme="minorHAnsi" w:eastAsia="Calibri" w:hAnsiTheme="minorHAnsi" w:cstheme="minorHAnsi"/>
          <w:sz w:val="22"/>
          <w:szCs w:val="22"/>
        </w:rPr>
        <w:t>Il ressort dans différentes communications nationales à la Convention-cadre des Nations unies sur les changements climatiques (CCNUCC) une augmentation nette des émissions nationales. Le profil des émissions de gaz à effet de serre par secteur se présente comme suit : 49% provenant du secteur agricole, 40% de l’énergie, 7% des déchets et 4% des procédés industriels. Selon les projections contenues dans la Contribution Déterminée au niveau National (CDN), les émissions du secteur de l’agriculture connaitront une hausse progressive et régulière, jusqu’en 2030, particulièrement dans le sous-secteur de l’élevage. Ainsi le processus digestif de la fermentation entérique chez les ruminants va demeurer la catégorie majeure d’émissions de ce secteur.</w:t>
      </w:r>
    </w:p>
    <w:p w14:paraId="5E9744E8" w14:textId="77777777" w:rsidR="00667EA5" w:rsidRDefault="00667EA5" w:rsidP="00667EA5">
      <w:pPr>
        <w:spacing w:before="120" w:line="280" w:lineRule="exact"/>
        <w:jc w:val="both"/>
        <w:rPr>
          <w:rFonts w:asciiTheme="minorHAnsi" w:eastAsia="Calibri" w:hAnsiTheme="minorHAnsi" w:cstheme="minorHAnsi"/>
          <w:sz w:val="22"/>
          <w:szCs w:val="22"/>
        </w:rPr>
      </w:pPr>
      <w:r w:rsidRPr="00E931BE">
        <w:rPr>
          <w:rFonts w:asciiTheme="minorHAnsi" w:eastAsia="Calibri" w:hAnsiTheme="minorHAnsi" w:cstheme="minorHAnsi"/>
          <w:sz w:val="22"/>
          <w:szCs w:val="22"/>
        </w:rPr>
        <w:t>Dans le secteur agricole, des mesures d'atténuation sont mises en œuvre. Cela comprend l'augmentation de la séquestration du carbone dans les secteurs agricole et forestier, ainsi que l'utilisation accrue des énergies renouvelables, l'amélioration de l'efficacité énergétique et la gestion des déchets</w:t>
      </w:r>
      <w:r>
        <w:rPr>
          <w:rFonts w:asciiTheme="minorHAnsi" w:eastAsia="Calibri" w:hAnsiTheme="minorHAnsi" w:cstheme="minorHAnsi"/>
          <w:sz w:val="22"/>
          <w:szCs w:val="22"/>
        </w:rPr>
        <w:t>.</w:t>
      </w:r>
    </w:p>
    <w:p w14:paraId="0B6C7892"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La part importante du secteur énergétique dans les émissions de GES est imputable à la consommation de produits pétroliers dans les domaines des transports et de l’industrie : ces deux secteurs représentent à eux seuls 76 % des émissions du secteur énergie. La vétusté du parc automobile (plus de 50% des véhicules ont plus de 10 ans) associée à l’augmentation de la consommation de carburant de mauvaise qualité et à la vétusté des infrastructures accentuent les niveaux d’émissions polluantes. </w:t>
      </w:r>
    </w:p>
    <w:p w14:paraId="5B5A1DC1" w14:textId="77777777" w:rsidR="001678B8"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lastRenderedPageBreak/>
        <w:t>Les émissions de GES liées à la consommation de charbon de bois deviennent aussi de plus en plus importantes en raison des besoins croissants en charbon de bois des grandes villes (Dakar).</w:t>
      </w:r>
    </w:p>
    <w:p w14:paraId="4D8DF714" w14:textId="77777777" w:rsidR="00C513DB" w:rsidRDefault="00C513DB" w:rsidP="00202CE9">
      <w:pPr>
        <w:spacing w:before="120" w:line="280" w:lineRule="exact"/>
        <w:jc w:val="both"/>
        <w:rPr>
          <w:rFonts w:asciiTheme="minorHAnsi" w:eastAsia="Calibri" w:hAnsiTheme="minorHAnsi" w:cstheme="minorHAnsi"/>
          <w:sz w:val="22"/>
          <w:szCs w:val="22"/>
        </w:rPr>
      </w:pPr>
    </w:p>
    <w:p w14:paraId="79AEF364" w14:textId="77777777" w:rsidR="00C513DB" w:rsidRPr="00E01239" w:rsidRDefault="00C513DB" w:rsidP="00202CE9">
      <w:pPr>
        <w:spacing w:before="120" w:line="280" w:lineRule="exact"/>
        <w:jc w:val="both"/>
        <w:rPr>
          <w:rFonts w:asciiTheme="minorHAnsi" w:eastAsia="Calibri" w:hAnsiTheme="minorHAnsi" w:cstheme="minorHAnsi"/>
          <w:sz w:val="22"/>
          <w:szCs w:val="22"/>
        </w:rPr>
      </w:pPr>
    </w:p>
    <w:p w14:paraId="2B344F1B" w14:textId="7F59A50F"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Les impacts de ces changements climatiques sont surtout envisageables sur la sécurité alimentaire (productions agricoles) avec une dégradation des conditions de production, une translation des zones </w:t>
      </w:r>
      <w:r w:rsidR="00C513DB" w:rsidRPr="00E01239">
        <w:rPr>
          <w:rFonts w:asciiTheme="minorHAnsi" w:eastAsia="Calibri" w:hAnsiTheme="minorHAnsi" w:cstheme="minorHAnsi"/>
          <w:sz w:val="22"/>
          <w:szCs w:val="22"/>
        </w:rPr>
        <w:t>agro climatiques</w:t>
      </w:r>
      <w:r w:rsidRPr="00E01239">
        <w:rPr>
          <w:rFonts w:asciiTheme="minorHAnsi" w:eastAsia="Calibri" w:hAnsiTheme="minorHAnsi" w:cstheme="minorHAnsi"/>
          <w:sz w:val="22"/>
          <w:szCs w:val="22"/>
        </w:rPr>
        <w:t xml:space="preserve"> vers le Sud et une réduction notable des potentiels de production. Mais aussi, sur la vulnérabilité des zones côtières qui sont basses, sablo-argileuses et inondées ; avec des problèmes d’érosion, de salinisation des terres et des eaux, de dégradation des ressources halieutiques.</w:t>
      </w:r>
    </w:p>
    <w:p w14:paraId="10CB780F"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coûts socio-économiques de ces impacts sont importants sur des secteurs tels que le tourisme, la pêche, l’agriculture, etc.</w:t>
      </w:r>
    </w:p>
    <w:p w14:paraId="1AF5A1F9" w14:textId="77777777" w:rsidR="008E4D64" w:rsidRPr="00E01239" w:rsidRDefault="008E4D64" w:rsidP="00202CE9">
      <w:pPr>
        <w:jc w:val="both"/>
        <w:rPr>
          <w:rFonts w:asciiTheme="minorHAnsi" w:hAnsiTheme="minorHAnsi" w:cstheme="minorHAnsi"/>
          <w:sz w:val="22"/>
          <w:szCs w:val="22"/>
        </w:rPr>
      </w:pPr>
    </w:p>
    <w:p w14:paraId="5C53849A" w14:textId="77777777" w:rsidR="008E4D64" w:rsidRPr="00E01239" w:rsidRDefault="008E4D64" w:rsidP="00027669">
      <w:pPr>
        <w:pStyle w:val="Titre3"/>
        <w:numPr>
          <w:ilvl w:val="2"/>
          <w:numId w:val="171"/>
        </w:numPr>
        <w:ind w:left="1134" w:hanging="708"/>
        <w:rPr>
          <w:rFonts w:asciiTheme="minorHAnsi" w:hAnsiTheme="minorHAnsi" w:cstheme="minorHAnsi"/>
        </w:rPr>
      </w:pPr>
      <w:bookmarkStart w:id="558" w:name="_Toc63285575"/>
      <w:bookmarkStart w:id="559" w:name="_Toc84845216"/>
      <w:bookmarkStart w:id="560" w:name="_Toc144654093"/>
      <w:r w:rsidRPr="00E01239">
        <w:rPr>
          <w:rFonts w:asciiTheme="minorHAnsi" w:hAnsiTheme="minorHAnsi" w:cstheme="minorHAnsi"/>
        </w:rPr>
        <w:t>Problématique des feux de brousse</w:t>
      </w:r>
      <w:bookmarkEnd w:id="558"/>
      <w:bookmarkEnd w:id="559"/>
      <w:bookmarkEnd w:id="560"/>
    </w:p>
    <w:p w14:paraId="0B12FC2A" w14:textId="77777777"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feux de brousse sont des phénomènes très courants dans certaines parties de la zone d’intervention du projet ; souvent d’origine humaine et/ou climatique.</w:t>
      </w:r>
    </w:p>
    <w:p w14:paraId="7260802A" w14:textId="77777777"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La perte de biomasse fourragère et de couvert végétal constitue la principale conséquence de la récurrence des feux de brousse. Des initiatives communautaires sont développées pour une lutte permanente contre ce phénomène. </w:t>
      </w:r>
    </w:p>
    <w:p w14:paraId="1816A94B" w14:textId="77777777" w:rsidR="009A16A4" w:rsidRPr="00E01239" w:rsidRDefault="008E4D64" w:rsidP="009A16A4">
      <w:pPr>
        <w:spacing w:before="120" w:line="280" w:lineRule="exact"/>
        <w:jc w:val="both"/>
        <w:rPr>
          <w:rFonts w:ascii="Calibri" w:eastAsia="Calibri" w:hAnsi="Calibri" w:cs="Calibri"/>
          <w:sz w:val="22"/>
          <w:szCs w:val="22"/>
        </w:rPr>
      </w:pPr>
      <w:r w:rsidRPr="00E01239">
        <w:rPr>
          <w:rFonts w:asciiTheme="minorHAnsi" w:eastAsia="Calibri" w:hAnsiTheme="minorHAnsi" w:cstheme="minorHAnsi"/>
          <w:sz w:val="22"/>
          <w:szCs w:val="22"/>
        </w:rPr>
        <w:t>Les résultats du suivi des feux de brousse effectués par le centre de suivi écologique durant la période 2011-2018 font état, en moyenne, de 700 000 ha de superficies brutes brulées. Même si une baisse relative est notée comparativement aux années précédentes, le phénomène reste encore important au Sénégal particulièrement dans la partie Est du Bassin arachidier.</w:t>
      </w:r>
      <w:r w:rsidR="009A16A4" w:rsidRPr="00E01239">
        <w:rPr>
          <w:rFonts w:asciiTheme="minorHAnsi" w:eastAsia="Calibri" w:hAnsiTheme="minorHAnsi" w:cstheme="minorHAnsi"/>
          <w:sz w:val="22"/>
          <w:szCs w:val="22"/>
        </w:rPr>
        <w:t xml:space="preserve"> </w:t>
      </w:r>
      <w:r w:rsidR="009A16A4" w:rsidRPr="00E01239">
        <w:rPr>
          <w:rFonts w:ascii="Calibri" w:eastAsia="Calibri" w:hAnsi="Calibri" w:cs="Calibri"/>
          <w:sz w:val="22"/>
          <w:szCs w:val="22"/>
        </w:rPr>
        <w:t>Le projet pourrait être l’opportunité de démarrer de nouvelles initiatives de protection et de renforcement des moyens de protection des forêts.</w:t>
      </w:r>
    </w:p>
    <w:p w14:paraId="7B21D233" w14:textId="3706C090" w:rsidR="008E4D64" w:rsidRPr="00E01239" w:rsidRDefault="008E4D64" w:rsidP="00202CE9">
      <w:pPr>
        <w:spacing w:before="120" w:line="280" w:lineRule="exact"/>
        <w:jc w:val="both"/>
        <w:rPr>
          <w:rFonts w:asciiTheme="minorHAnsi" w:eastAsia="Calibri" w:hAnsiTheme="minorHAnsi" w:cstheme="minorHAnsi"/>
          <w:sz w:val="22"/>
          <w:szCs w:val="22"/>
        </w:rPr>
      </w:pPr>
    </w:p>
    <w:p w14:paraId="5B89F3F9" w14:textId="77777777" w:rsidR="008E4D64" w:rsidRPr="00E01239" w:rsidRDefault="008E4D64" w:rsidP="00202CE9">
      <w:pPr>
        <w:jc w:val="both"/>
        <w:rPr>
          <w:rFonts w:asciiTheme="minorHAnsi" w:hAnsiTheme="minorHAnsi" w:cstheme="minorHAnsi"/>
          <w:sz w:val="22"/>
          <w:szCs w:val="22"/>
        </w:rPr>
      </w:pPr>
    </w:p>
    <w:p w14:paraId="566184A0" w14:textId="77777777" w:rsidR="008E4D64" w:rsidRPr="00E01239" w:rsidRDefault="008E4D64" w:rsidP="00027669">
      <w:pPr>
        <w:pStyle w:val="Titre3"/>
        <w:numPr>
          <w:ilvl w:val="2"/>
          <w:numId w:val="171"/>
        </w:numPr>
        <w:ind w:left="1134" w:hanging="708"/>
        <w:rPr>
          <w:rFonts w:asciiTheme="minorHAnsi" w:hAnsiTheme="minorHAnsi" w:cstheme="minorHAnsi"/>
        </w:rPr>
      </w:pPr>
      <w:bookmarkStart w:id="561" w:name="_Toc84845217"/>
      <w:bookmarkStart w:id="562" w:name="_Toc144654094"/>
      <w:r w:rsidRPr="00E01239">
        <w:rPr>
          <w:rFonts w:asciiTheme="minorHAnsi" w:hAnsiTheme="minorHAnsi" w:cstheme="minorHAnsi"/>
        </w:rPr>
        <w:t>Salinisation des terres</w:t>
      </w:r>
      <w:bookmarkEnd w:id="561"/>
      <w:bookmarkEnd w:id="562"/>
    </w:p>
    <w:p w14:paraId="7629E0EA" w14:textId="2CFD82CB"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La salinisation des terres est un problème majeur à l’échelle du Sénégal (1 000 000 ha selon INP en 2008). L’extension des terres salées est due à leur envahissement par les eaux marines lors des marées hautes, </w:t>
      </w:r>
      <w:r w:rsidR="00F45BD8" w:rsidRPr="00E01239">
        <w:rPr>
          <w:rFonts w:ascii="Calibri" w:eastAsia="Calibri" w:hAnsi="Calibri" w:cs="Calibri"/>
          <w:sz w:val="22"/>
          <w:szCs w:val="22"/>
        </w:rPr>
        <w:t>à la baisse de la pluviométrie</w:t>
      </w:r>
      <w:r w:rsidR="00F45BD8" w:rsidRPr="00E01239">
        <w:rPr>
          <w:rFonts w:asciiTheme="minorHAnsi" w:eastAsia="Calibri" w:hAnsiTheme="minorHAnsi" w:cstheme="minorHAnsi"/>
          <w:sz w:val="22"/>
          <w:szCs w:val="22"/>
        </w:rPr>
        <w:t xml:space="preserve">, </w:t>
      </w:r>
      <w:r w:rsidRPr="00E01239">
        <w:rPr>
          <w:rFonts w:asciiTheme="minorHAnsi" w:eastAsia="Calibri" w:hAnsiTheme="minorHAnsi" w:cstheme="minorHAnsi"/>
          <w:sz w:val="22"/>
          <w:szCs w:val="22"/>
        </w:rPr>
        <w:t xml:space="preserve">à la remontée capillaire des eaux de nappes phréatiques salées, au mauvais drainage des sols dans les périmètres irrigués et fertilisés par les engrais chimiques. </w:t>
      </w:r>
    </w:p>
    <w:p w14:paraId="3FA65556" w14:textId="77777777"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 bassin arachidier est l’une des zones les plus touchées par le sel au Sénégal, même si le phénomène commence à gagner du terrain dans la vallée du fleuve Sénégal, les Niayes, la Casamance. En effet, l’extension des terres salées provoque un déséquilibre environnemental qui affecte l’activité agricole, et dont l’impact se résume à la réduction des terres arables.</w:t>
      </w:r>
    </w:p>
    <w:p w14:paraId="6B24A679" w14:textId="5E439C49" w:rsidR="008E4D64" w:rsidRPr="00E01239" w:rsidRDefault="008E4D64"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Cette problématique devra être considérée dans toute les interventions du Projet FRSP afin de ne pas contribuer à son accentuation ou d’entraver la réussite des initiales promues.</w:t>
      </w:r>
    </w:p>
    <w:p w14:paraId="44C71C6A" w14:textId="77777777" w:rsidR="009A16A4" w:rsidRPr="00E01239" w:rsidRDefault="009A16A4" w:rsidP="009A16A4">
      <w:pPr>
        <w:jc w:val="both"/>
        <w:rPr>
          <w:rFonts w:ascii="Calibri" w:eastAsia="Calibri" w:hAnsi="Calibri" w:cs="Calibri"/>
          <w:sz w:val="22"/>
          <w:szCs w:val="22"/>
        </w:rPr>
      </w:pPr>
      <w:r w:rsidRPr="00E01239">
        <w:rPr>
          <w:rFonts w:ascii="Calibri" w:eastAsia="Calibri" w:hAnsi="Calibri" w:cs="Calibri"/>
          <w:sz w:val="22"/>
          <w:szCs w:val="22"/>
        </w:rPr>
        <w:t xml:space="preserve">En vue de freiner l’augmentation fulgurante de la salinisation des sols, l’opportunité serait d’intégrer dans le cadre du projet un programme d’analyse pédologique des terres en vue d’établir un diagnostic global sur la situation des sols. </w:t>
      </w:r>
    </w:p>
    <w:p w14:paraId="62CF7815" w14:textId="77777777" w:rsidR="009A16A4" w:rsidRPr="00E01239" w:rsidRDefault="009A16A4" w:rsidP="00202CE9">
      <w:pPr>
        <w:spacing w:before="120" w:line="280" w:lineRule="exact"/>
        <w:jc w:val="both"/>
        <w:rPr>
          <w:rFonts w:asciiTheme="minorHAnsi" w:eastAsia="Calibri" w:hAnsiTheme="minorHAnsi" w:cstheme="minorHAnsi"/>
          <w:sz w:val="22"/>
          <w:szCs w:val="22"/>
        </w:rPr>
      </w:pPr>
    </w:p>
    <w:p w14:paraId="78134ED0" w14:textId="4062EAAB" w:rsidR="00A1305E" w:rsidRPr="00E01239" w:rsidRDefault="00A1305E">
      <w:pPr>
        <w:rPr>
          <w:rFonts w:asciiTheme="minorHAnsi" w:eastAsia="Calibri" w:hAnsiTheme="minorHAnsi" w:cstheme="minorHAnsi"/>
          <w:sz w:val="22"/>
          <w:szCs w:val="22"/>
        </w:rPr>
      </w:pPr>
      <w:r w:rsidRPr="00E01239">
        <w:rPr>
          <w:rFonts w:asciiTheme="minorHAnsi" w:eastAsia="Calibri" w:hAnsiTheme="minorHAnsi" w:cstheme="minorHAnsi"/>
          <w:sz w:val="22"/>
          <w:szCs w:val="22"/>
        </w:rPr>
        <w:br w:type="page"/>
      </w:r>
    </w:p>
    <w:p w14:paraId="17C38045" w14:textId="77777777" w:rsidR="008E4D64" w:rsidRPr="00E01239" w:rsidRDefault="008E4D64" w:rsidP="00027669">
      <w:pPr>
        <w:pStyle w:val="Titre3"/>
        <w:numPr>
          <w:ilvl w:val="2"/>
          <w:numId w:val="171"/>
        </w:numPr>
        <w:ind w:left="1134" w:hanging="708"/>
        <w:rPr>
          <w:rFonts w:asciiTheme="minorHAnsi" w:hAnsiTheme="minorHAnsi" w:cstheme="minorHAnsi"/>
        </w:rPr>
      </w:pPr>
      <w:bookmarkStart w:id="563" w:name="_Toc84845218"/>
      <w:bookmarkStart w:id="564" w:name="_Toc144654095"/>
      <w:r w:rsidRPr="00E01239">
        <w:rPr>
          <w:rFonts w:asciiTheme="minorHAnsi" w:hAnsiTheme="minorHAnsi" w:cstheme="minorHAnsi"/>
        </w:rPr>
        <w:lastRenderedPageBreak/>
        <w:t>Problématique de la compétition foncière</w:t>
      </w:r>
      <w:bookmarkEnd w:id="563"/>
      <w:bookmarkEnd w:id="564"/>
    </w:p>
    <w:p w14:paraId="421C9089" w14:textId="6EAF18E1" w:rsidR="008E4D64" w:rsidRPr="00E01239" w:rsidRDefault="008E4D64" w:rsidP="00737B42">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 foncier en zone rurale est actuellement principalement régi par la loi 64-46 sur le domaine national du 17 juin 1964, dans lequel a été versé plus de 95% des terres. Comme dans beaucoup de pays d’Afrique de l’Ouest, les enjeux fonciers au Sénégal sont prépondérants du fait d’une inadéquation de ce cadre juridique et institutionnel avec les besoins des différents acteurs mais surtout des réalités socioculturelles, ce qui a pour conséquence d’entraîner des pratiques locales qui s’éloignent des textes législatifs</w:t>
      </w:r>
      <w:r w:rsidR="00E31AA0">
        <w:rPr>
          <w:rFonts w:asciiTheme="minorHAnsi" w:eastAsia="Calibri" w:hAnsiTheme="minorHAnsi" w:cstheme="minorHAnsi"/>
          <w:sz w:val="22"/>
          <w:szCs w:val="22"/>
        </w:rPr>
        <w:t xml:space="preserve"> avec le développement de transactions foncières informelles sur des terres non immatriculées et parfois à la périphérie des zones de conservation</w:t>
      </w:r>
      <w:r w:rsidRPr="00E01239">
        <w:rPr>
          <w:rFonts w:asciiTheme="minorHAnsi" w:eastAsia="Calibri" w:hAnsiTheme="minorHAnsi" w:cstheme="minorHAnsi"/>
          <w:sz w:val="22"/>
          <w:szCs w:val="22"/>
        </w:rPr>
        <w:t xml:space="preserve">. Depuis plusieurs décennies, des tentatives de réforme ont été initiées par le gouvernement, sans qu’aucune de ces démarches n’ait réellement permis de prendre en compte l’ensemble des enjeux liés au foncier. A l’heure actuelle, tous les acteurs s’accordent sur l’urgence d’une réforme, mais les objectifs de celle-ci et les instruments qui devraient être mis en œuvre ne font pas consensus. </w:t>
      </w:r>
      <w:r w:rsidR="00242F26" w:rsidRPr="00E01239">
        <w:rPr>
          <w:rFonts w:asciiTheme="minorHAnsi" w:eastAsia="Calibri" w:hAnsiTheme="minorHAnsi" w:cstheme="minorHAnsi"/>
          <w:sz w:val="22"/>
          <w:szCs w:val="22"/>
        </w:rPr>
        <w:t>Aussi, si certaines lois et règlements promeuvent au Sénégal un accès égal à la terre entre hommes et femmes, celles-ci n’en jouissent pas toujours en termes d’accès et de contrôle de ce facteur de production tant convoité.</w:t>
      </w:r>
      <w:r w:rsidR="0084253E" w:rsidRPr="00E01239">
        <w:rPr>
          <w:rFonts w:asciiTheme="minorHAnsi" w:eastAsia="Calibri" w:hAnsiTheme="minorHAnsi" w:cstheme="minorHAnsi"/>
          <w:sz w:val="22"/>
          <w:szCs w:val="22"/>
        </w:rPr>
        <w:t xml:space="preserve"> Ce problème est lié surtout au fait que ce sont les critères historico-culturels fortement dépendants des rapports sociaux de sexe où la position prééminente de l’homme est de mise, qui déterminent les conditions d’accès. D’un autre côté</w:t>
      </w:r>
      <w:r w:rsidRPr="00E01239">
        <w:rPr>
          <w:rFonts w:asciiTheme="minorHAnsi" w:eastAsia="Calibri" w:hAnsiTheme="minorHAnsi" w:cstheme="minorHAnsi"/>
          <w:sz w:val="22"/>
          <w:szCs w:val="22"/>
        </w:rPr>
        <w:t>, les phénomènes d’accaparement de terres observés dans de nombreux pays africains inquiètent fortement les organisations paysannes et organisations de la société civile sénégalaises qui redoutent que le contexte d’insécurité juridique actuel n’exacerbe la concurrence entre les exploitations locales et les nouveaux acteurs entrant dans l’agriculture.</w:t>
      </w:r>
      <w:r w:rsidR="004F7F35" w:rsidRPr="00E01239">
        <w:rPr>
          <w:rFonts w:asciiTheme="minorHAnsi" w:eastAsia="Calibri" w:hAnsiTheme="minorHAnsi" w:cstheme="minorHAnsi"/>
          <w:sz w:val="22"/>
          <w:szCs w:val="22"/>
        </w:rPr>
        <w:t xml:space="preserve"> Par ailleurs, l’accroissement de la pression sur le foncier se traduit dans plusieurs parties du pays par des conflits d’usage surtout entre l’agriculture et l’élevage. En effet, l’absence d’une matérialisation claire des couloirs de transhumance du bétail et la compétition sur les ressources en eau constituent des sources de conflits fonciers dans les régions à vocation à la fois agricole et pastorale. La distinction des vocations des </w:t>
      </w:r>
      <w:r w:rsidR="00EA3835" w:rsidRPr="00E01239">
        <w:rPr>
          <w:rFonts w:asciiTheme="minorHAnsi" w:eastAsia="Calibri" w:hAnsiTheme="minorHAnsi" w:cstheme="minorHAnsi"/>
          <w:sz w:val="22"/>
          <w:szCs w:val="22"/>
        </w:rPr>
        <w:t>terroirs, selon le modèle des plans d’occupation et d’affectation des sols (POAS)</w:t>
      </w:r>
      <w:r w:rsidR="004F7F35" w:rsidRPr="00E01239">
        <w:rPr>
          <w:rFonts w:asciiTheme="minorHAnsi" w:eastAsia="Calibri" w:hAnsiTheme="minorHAnsi" w:cstheme="minorHAnsi"/>
          <w:sz w:val="22"/>
          <w:szCs w:val="22"/>
        </w:rPr>
        <w:t xml:space="preserve"> même si elle existe</w:t>
      </w:r>
      <w:r w:rsidR="00EA3835" w:rsidRPr="00E01239">
        <w:rPr>
          <w:rFonts w:asciiTheme="minorHAnsi" w:eastAsia="Calibri" w:hAnsiTheme="minorHAnsi" w:cstheme="minorHAnsi"/>
          <w:sz w:val="22"/>
          <w:szCs w:val="22"/>
        </w:rPr>
        <w:t>, est peu respectée dans la pratique.</w:t>
      </w:r>
    </w:p>
    <w:p w14:paraId="073C45A5" w14:textId="77777777" w:rsidR="001678B8" w:rsidRPr="00E01239" w:rsidRDefault="001678B8" w:rsidP="00202CE9">
      <w:pPr>
        <w:spacing w:before="120" w:line="280" w:lineRule="exact"/>
        <w:jc w:val="both"/>
        <w:rPr>
          <w:rFonts w:asciiTheme="minorHAnsi" w:eastAsia="Calibri" w:hAnsiTheme="minorHAnsi" w:cstheme="minorHAnsi"/>
          <w:sz w:val="22"/>
          <w:szCs w:val="22"/>
        </w:rPr>
      </w:pPr>
    </w:p>
    <w:p w14:paraId="5ED3868A" w14:textId="77777777" w:rsidR="001678B8" w:rsidRPr="00E01239" w:rsidRDefault="001678B8" w:rsidP="00027669">
      <w:pPr>
        <w:pStyle w:val="Titre3"/>
        <w:numPr>
          <w:ilvl w:val="2"/>
          <w:numId w:val="171"/>
        </w:numPr>
        <w:ind w:left="1134" w:hanging="708"/>
        <w:rPr>
          <w:rFonts w:asciiTheme="minorHAnsi" w:hAnsiTheme="minorHAnsi" w:cstheme="minorHAnsi"/>
        </w:rPr>
      </w:pPr>
      <w:bookmarkStart w:id="565" w:name="_Toc63812077"/>
      <w:bookmarkStart w:id="566" w:name="_Toc144654096"/>
      <w:r w:rsidRPr="00E01239">
        <w:rPr>
          <w:rFonts w:asciiTheme="minorHAnsi" w:hAnsiTheme="minorHAnsi" w:cstheme="minorHAnsi"/>
        </w:rPr>
        <w:t>Surpâturage</w:t>
      </w:r>
      <w:bookmarkEnd w:id="565"/>
      <w:bookmarkEnd w:id="566"/>
    </w:p>
    <w:p w14:paraId="73DD3751"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 cheptel sénégalais malgré une certaine fluctuation comprend environ 3 millions de bovins, 8,7 millions de petits ruminants dont 4,7 millions d’ovins et 4 millions de caprins. Entre 1994 et maintenant les effectifs ont connu des taux d’accroissement importants respectivement de 8% (bovins), 18% (ovins) et 19 % (caprins). Le cheptel ne cesse de croître du fait de l’amélioration de la santé animale. </w:t>
      </w:r>
    </w:p>
    <w:p w14:paraId="08A020CE"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Avec l’avancée du front agricole, la pression animale devenue de plus en plus forte entraîne une surcharge avec comme conséquence la dégradation des parcours naturels. La dégradation du tapis herbacé et la destruction systématique du couvert ligneux par des émondages sauvages (ligneux) dans la zone sylvo- pastorale (Centre Nord du Sénégal) accentuent l’érosion éolienne, le ruissellement et la mobilité des dunes de sable. En termes de biodiversité, des recherches récentes ont montré que les trois-quarts des galeries forestières du Parc National du Delta du Saloum au Sénégal, l'habitat principal des colobes bais, ont disparu du fait entres autres d’activités humaines telles que le surpâturage.</w:t>
      </w:r>
    </w:p>
    <w:p w14:paraId="245B54DE" w14:textId="594EDE1F" w:rsidR="001678B8" w:rsidRPr="00E01239" w:rsidRDefault="001678B8" w:rsidP="008E4D64">
      <w:pPr>
        <w:spacing w:before="120" w:line="360" w:lineRule="exact"/>
        <w:rPr>
          <w:rFonts w:asciiTheme="minorHAnsi" w:hAnsiTheme="minorHAnsi" w:cstheme="minorHAnsi"/>
          <w:sz w:val="22"/>
          <w:szCs w:val="22"/>
        </w:rPr>
      </w:pPr>
    </w:p>
    <w:p w14:paraId="3C482640" w14:textId="77777777" w:rsidR="001678B8" w:rsidRPr="00E01239" w:rsidRDefault="001678B8" w:rsidP="00027669">
      <w:pPr>
        <w:pStyle w:val="Titre3"/>
        <w:numPr>
          <w:ilvl w:val="2"/>
          <w:numId w:val="171"/>
        </w:numPr>
        <w:ind w:left="1134" w:hanging="708"/>
        <w:rPr>
          <w:rFonts w:asciiTheme="minorHAnsi" w:hAnsiTheme="minorHAnsi" w:cstheme="minorHAnsi"/>
        </w:rPr>
      </w:pPr>
      <w:bookmarkStart w:id="567" w:name="_Toc63812078"/>
      <w:bookmarkStart w:id="568" w:name="_Toc144654097"/>
      <w:r w:rsidRPr="00E01239">
        <w:rPr>
          <w:rFonts w:asciiTheme="minorHAnsi" w:hAnsiTheme="minorHAnsi" w:cstheme="minorHAnsi"/>
        </w:rPr>
        <w:t>Pression sur les ressources forestières</w:t>
      </w:r>
      <w:bookmarkEnd w:id="567"/>
      <w:bookmarkEnd w:id="568"/>
    </w:p>
    <w:p w14:paraId="36F03D97"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Selon le programme agroforestier du Sénégal, on évalue à 13 millions d’ha les ressources forestières (soit 65% du territoire national) dont près de la moitié (6.2 millions ha) est située dans des zones classées (forêts classées, parcs et réserves) et constitue le domaine forestier de l’Etat.</w:t>
      </w:r>
    </w:p>
    <w:p w14:paraId="3977A99D"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Certaines des pressions sont liées à des facteurs de dégradation des terres, c’est le cas des pratiques pastorales et des feux de brousse ; d’autres, comme la déforestation pour la production de charbon </w:t>
      </w:r>
      <w:r w:rsidRPr="00E01239">
        <w:rPr>
          <w:rFonts w:asciiTheme="minorHAnsi" w:eastAsia="Calibri" w:hAnsiTheme="minorHAnsi" w:cstheme="minorHAnsi"/>
          <w:sz w:val="22"/>
          <w:szCs w:val="22"/>
        </w:rPr>
        <w:lastRenderedPageBreak/>
        <w:t>ou de bois de chauffe, relèvent aussi de la même stratégie de création de revenus pour les populations (expansion du front agricole, production de bois de charbon).</w:t>
      </w:r>
    </w:p>
    <w:p w14:paraId="3EB2CB1F" w14:textId="2D1E262A"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Cette pression est combinée avec les faibles performances de l’agriculture sénégalaise notamment la nécessité de nourrir une population de plus en plus importante et de plus en plus pauvre : on assiste alors à un glissement du domaine agricole du Bassin arachidier vers les zones situées au sud de la zone </w:t>
      </w:r>
      <w:proofErr w:type="spellStart"/>
      <w:r w:rsidRPr="00E01239">
        <w:rPr>
          <w:rFonts w:asciiTheme="minorHAnsi" w:eastAsia="Calibri" w:hAnsiTheme="minorHAnsi" w:cstheme="minorHAnsi"/>
          <w:sz w:val="22"/>
          <w:szCs w:val="22"/>
        </w:rPr>
        <w:t>sylvo-pastorale</w:t>
      </w:r>
      <w:proofErr w:type="spellEnd"/>
      <w:r w:rsidRPr="00E01239">
        <w:rPr>
          <w:rFonts w:asciiTheme="minorHAnsi" w:eastAsia="Calibri" w:hAnsiTheme="minorHAnsi" w:cstheme="minorHAnsi"/>
          <w:sz w:val="22"/>
          <w:szCs w:val="22"/>
        </w:rPr>
        <w:t xml:space="preserve">, la Casamance et le Sénégal oriental. </w:t>
      </w:r>
    </w:p>
    <w:p w14:paraId="6C272AFE"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Certaines forêts classées constituent de véritables zones à risque : c’est le cas de la forêt de </w:t>
      </w:r>
      <w:proofErr w:type="spellStart"/>
      <w:r w:rsidRPr="00E01239">
        <w:rPr>
          <w:rFonts w:asciiTheme="minorHAnsi" w:eastAsia="Calibri" w:hAnsiTheme="minorHAnsi" w:cstheme="minorHAnsi"/>
          <w:sz w:val="22"/>
          <w:szCs w:val="22"/>
        </w:rPr>
        <w:t>Pata</w:t>
      </w:r>
      <w:proofErr w:type="spellEnd"/>
      <w:r w:rsidRPr="00E01239">
        <w:rPr>
          <w:rFonts w:asciiTheme="minorHAnsi" w:eastAsia="Calibri" w:hAnsiTheme="minorHAnsi" w:cstheme="minorHAnsi"/>
          <w:sz w:val="22"/>
          <w:szCs w:val="22"/>
        </w:rPr>
        <w:t xml:space="preserve"> véritable laboratoire naturel avec plus d’une centaine d’espèces de faune et de flore recensées. C’est le cas également de la forêt de </w:t>
      </w:r>
      <w:proofErr w:type="spellStart"/>
      <w:r w:rsidRPr="00E01239">
        <w:rPr>
          <w:rFonts w:asciiTheme="minorHAnsi" w:eastAsia="Calibri" w:hAnsiTheme="minorHAnsi" w:cstheme="minorHAnsi"/>
          <w:sz w:val="22"/>
          <w:szCs w:val="22"/>
        </w:rPr>
        <w:t>Fathala</w:t>
      </w:r>
      <w:proofErr w:type="spellEnd"/>
      <w:r w:rsidRPr="00E01239">
        <w:rPr>
          <w:rFonts w:asciiTheme="minorHAnsi" w:eastAsia="Calibri" w:hAnsiTheme="minorHAnsi" w:cstheme="minorHAnsi"/>
          <w:sz w:val="22"/>
          <w:szCs w:val="22"/>
        </w:rPr>
        <w:t xml:space="preserve"> (Delta du Saloum) où une population résiduelle de 500 colobes bais, des primates arboricoles vivant dans la forêt dense, est menacée d'extinction.</w:t>
      </w:r>
    </w:p>
    <w:p w14:paraId="35A93E19"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Par ailleurs, étant donné le niveau de pauvreté des populations, le bois est l’unique source d’énergie à laquelle elles peuvent accéder (80% de la consommation énergétique totale des ménages). Selon une enquête de la Direction de l’Energie 1,2 millions de tonnes de bois de chauffe et 300.000 tonnes de charbon de bois sont consommées en moyenne par an.</w:t>
      </w:r>
    </w:p>
    <w:p w14:paraId="38C0073F"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Ainsi plus de 4 millions de m</w:t>
      </w:r>
      <w:r w:rsidRPr="00E01239">
        <w:rPr>
          <w:rFonts w:asciiTheme="minorHAnsi" w:eastAsia="Calibri" w:hAnsiTheme="minorHAnsi" w:cstheme="minorHAnsi"/>
          <w:sz w:val="22"/>
          <w:szCs w:val="22"/>
          <w:vertAlign w:val="superscript"/>
        </w:rPr>
        <w:t>3</w:t>
      </w:r>
      <w:r w:rsidRPr="00E01239">
        <w:rPr>
          <w:rFonts w:asciiTheme="minorHAnsi" w:eastAsia="Calibri" w:hAnsiTheme="minorHAnsi" w:cstheme="minorHAnsi"/>
          <w:sz w:val="22"/>
          <w:szCs w:val="22"/>
        </w:rPr>
        <w:t xml:space="preserve"> de bois sont prélevés annuellement sur les ressources forestières dont 60% pour satisfaire la demande en bois de chauffe et charbon de bois.</w:t>
      </w:r>
    </w:p>
    <w:p w14:paraId="39E2BE46" w14:textId="77777777" w:rsidR="001678B8" w:rsidRPr="00E01239" w:rsidRDefault="001678B8"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La dégradation des forêts au cours de ces dernières décennies a eu des impacts directs sur la faune en rendant précaire son développement et la survie de certaines espèces. Actuellement, les grands mammifères se sont repliés dans les derniers refuges que constituent les parcs nationaux, les forêts classées et les réserves naturelles. Certaines espèces typiques des zones forestières comme le Colobe bai et le chimpanzé sont à la limite nord de leur aire de répartition.</w:t>
      </w:r>
    </w:p>
    <w:p w14:paraId="3FA09381" w14:textId="77777777" w:rsidR="001678B8" w:rsidRPr="00E01239" w:rsidRDefault="001678B8" w:rsidP="00202CE9">
      <w:pPr>
        <w:rPr>
          <w:rFonts w:asciiTheme="minorHAnsi" w:hAnsiTheme="minorHAnsi" w:cstheme="minorHAnsi"/>
          <w:sz w:val="22"/>
          <w:szCs w:val="22"/>
        </w:rPr>
      </w:pPr>
    </w:p>
    <w:p w14:paraId="5B3C0A43" w14:textId="77777777" w:rsidR="008E4D64" w:rsidRPr="00E01239" w:rsidRDefault="008E4D64" w:rsidP="00027669">
      <w:pPr>
        <w:pStyle w:val="Titre3"/>
        <w:numPr>
          <w:ilvl w:val="2"/>
          <w:numId w:val="171"/>
        </w:numPr>
        <w:ind w:left="1134" w:hanging="708"/>
        <w:rPr>
          <w:rFonts w:asciiTheme="minorHAnsi" w:hAnsiTheme="minorHAnsi" w:cstheme="minorHAnsi"/>
        </w:rPr>
      </w:pPr>
      <w:bookmarkStart w:id="569" w:name="_Toc63285581"/>
      <w:bookmarkStart w:id="570" w:name="_Toc84845219"/>
      <w:bookmarkStart w:id="571" w:name="_Toc144654098"/>
      <w:r w:rsidRPr="00E01239">
        <w:rPr>
          <w:rFonts w:asciiTheme="minorHAnsi" w:hAnsiTheme="minorHAnsi" w:cstheme="minorHAnsi"/>
        </w:rPr>
        <w:t>Problématiques liées aux abus sexuels et harcèlements sexuels</w:t>
      </w:r>
      <w:bookmarkEnd w:id="569"/>
      <w:bookmarkEnd w:id="570"/>
      <w:bookmarkEnd w:id="571"/>
    </w:p>
    <w:p w14:paraId="1867E880" w14:textId="77777777" w:rsidR="009A16A4" w:rsidRPr="00E01239" w:rsidRDefault="009A16A4" w:rsidP="009A16A4">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Une première évaluation des risques SEA/SH a classé le risque du projet comme substantiel.</w:t>
      </w:r>
    </w:p>
    <w:p w14:paraId="654F35E3" w14:textId="77777777" w:rsidR="009A16A4" w:rsidRPr="00E01239" w:rsidRDefault="009A16A4" w:rsidP="009A16A4">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Les facteurs contextuels qui justifient ce niveau de risque pour le projet au Sénégal sont, entre autres, l'absence de loi sur le viol conjugal, le faible nombre de cas de VBG rapportés, le défi de fournir des services holistiques de prise en charge des VBG, etc. </w:t>
      </w:r>
    </w:p>
    <w:p w14:paraId="2AD338EE" w14:textId="77777777" w:rsidR="009A16A4" w:rsidRPr="00E01239" w:rsidRDefault="009A16A4" w:rsidP="009A16A4">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 projet aura une large portée géographique puisqu'il touchera les vallées du fleuve Sénégal au nord et au sud du pays. Le projet portera à au moins 40 % le nombre d'agricultrices qui bénéficieront de conseils hydrométéorologiques. Il réhabilitera également les infrastructures d'irrigation, développera les plaines inondables/vallées intérieures, les infrastructures de collecte des eaux, les infrastructures légères de lutte contre l'érosion, le boisement, l'intensification des techniques de récupération des terres dégradées et la restauration. </w:t>
      </w:r>
    </w:p>
    <w:p w14:paraId="043BD8C8" w14:textId="77777777" w:rsidR="009A16A4" w:rsidRPr="00E01239" w:rsidRDefault="009A16A4" w:rsidP="009A16A4">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Ces diverses activités du projet amèneront les femmes des communautés bénéficiaires à interagir avec les travailleurs du projet, ce qui pourrait exacerber les risques d'EES/SH.</w:t>
      </w:r>
    </w:p>
    <w:p w14:paraId="06F82DBA" w14:textId="4D2E6629" w:rsidR="009A16A4" w:rsidRPr="00E01239" w:rsidRDefault="009A16A4" w:rsidP="009A16A4">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Afin de faire face à ces risques, le projet développera un plan d'action de prévention et de réponse à l'EES/SH avec un cadre de responsabilité. Les principales mesures en fonction du niveau de risque seront le recrutement d'un expert en VBG ou d'une ONG spécialisée en VBG, la mise en œuvre d'un GRM sensible avec de multiples points d'entrée sûrs et accessibles, le développement et la signature d'un code de conduite comprenant des sanctions et des comportements interdits, la formation des travailleurs et la sensibilisation des communautés sur le changement de comportement (CC), la cartographie des services de VBG dans la zone de mise en œuvre du projet avec un protocole de référence.</w:t>
      </w:r>
    </w:p>
    <w:p w14:paraId="6C396894" w14:textId="45F149AA" w:rsidR="008E4D64" w:rsidRPr="00E01239" w:rsidRDefault="008E4D64" w:rsidP="008E4D64">
      <w:pPr>
        <w:spacing w:before="120" w:line="360" w:lineRule="exact"/>
        <w:jc w:val="both"/>
        <w:rPr>
          <w:rFonts w:asciiTheme="minorHAnsi" w:hAnsiTheme="minorHAnsi" w:cstheme="minorHAnsi"/>
        </w:rPr>
      </w:pPr>
    </w:p>
    <w:p w14:paraId="2A6911E6" w14:textId="77777777" w:rsidR="005A3385" w:rsidRPr="00E01239" w:rsidRDefault="005A3385" w:rsidP="00027669">
      <w:pPr>
        <w:pStyle w:val="Titre3"/>
        <w:numPr>
          <w:ilvl w:val="2"/>
          <w:numId w:val="171"/>
        </w:numPr>
        <w:ind w:left="1134" w:hanging="708"/>
        <w:rPr>
          <w:rFonts w:asciiTheme="minorHAnsi" w:hAnsiTheme="minorHAnsi" w:cstheme="minorHAnsi"/>
        </w:rPr>
      </w:pPr>
      <w:bookmarkStart w:id="572" w:name="_Toc88861445"/>
      <w:bookmarkStart w:id="573" w:name="_Toc144654099"/>
      <w:r w:rsidRPr="00E01239">
        <w:rPr>
          <w:rFonts w:asciiTheme="minorHAnsi" w:hAnsiTheme="minorHAnsi" w:cstheme="minorHAnsi"/>
        </w:rPr>
        <w:t>Enjeux sécuritaires</w:t>
      </w:r>
      <w:bookmarkEnd w:id="572"/>
      <w:bookmarkEnd w:id="573"/>
    </w:p>
    <w:p w14:paraId="1BE05C87" w14:textId="4654E73B" w:rsidR="005A3385" w:rsidRPr="00E01239" w:rsidRDefault="005A3385"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lastRenderedPageBreak/>
        <w:t>Le contexte spécifique</w:t>
      </w:r>
      <w:r w:rsidR="00D04C2C" w:rsidRPr="00E01239">
        <w:rPr>
          <w:rFonts w:asciiTheme="minorHAnsi" w:eastAsia="Calibri" w:hAnsiTheme="minorHAnsi" w:cstheme="minorHAnsi"/>
          <w:sz w:val="22"/>
          <w:szCs w:val="22"/>
        </w:rPr>
        <w:t>,</w:t>
      </w:r>
      <w:r w:rsidRPr="00E01239">
        <w:rPr>
          <w:rFonts w:asciiTheme="minorHAnsi" w:eastAsia="Calibri" w:hAnsiTheme="minorHAnsi" w:cstheme="minorHAnsi"/>
          <w:sz w:val="22"/>
          <w:szCs w:val="22"/>
        </w:rPr>
        <w:t xml:space="preserve"> de la crise casamançaise</w:t>
      </w:r>
      <w:r w:rsidR="00D04C2C" w:rsidRPr="00E01239">
        <w:rPr>
          <w:rFonts w:asciiTheme="minorHAnsi" w:eastAsia="Calibri" w:hAnsiTheme="minorHAnsi" w:cstheme="minorHAnsi"/>
          <w:sz w:val="22"/>
          <w:szCs w:val="22"/>
        </w:rPr>
        <w:t>,</w:t>
      </w:r>
      <w:r w:rsidRPr="00E01239">
        <w:rPr>
          <w:rFonts w:asciiTheme="minorHAnsi" w:eastAsia="Calibri" w:hAnsiTheme="minorHAnsi" w:cstheme="minorHAnsi"/>
          <w:sz w:val="22"/>
          <w:szCs w:val="22"/>
        </w:rPr>
        <w:t xml:space="preserve"> est marqué par une accalmie structurelle depuis plus de 15 années. Différents pourparlers de paix et la mise en œuvre de projets de développement et de réinsertion des indépendantistes ont permis une relance de l’économie régionale et une démobilisation progressive des groupes armés. </w:t>
      </w:r>
    </w:p>
    <w:p w14:paraId="08706499" w14:textId="36D2A5B3" w:rsidR="005A3385" w:rsidRPr="00E01239" w:rsidRDefault="005A3385"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Pour apporter des réponses au conflit casamançais, l’Etat a toujours privilégié l’approche institutionnelle qui a très tôt montré ses limites. C’est dans ce sens que la société civile, compte tenu de la complexité du conflit et la non</w:t>
      </w:r>
      <w:r w:rsidR="00F7665E" w:rsidRPr="00E01239">
        <w:rPr>
          <w:rFonts w:asciiTheme="minorHAnsi" w:eastAsia="Calibri" w:hAnsiTheme="minorHAnsi" w:cstheme="minorHAnsi"/>
          <w:sz w:val="22"/>
          <w:szCs w:val="22"/>
        </w:rPr>
        <w:t>-</w:t>
      </w:r>
      <w:r w:rsidRPr="00E01239">
        <w:rPr>
          <w:rFonts w:asciiTheme="minorHAnsi" w:eastAsia="Calibri" w:hAnsiTheme="minorHAnsi" w:cstheme="minorHAnsi"/>
          <w:sz w:val="22"/>
          <w:szCs w:val="22"/>
        </w:rPr>
        <w:t>maîtrise par l’Etat des enjeux culturels et sociétaux, s’est engagée à plusieurs niveaux pour apporter sa contribution à la résolution de la crise casamançaise. Diverses associations de la société civile (plateforme des femmes, USOFORAL, SOS Casamance, RADDHO, etc.) participent pendant plusieurs années à la recherche de la paix et de la sécurité dans la région sud du pays</w:t>
      </w:r>
      <w:r w:rsidR="0084253E" w:rsidRPr="00E01239">
        <w:rPr>
          <w:rFonts w:asciiTheme="minorHAnsi" w:eastAsia="Calibri" w:hAnsiTheme="minorHAnsi" w:cstheme="minorHAnsi"/>
          <w:sz w:val="22"/>
          <w:szCs w:val="22"/>
        </w:rPr>
        <w:t xml:space="preserve"> (</w:t>
      </w:r>
      <w:bookmarkStart w:id="574" w:name="_Hlk144891094"/>
      <w:r w:rsidR="0084253E" w:rsidRPr="00E01239">
        <w:rPr>
          <w:rFonts w:asciiTheme="minorHAnsi" w:eastAsia="Calibri" w:hAnsiTheme="minorHAnsi" w:cstheme="minorHAnsi"/>
          <w:sz w:val="22"/>
          <w:szCs w:val="22"/>
        </w:rPr>
        <w:t xml:space="preserve">Rosa Luxemburg </w:t>
      </w:r>
      <w:proofErr w:type="spellStart"/>
      <w:r w:rsidR="0084253E" w:rsidRPr="00E01239">
        <w:rPr>
          <w:rFonts w:asciiTheme="minorHAnsi" w:eastAsia="Calibri" w:hAnsiTheme="minorHAnsi" w:cstheme="minorHAnsi"/>
          <w:sz w:val="22"/>
          <w:szCs w:val="22"/>
        </w:rPr>
        <w:t>Stiftung</w:t>
      </w:r>
      <w:proofErr w:type="spellEnd"/>
      <w:r w:rsidR="0084253E" w:rsidRPr="00E01239">
        <w:rPr>
          <w:rFonts w:asciiTheme="minorHAnsi" w:eastAsia="Calibri" w:hAnsiTheme="minorHAnsi" w:cstheme="minorHAnsi"/>
          <w:sz w:val="22"/>
          <w:szCs w:val="22"/>
        </w:rPr>
        <w:t xml:space="preserve"> Afrique de L’ouest, 2017</w:t>
      </w:r>
      <w:bookmarkEnd w:id="574"/>
      <w:r w:rsidR="0084253E" w:rsidRPr="00E01239">
        <w:rPr>
          <w:rFonts w:asciiTheme="minorHAnsi" w:eastAsia="Calibri" w:hAnsiTheme="minorHAnsi" w:cstheme="minorHAnsi"/>
          <w:sz w:val="22"/>
          <w:szCs w:val="22"/>
        </w:rPr>
        <w:t>)</w:t>
      </w:r>
      <w:r w:rsidRPr="00E01239">
        <w:rPr>
          <w:rFonts w:asciiTheme="minorHAnsi" w:eastAsia="Calibri" w:hAnsiTheme="minorHAnsi" w:cstheme="minorHAnsi"/>
          <w:sz w:val="22"/>
          <w:szCs w:val="22"/>
        </w:rPr>
        <w:t>.</w:t>
      </w:r>
    </w:p>
    <w:p w14:paraId="5ACFFFEC" w14:textId="77777777" w:rsidR="005A3385" w:rsidRPr="00E01239" w:rsidRDefault="005A3385"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Malgré l’accalmie généralisée notée en Casamance depuis plus d’une décennie, des affrontements sporadiques sont notés entre les forces armées gouvernementales et les fractions indépendantistes. Aussi, différentes localités sont marquées par la présence des mines anti-personnelles qui limite souvent l’accès des communautés aux terres pour des usages productifs et qui engendre des accidents dans ces zones.</w:t>
      </w:r>
    </w:p>
    <w:p w14:paraId="7899DF5E" w14:textId="77777777" w:rsidR="005A3385" w:rsidRPr="00E01239" w:rsidRDefault="005A3385"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Aussi, des braquages isolés sur les axes routiers sont notés dans certaines zones de la Casamance Naturelle marquée par des cantonnements de fractions indépendantistes.</w:t>
      </w:r>
    </w:p>
    <w:p w14:paraId="421B02CC" w14:textId="77777777" w:rsidR="005A3385" w:rsidRPr="00E01239" w:rsidRDefault="005A3385" w:rsidP="00202CE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zones rouges marquées par la présence effective ou supposée de mines anti-personnelles sont représentées dans la figure ci-après.</w:t>
      </w:r>
    </w:p>
    <w:p w14:paraId="21472A72" w14:textId="77777777" w:rsidR="005A3385" w:rsidRPr="00E01239" w:rsidRDefault="005A3385" w:rsidP="00202CE9">
      <w:pPr>
        <w:spacing w:before="120" w:line="280" w:lineRule="exact"/>
        <w:jc w:val="both"/>
        <w:rPr>
          <w:rFonts w:asciiTheme="minorHAnsi" w:eastAsia="Calibri" w:hAnsiTheme="minorHAnsi" w:cstheme="minorHAnsi"/>
          <w:sz w:val="22"/>
          <w:szCs w:val="22"/>
        </w:rPr>
      </w:pPr>
    </w:p>
    <w:p w14:paraId="42342531" w14:textId="77777777" w:rsidR="005A3385" w:rsidRPr="00E01239" w:rsidRDefault="005A3385" w:rsidP="00202CE9">
      <w:pPr>
        <w:spacing w:before="120" w:line="280" w:lineRule="exact"/>
        <w:jc w:val="both"/>
        <w:rPr>
          <w:rFonts w:asciiTheme="minorHAnsi" w:eastAsia="Calibri" w:hAnsiTheme="minorHAnsi" w:cstheme="minorHAnsi"/>
          <w:sz w:val="22"/>
          <w:szCs w:val="22"/>
        </w:rPr>
        <w:sectPr w:rsidR="005A3385" w:rsidRPr="00E01239">
          <w:pgSz w:w="11906" w:h="16838"/>
          <w:pgMar w:top="1417" w:right="1417" w:bottom="1417" w:left="1417" w:header="708" w:footer="708" w:gutter="0"/>
          <w:cols w:space="708"/>
          <w:docGrid w:linePitch="360"/>
        </w:sectPr>
      </w:pPr>
    </w:p>
    <w:p w14:paraId="58BCB98F" w14:textId="4A1BED04" w:rsidR="008E4D64" w:rsidRPr="00E01239" w:rsidRDefault="008E4D64" w:rsidP="0004796C">
      <w:pPr>
        <w:pStyle w:val="Lgende"/>
        <w:jc w:val="center"/>
        <w:rPr>
          <w:rFonts w:asciiTheme="minorHAnsi" w:hAnsiTheme="minorHAnsi" w:cstheme="minorHAnsi"/>
          <w:b w:val="0"/>
          <w:bCs w:val="0"/>
          <w:sz w:val="22"/>
          <w:szCs w:val="22"/>
        </w:rPr>
      </w:pPr>
      <w:bookmarkStart w:id="575" w:name="_Toc26505021"/>
      <w:bookmarkStart w:id="576" w:name="_Toc43107501"/>
      <w:bookmarkStart w:id="577" w:name="_Toc63281788"/>
      <w:bookmarkStart w:id="578" w:name="_Toc84844595"/>
      <w:bookmarkStart w:id="579" w:name="_Toc144654189"/>
      <w:r w:rsidRPr="00E01239">
        <w:rPr>
          <w:rFonts w:asciiTheme="minorHAnsi" w:hAnsiTheme="minorHAnsi" w:cstheme="minorHAnsi"/>
          <w:sz w:val="22"/>
          <w:szCs w:val="22"/>
        </w:rPr>
        <w:lastRenderedPageBreak/>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9</w:t>
      </w:r>
      <w:r w:rsidRPr="00E01239">
        <w:rPr>
          <w:rFonts w:asciiTheme="minorHAnsi" w:hAnsiTheme="minorHAnsi" w:cstheme="minorHAnsi"/>
          <w:noProof/>
          <w:sz w:val="22"/>
          <w:szCs w:val="22"/>
        </w:rPr>
        <w:fldChar w:fldCharType="end"/>
      </w:r>
      <w:r w:rsidRPr="00E01239">
        <w:rPr>
          <w:rFonts w:asciiTheme="minorHAnsi" w:hAnsiTheme="minorHAnsi" w:cstheme="minorHAnsi"/>
          <w:b w:val="0"/>
          <w:bCs w:val="0"/>
          <w:sz w:val="22"/>
          <w:szCs w:val="22"/>
        </w:rPr>
        <w:t> : Sensibilité des enjeux environnementaux et sociaux</w:t>
      </w:r>
      <w:bookmarkEnd w:id="575"/>
      <w:bookmarkEnd w:id="576"/>
      <w:bookmarkEnd w:id="577"/>
      <w:bookmarkEnd w:id="578"/>
      <w:bookmarkEnd w:id="579"/>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20"/>
        <w:gridCol w:w="8878"/>
        <w:gridCol w:w="1796"/>
      </w:tblGrid>
      <w:tr w:rsidR="008E4D64" w:rsidRPr="00E01239" w14:paraId="1DCDF919" w14:textId="77777777" w:rsidTr="00202CE9">
        <w:trPr>
          <w:trHeight w:val="711"/>
          <w:tblHeader/>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vAlign w:val="center"/>
            <w:hideMark/>
          </w:tcPr>
          <w:p w14:paraId="5B2775F8" w14:textId="77777777" w:rsidR="008E4D64" w:rsidRPr="00E01239" w:rsidRDefault="008E4D64" w:rsidP="001D267F">
            <w:pPr>
              <w:jc w:val="center"/>
              <w:rPr>
                <w:rFonts w:asciiTheme="minorHAnsi" w:hAnsiTheme="minorHAnsi" w:cstheme="minorHAnsi"/>
                <w:bCs/>
                <w:sz w:val="22"/>
                <w:szCs w:val="22"/>
              </w:rPr>
            </w:pPr>
            <w:r w:rsidRPr="00E01239">
              <w:rPr>
                <w:rFonts w:asciiTheme="minorHAnsi" w:hAnsiTheme="minorHAnsi" w:cstheme="minorHAnsi"/>
                <w:bCs/>
                <w:sz w:val="22"/>
                <w:szCs w:val="22"/>
              </w:rPr>
              <w:t>Enjeux</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vAlign w:val="center"/>
            <w:hideMark/>
          </w:tcPr>
          <w:p w14:paraId="13E58ED4" w14:textId="77777777" w:rsidR="008E4D64" w:rsidRPr="00E01239" w:rsidRDefault="008E4D64" w:rsidP="00202CE9">
            <w:pPr>
              <w:jc w:val="center"/>
              <w:rPr>
                <w:rFonts w:asciiTheme="minorHAnsi" w:hAnsiTheme="minorHAnsi" w:cstheme="minorHAnsi"/>
                <w:bCs/>
                <w:sz w:val="22"/>
                <w:szCs w:val="22"/>
              </w:rPr>
            </w:pPr>
            <w:r w:rsidRPr="00E01239">
              <w:rPr>
                <w:rFonts w:asciiTheme="minorHAnsi" w:hAnsiTheme="minorHAnsi" w:cstheme="minorHAnsi"/>
                <w:bCs/>
                <w:sz w:val="22"/>
                <w:szCs w:val="22"/>
              </w:rPr>
              <w:t>Description</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0000" w:themeFill="text1"/>
            <w:vAlign w:val="center"/>
            <w:hideMark/>
          </w:tcPr>
          <w:p w14:paraId="68A5056C" w14:textId="77777777" w:rsidR="008E4D64" w:rsidRPr="00E01239" w:rsidRDefault="008E4D64" w:rsidP="00202CE9">
            <w:pPr>
              <w:jc w:val="center"/>
              <w:rPr>
                <w:rFonts w:asciiTheme="minorHAnsi" w:hAnsiTheme="minorHAnsi" w:cstheme="minorHAnsi"/>
                <w:bCs/>
                <w:sz w:val="22"/>
                <w:szCs w:val="22"/>
              </w:rPr>
            </w:pPr>
            <w:r w:rsidRPr="00E01239">
              <w:rPr>
                <w:rFonts w:asciiTheme="minorHAnsi" w:hAnsiTheme="minorHAnsi" w:cstheme="minorHAnsi"/>
                <w:bCs/>
                <w:sz w:val="22"/>
                <w:szCs w:val="22"/>
              </w:rPr>
              <w:t>Niveau de sensibilité</w:t>
            </w:r>
          </w:p>
        </w:tc>
      </w:tr>
      <w:tr w:rsidR="008E4D64" w:rsidRPr="00E01239" w14:paraId="141D5EFB" w14:textId="77777777" w:rsidTr="00202CE9">
        <w:trPr>
          <w:trHeight w:val="1133"/>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01D9E70A" w14:textId="77777777" w:rsidR="008E4D64" w:rsidRPr="00E01239" w:rsidRDefault="008E4D64" w:rsidP="001D267F">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Disponibilité en eau </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1F810B87" w14:textId="77777777" w:rsidR="008E4D64" w:rsidRPr="00E01239" w:rsidRDefault="008E4D64" w:rsidP="00202CE9">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Du fait de la variabilité interannuelle et intra annuelle des précipitations, les quantités d’eau disponibles dans les cours d’eau et les mares sont de plus en plus faibles, pour les hommes et pour le bétail. Cette situation entraine une plus grande compétition autour de la ressource et de fortes concentrations autour des points d’eau tels que les forages et les mares</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34A409EB" w14:textId="77777777" w:rsidR="008E4D64" w:rsidRPr="00E01239" w:rsidRDefault="008E4D64" w:rsidP="00202CE9">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Forte</w:t>
            </w:r>
          </w:p>
        </w:tc>
      </w:tr>
      <w:tr w:rsidR="008E4D64" w:rsidRPr="00E01239" w14:paraId="5339D8F5" w14:textId="77777777" w:rsidTr="00F43E8A">
        <w:trPr>
          <w:trHeight w:val="1684"/>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45D17828" w14:textId="77777777" w:rsidR="008E4D64" w:rsidRPr="00E01239" w:rsidRDefault="008E4D64" w:rsidP="001D267F">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Eaux souterraines peu exploitée et parfois de mauvaise qualité</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0FFB807C" w14:textId="77777777" w:rsidR="008E4D64" w:rsidRPr="00E01239" w:rsidRDefault="008E4D64" w:rsidP="00202CE9">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nombreux forages de la zone du projet participent pour beaucoup dans l’abreuvement du bétail, surtout dans la zone sylvopastorale, et parfois à l’arrosage de certaines exploitations agricoles. Toutefois, le nombre de ces points d’eau reste encore insuffisant, et de nombreuses poches polarisant plusieurs campements de pasteurs et se trouvant sur les axes de transhumance, ne sont pas couvertes. Il s’y ajoute qu’à certains endroits, du fait des caractéristiques des nappes captées, la qualité de l’eau n’est pas des meilleures. Un grand nombre de forages de la partie occidentale du pays sont salés. Les points d’eaux non salés sont souvent pollués (puits) et près d’un tiers d’entre eux présentent des concentrations en fluor très élevées (jusqu’à 10mg par litre selon les résultats de caractérisation menées par la DGPRE et la SONES dans le cadre du présent d’amélioration de la qualité de l’eau dans le bassin arachidier, 2016)</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hideMark/>
          </w:tcPr>
          <w:p w14:paraId="3E7CC261" w14:textId="77777777" w:rsidR="008E4D64" w:rsidRPr="00E01239" w:rsidRDefault="008E4D64" w:rsidP="00202CE9">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Modéré</w:t>
            </w:r>
          </w:p>
        </w:tc>
      </w:tr>
      <w:tr w:rsidR="008E4D64" w:rsidRPr="00E01239" w14:paraId="0E74C473" w14:textId="77777777" w:rsidTr="00F43E8A">
        <w:trPr>
          <w:trHeight w:val="693"/>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6D45010C" w14:textId="77777777" w:rsidR="008E4D64" w:rsidRPr="00E01239" w:rsidRDefault="008E4D64" w:rsidP="001D267F">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feux de brousse</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1D1CF1FE" w14:textId="19DAAB75" w:rsidR="008E4D64" w:rsidRPr="00E01239" w:rsidRDefault="008E4D64" w:rsidP="00202CE9">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 passage des feux dans les espaces agrosylvopastoraux entraîne d’importants dégâts au niveau des habitats de faune, des services écosystémiques et des ressources naturelles en général ; avec un accès particulier sur la biomasse herbacée. La perte de biodiversité est perceptible par suite des feux récurrents, et ses conséquences affectent de plus en plus les populations et les systèmes agrosylvopastoraux.</w:t>
            </w:r>
            <w:r w:rsidR="00D9571E" w:rsidRPr="00E01239">
              <w:rPr>
                <w:rFonts w:asciiTheme="minorHAnsi" w:eastAsia="Calibri" w:hAnsiTheme="minorHAnsi" w:cstheme="minorHAnsi"/>
                <w:sz w:val="22"/>
                <w:szCs w:val="22"/>
              </w:rPr>
              <w:t xml:space="preserve"> </w:t>
            </w:r>
            <w:r w:rsidRPr="00E01239">
              <w:rPr>
                <w:rFonts w:asciiTheme="minorHAnsi" w:eastAsia="Calibri" w:hAnsiTheme="minorHAnsi" w:cstheme="minorHAnsi"/>
                <w:sz w:val="22"/>
                <w:szCs w:val="22"/>
              </w:rPr>
              <w:t>Chaque année, ce sont des milliers d’hectares qui sont emportés par le feu. Dans la zone d’intervention du projet, le Ferlo et l’Est du Bassin arachidier sont les zones les plus touchées par ce phénomène.</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7A7C5278" w14:textId="77777777" w:rsidR="008E4D64" w:rsidRPr="00E01239" w:rsidRDefault="008E4D64" w:rsidP="00202CE9">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Forte</w:t>
            </w:r>
          </w:p>
        </w:tc>
      </w:tr>
      <w:tr w:rsidR="008E4D64" w:rsidRPr="00E01239" w14:paraId="34BC09CE" w14:textId="77777777" w:rsidTr="00F43E8A">
        <w:trPr>
          <w:trHeight w:val="1123"/>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30A1372F" w14:textId="77777777" w:rsidR="008E4D64" w:rsidRPr="00E01239" w:rsidRDefault="008E4D64" w:rsidP="001D267F">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Dégradation du couvert végétal par coupe abusive</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33CEE3E3" w14:textId="77777777" w:rsidR="008E4D64" w:rsidRPr="00E01239" w:rsidRDefault="008E4D64" w:rsidP="00202CE9">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La faible disponibilité de biomasse est fortement liée à l’action anthropique consécutive notamment à des coupes abusives d’arbres pour le fourrage (la coupe, l’émondage, l’ébranchage, l’élagage) accroit la pression sur les ressources végétales. On assiste ainsi à la disparition progressive d’arbres protégés surtout dans les forêts classées et réserves, ce qui entraine une absence de régénération et une dégradation de la biodiversité.</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hideMark/>
          </w:tcPr>
          <w:p w14:paraId="23093ED4" w14:textId="77777777" w:rsidR="008E4D64" w:rsidRPr="00E01239" w:rsidRDefault="008E4D64" w:rsidP="00202CE9">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Modéré</w:t>
            </w:r>
          </w:p>
        </w:tc>
      </w:tr>
      <w:tr w:rsidR="008E4D64" w:rsidRPr="00E01239" w14:paraId="49A899DF" w14:textId="77777777" w:rsidTr="00F43E8A">
        <w:trPr>
          <w:trHeight w:val="661"/>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14:paraId="2CD105EB" w14:textId="77777777" w:rsidR="008E4D64" w:rsidRPr="00E01239" w:rsidRDefault="008E4D64" w:rsidP="001D267F">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Dégradation des sols </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14:paraId="69DCD94B" w14:textId="77777777" w:rsidR="008E4D64" w:rsidRPr="00E01239" w:rsidRDefault="008E4D64" w:rsidP="00202CE9">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 processus de salinisation et d’acidification des terres surtout au niveau des vasières et de certains bas-fonds en Basse Casamance et en Moyenne Casamance constitue une menace pour l’expansion des zones de culture.</w:t>
            </w:r>
          </w:p>
          <w:p w14:paraId="18D2CE49" w14:textId="74F05C07" w:rsidR="008E4D64" w:rsidRPr="00E01239" w:rsidRDefault="008E4D64" w:rsidP="00202CE9">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lastRenderedPageBreak/>
              <w:t xml:space="preserve">Au niveau du bassin arachidier, les phénomènes de dégradation très avancée des sols ferrugineux tropicaux peu lessivés appelés « sols </w:t>
            </w:r>
            <w:proofErr w:type="spellStart"/>
            <w:r w:rsidRPr="00E01239">
              <w:rPr>
                <w:rFonts w:asciiTheme="minorHAnsi" w:eastAsia="Calibri" w:hAnsiTheme="minorHAnsi" w:cstheme="minorHAnsi"/>
                <w:sz w:val="22"/>
                <w:szCs w:val="22"/>
              </w:rPr>
              <w:t>dior</w:t>
            </w:r>
            <w:proofErr w:type="spellEnd"/>
            <w:r w:rsidRPr="00E01239">
              <w:rPr>
                <w:rFonts w:asciiTheme="minorHAnsi" w:eastAsia="Calibri" w:hAnsiTheme="minorHAnsi" w:cstheme="minorHAnsi"/>
                <w:sz w:val="22"/>
                <w:szCs w:val="22"/>
              </w:rPr>
              <w:t xml:space="preserve"> » situés dans la partie nord du bassin arachidier et la pauvreté des sols de plus en plus accentuée avec la</w:t>
            </w:r>
            <w:r w:rsidRPr="00E01239">
              <w:rPr>
                <w:rFonts w:asciiTheme="minorHAnsi" w:eastAsia="Calibri" w:hAnsiTheme="minorHAnsi" w:cstheme="minorHAnsi"/>
                <w:sz w:val="22"/>
                <w:szCs w:val="22"/>
              </w:rPr>
              <w:br/>
              <w:t>réduction du temps de jachère et l’insuffisance voire l’absence de la fertilisation des terres dans le bassin arachidier, constitue des contraintes pour le développement d’initiatives agricoles.</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tcPr>
          <w:p w14:paraId="6A408E86" w14:textId="77777777" w:rsidR="008E4D64" w:rsidRPr="00E01239" w:rsidRDefault="008E4D64" w:rsidP="00202CE9">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lastRenderedPageBreak/>
              <w:t>Forte</w:t>
            </w:r>
          </w:p>
        </w:tc>
      </w:tr>
      <w:tr w:rsidR="008E4D64" w:rsidRPr="00E01239" w14:paraId="2426F542" w14:textId="77777777" w:rsidTr="00F43E8A">
        <w:trPr>
          <w:trHeight w:val="661"/>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6423EF21" w14:textId="77777777" w:rsidR="008E4D64" w:rsidRPr="00E01239" w:rsidRDefault="008E4D64" w:rsidP="001D267F">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Compétition foncière</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3C69C672" w14:textId="4D8E022C" w:rsidR="008E4D64" w:rsidRPr="00E01239" w:rsidRDefault="008E4D64" w:rsidP="00202CE9">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L’absence d’une sécurisation foncière pour les activités agrosylvopastorales, donc d’une gestion foncière basée sur les usages contribue à fragiliser l’initiative économique rurale. Ceci d’autant plus que la gestion du patrimoine foncier national à travers la loi sur le domaine </w:t>
            </w:r>
            <w:r w:rsidR="00283AC0">
              <w:rPr>
                <w:rFonts w:asciiTheme="minorHAnsi" w:eastAsia="Calibri" w:hAnsiTheme="minorHAnsi" w:cstheme="minorHAnsi"/>
                <w:sz w:val="22"/>
                <w:szCs w:val="22"/>
              </w:rPr>
              <w:t>n</w:t>
            </w:r>
            <w:r w:rsidRPr="00E01239">
              <w:rPr>
                <w:rFonts w:asciiTheme="minorHAnsi" w:eastAsia="Calibri" w:hAnsiTheme="minorHAnsi" w:cstheme="minorHAnsi"/>
                <w:sz w:val="22"/>
                <w:szCs w:val="22"/>
              </w:rPr>
              <w:t>ational ne prévoit que les zones urbaines, les zones classées, les zones de terroir et les zones pionnières qui, aujourd’hui sont reversées dans les zones de terroir.</w:t>
            </w:r>
            <w:r w:rsidR="00D9571E" w:rsidRPr="00E01239">
              <w:rPr>
                <w:rFonts w:asciiTheme="minorHAnsi" w:eastAsia="Calibri" w:hAnsiTheme="minorHAnsi" w:cstheme="minorHAnsi"/>
                <w:sz w:val="22"/>
                <w:szCs w:val="22"/>
              </w:rPr>
              <w:t xml:space="preserve"> </w:t>
            </w:r>
            <w:r w:rsidRPr="00E01239">
              <w:rPr>
                <w:rFonts w:asciiTheme="minorHAnsi" w:eastAsia="Calibri" w:hAnsiTheme="minorHAnsi" w:cstheme="minorHAnsi"/>
                <w:sz w:val="22"/>
                <w:szCs w:val="22"/>
              </w:rPr>
              <w:t>Il est donc de plus en plus nécessaire de mettre en application une actualisation des POAS dans les zones du projet.</w:t>
            </w:r>
            <w:r w:rsidR="00D9571E" w:rsidRPr="00E01239">
              <w:rPr>
                <w:rFonts w:asciiTheme="minorHAnsi" w:eastAsia="Calibri" w:hAnsiTheme="minorHAnsi" w:cstheme="minorHAnsi"/>
                <w:sz w:val="22"/>
                <w:szCs w:val="22"/>
              </w:rPr>
              <w:t xml:space="preserve"> </w:t>
            </w:r>
            <w:r w:rsidRPr="00E01239">
              <w:rPr>
                <w:rFonts w:asciiTheme="minorHAnsi" w:eastAsia="Calibri" w:hAnsiTheme="minorHAnsi" w:cstheme="minorHAnsi"/>
                <w:sz w:val="22"/>
                <w:szCs w:val="22"/>
              </w:rPr>
              <w:t>L'insécurité et la situation de crise qu’a connue la Casamance sont à l’origine d’une forte sensibilité sur l’occupation des terres et ont induit des conflits sociaux liés au foncier</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40EECC78" w14:textId="77777777" w:rsidR="008E4D64" w:rsidRPr="00E01239" w:rsidRDefault="008E4D64" w:rsidP="00202CE9">
            <w:pPr>
              <w:jc w:val="center"/>
              <w:rPr>
                <w:rFonts w:asciiTheme="minorHAnsi" w:eastAsia="Calibri" w:hAnsiTheme="minorHAnsi" w:cstheme="minorHAnsi"/>
                <w:color w:val="FF0000"/>
                <w:sz w:val="22"/>
                <w:szCs w:val="22"/>
              </w:rPr>
            </w:pPr>
            <w:r w:rsidRPr="00E01239">
              <w:rPr>
                <w:rFonts w:asciiTheme="minorHAnsi" w:eastAsia="Calibri" w:hAnsiTheme="minorHAnsi" w:cstheme="minorHAnsi"/>
                <w:sz w:val="22"/>
                <w:szCs w:val="22"/>
              </w:rPr>
              <w:t>Forte</w:t>
            </w:r>
          </w:p>
        </w:tc>
      </w:tr>
      <w:tr w:rsidR="008E4D64" w:rsidRPr="00E01239" w14:paraId="3F98140A" w14:textId="77777777" w:rsidTr="00F43E8A">
        <w:trPr>
          <w:trHeight w:val="834"/>
        </w:trPr>
        <w:tc>
          <w:tcPr>
            <w:tcW w:w="89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059B9A68" w14:textId="77777777" w:rsidR="008E4D64" w:rsidRPr="00E01239" w:rsidRDefault="008E4D64" w:rsidP="001D267F">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Exploitation et Abus Sexuel (EAS), et Harcèlement Sexuel (HS)</w:t>
            </w:r>
          </w:p>
        </w:tc>
        <w:tc>
          <w:tcPr>
            <w:tcW w:w="34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hideMark/>
          </w:tcPr>
          <w:p w14:paraId="6EADFB23" w14:textId="12DA6C35" w:rsidR="008E4D64" w:rsidRPr="00E01239" w:rsidRDefault="008E4D64" w:rsidP="009A16A4">
            <w:pPr>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Les travaux et les influx de travailleurs présentent un risque substantiel </w:t>
            </w:r>
            <w:r w:rsidR="006757DF">
              <w:rPr>
                <w:rFonts w:asciiTheme="minorHAnsi" w:eastAsia="Calibri" w:hAnsiTheme="minorHAnsi" w:cstheme="minorHAnsi"/>
                <w:sz w:val="22"/>
                <w:szCs w:val="22"/>
              </w:rPr>
              <w:t>d’</w:t>
            </w:r>
            <w:r w:rsidRPr="00E01239">
              <w:rPr>
                <w:rFonts w:asciiTheme="minorHAnsi" w:eastAsia="Calibri" w:hAnsiTheme="minorHAnsi" w:cstheme="minorHAnsi"/>
                <w:sz w:val="22"/>
                <w:szCs w:val="22"/>
              </w:rPr>
              <w:t>Abus Sexuel (EAS), et Harcèlement Sexuel (HS).</w:t>
            </w:r>
            <w:r w:rsidR="00D9571E" w:rsidRPr="00E01239">
              <w:rPr>
                <w:rFonts w:asciiTheme="minorHAnsi" w:eastAsia="Calibri" w:hAnsiTheme="minorHAnsi" w:cstheme="minorHAnsi"/>
                <w:sz w:val="22"/>
                <w:szCs w:val="22"/>
              </w:rPr>
              <w:t xml:space="preserve"> </w:t>
            </w:r>
            <w:r w:rsidRPr="00E01239">
              <w:rPr>
                <w:rFonts w:asciiTheme="minorHAnsi" w:eastAsia="Calibri" w:hAnsiTheme="minorHAnsi" w:cstheme="minorHAnsi"/>
                <w:sz w:val="22"/>
                <w:szCs w:val="22"/>
              </w:rPr>
              <w:t>Les rassemblements autour des marchés et des centres économiques peuvent également constituer des risques EAS/HS notamment du fait des risques d’exclusion des groupes vulnérables telles que les femmes et filles.</w:t>
            </w:r>
            <w:r w:rsidR="00D9571E" w:rsidRPr="00E01239">
              <w:rPr>
                <w:rFonts w:asciiTheme="minorHAnsi" w:eastAsia="Calibri" w:hAnsiTheme="minorHAnsi" w:cstheme="minorHAnsi"/>
                <w:sz w:val="22"/>
                <w:szCs w:val="22"/>
              </w:rPr>
              <w:t xml:space="preserve"> </w:t>
            </w:r>
            <w:r w:rsidRPr="00E01239">
              <w:rPr>
                <w:rFonts w:asciiTheme="minorHAnsi" w:eastAsia="Calibri" w:hAnsiTheme="minorHAnsi" w:cstheme="minorHAnsi"/>
                <w:sz w:val="22"/>
                <w:szCs w:val="22"/>
              </w:rPr>
              <w:t xml:space="preserve">En outre, la mise en œuvre du projet risque d’induire des blocages et des récriminations des hommes envers les femmes bénéficiaires des investissements et ainsi induire des risques EAS/HS. La mise en œuvre du projet devrait s’accompagner </w:t>
            </w:r>
            <w:r w:rsidR="009A16A4" w:rsidRPr="00E01239">
              <w:rPr>
                <w:rFonts w:ascii="Calibri" w:eastAsia="Calibri" w:hAnsi="Calibri" w:cs="Calibri"/>
                <w:sz w:val="22"/>
                <w:szCs w:val="22"/>
              </w:rPr>
              <w:t>de la mise en place des mesures d’atténuation et de réponse des risques liés à l’EAS/HS</w:t>
            </w:r>
            <w:r w:rsidR="009A16A4" w:rsidRPr="00E01239">
              <w:rPr>
                <w:rFonts w:asciiTheme="minorHAnsi" w:eastAsia="Calibri" w:hAnsiTheme="minorHAnsi" w:cstheme="minorHAnsi"/>
                <w:sz w:val="22"/>
                <w:szCs w:val="22"/>
              </w:rPr>
              <w:t xml:space="preserve"> </w:t>
            </w:r>
            <w:r w:rsidRPr="00E01239">
              <w:rPr>
                <w:rFonts w:asciiTheme="minorHAnsi" w:eastAsia="Calibri" w:hAnsiTheme="minorHAnsi" w:cstheme="minorHAnsi"/>
                <w:sz w:val="22"/>
                <w:szCs w:val="22"/>
              </w:rPr>
              <w:t>dans le processus de développement agricole et pastoral.</w:t>
            </w:r>
          </w:p>
        </w:tc>
        <w:tc>
          <w:tcPr>
            <w:tcW w:w="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hideMark/>
          </w:tcPr>
          <w:p w14:paraId="238850FF" w14:textId="77777777" w:rsidR="008E4D64" w:rsidRPr="00E01239" w:rsidRDefault="008E4D64" w:rsidP="00202CE9">
            <w:pPr>
              <w:jc w:val="center"/>
              <w:rPr>
                <w:rFonts w:asciiTheme="minorHAnsi" w:eastAsia="Calibri" w:hAnsiTheme="minorHAnsi" w:cstheme="minorHAnsi"/>
                <w:sz w:val="22"/>
                <w:szCs w:val="22"/>
              </w:rPr>
            </w:pPr>
            <w:r w:rsidRPr="00E01239">
              <w:rPr>
                <w:rFonts w:asciiTheme="minorHAnsi" w:eastAsia="Calibri" w:hAnsiTheme="minorHAnsi" w:cstheme="minorHAnsi"/>
                <w:sz w:val="22"/>
                <w:szCs w:val="22"/>
              </w:rPr>
              <w:t>Forte</w:t>
            </w:r>
          </w:p>
        </w:tc>
      </w:tr>
    </w:tbl>
    <w:p w14:paraId="467D41D9" w14:textId="76003EDB" w:rsidR="00EA5A17" w:rsidRPr="00E01239" w:rsidRDefault="00EA5A17" w:rsidP="003253D0">
      <w:pPr>
        <w:autoSpaceDE w:val="0"/>
        <w:autoSpaceDN w:val="0"/>
        <w:adjustRightInd w:val="0"/>
        <w:rPr>
          <w:rFonts w:asciiTheme="minorHAnsi" w:eastAsia="Calibri" w:hAnsiTheme="minorHAnsi" w:cstheme="minorHAnsi"/>
          <w:b/>
          <w:bCs/>
          <w:sz w:val="22"/>
          <w:szCs w:val="22"/>
        </w:rPr>
      </w:pPr>
    </w:p>
    <w:p w14:paraId="2BC42E0D" w14:textId="77777777" w:rsidR="0004796C" w:rsidRPr="00E01239" w:rsidRDefault="0004796C">
      <w:pPr>
        <w:rPr>
          <w:rFonts w:asciiTheme="minorHAnsi" w:eastAsia="Calibri" w:hAnsiTheme="minorHAnsi" w:cstheme="minorHAnsi"/>
          <w:b/>
          <w:bCs/>
          <w:sz w:val="22"/>
          <w:szCs w:val="22"/>
        </w:rPr>
        <w:sectPr w:rsidR="0004796C" w:rsidRPr="00E01239" w:rsidSect="00202CE9">
          <w:footerReference w:type="default" r:id="rId25"/>
          <w:pgSz w:w="15840" w:h="12240" w:orient="landscape"/>
          <w:pgMar w:top="1418" w:right="1418" w:bottom="1418" w:left="1418" w:header="709" w:footer="709" w:gutter="0"/>
          <w:cols w:space="708"/>
          <w:docGrid w:linePitch="360"/>
        </w:sectPr>
      </w:pPr>
    </w:p>
    <w:p w14:paraId="62DF706D" w14:textId="77777777" w:rsidR="00EB49B1" w:rsidRPr="00E01239" w:rsidRDefault="00EB49B1" w:rsidP="00112918">
      <w:pPr>
        <w:pStyle w:val="Titre1"/>
        <w:keepNext w:val="0"/>
        <w:keepLines w:val="0"/>
        <w:numPr>
          <w:ilvl w:val="0"/>
          <w:numId w:val="1"/>
        </w:numPr>
        <w:pBdr>
          <w:top w:val="single" w:sz="12" w:space="1" w:color="auto"/>
          <w:bottom w:val="single" w:sz="12" w:space="1" w:color="auto"/>
        </w:pBdr>
        <w:shd w:val="clear" w:color="auto" w:fill="000000" w:themeFill="text1"/>
        <w:tabs>
          <w:tab w:val="left" w:pos="284"/>
        </w:tabs>
        <w:spacing w:before="0"/>
        <w:ind w:left="-1418" w:right="-1418" w:firstLine="1418"/>
        <w:rPr>
          <w:rFonts w:asciiTheme="minorHAnsi" w:hAnsiTheme="minorHAnsi" w:cstheme="minorHAnsi"/>
          <w:bCs w:val="0"/>
          <w:color w:val="auto"/>
          <w:lang w:eastAsia="x-none"/>
        </w:rPr>
      </w:pPr>
      <w:bookmarkStart w:id="580" w:name="_Toc144654100"/>
      <w:bookmarkStart w:id="581" w:name="_Toc288606241"/>
      <w:bookmarkStart w:id="582" w:name="_Toc130714081"/>
      <w:bookmarkStart w:id="583" w:name="_Toc142377789"/>
      <w:bookmarkStart w:id="584" w:name="_Toc26504966"/>
      <w:bookmarkStart w:id="585" w:name="_Toc70002941"/>
      <w:r w:rsidRPr="00E01239">
        <w:rPr>
          <w:rFonts w:asciiTheme="minorHAnsi" w:hAnsiTheme="minorHAnsi" w:cstheme="minorHAnsi"/>
          <w:bCs w:val="0"/>
          <w:color w:val="auto"/>
          <w:lang w:eastAsia="x-none"/>
        </w:rPr>
        <w:lastRenderedPageBreak/>
        <w:t>ANALYSE DES ALTERNATIVES</w:t>
      </w:r>
      <w:bookmarkEnd w:id="580"/>
    </w:p>
    <w:p w14:paraId="17E7966C" w14:textId="23385920" w:rsidR="00602913" w:rsidRPr="00E01239" w:rsidRDefault="00EB49B1" w:rsidP="001D267F">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Dans le présent chapitre, nous traitons des alternatives en termes d’approches </w:t>
      </w:r>
      <w:r w:rsidR="00602913" w:rsidRPr="00E01239">
        <w:rPr>
          <w:rFonts w:asciiTheme="minorHAnsi" w:hAnsiTheme="minorHAnsi" w:cstheme="minorHAnsi"/>
          <w:sz w:val="22"/>
          <w:szCs w:val="22"/>
          <w:lang w:bidi="fr-FR"/>
        </w:rPr>
        <w:t xml:space="preserve">de conception </w:t>
      </w:r>
      <w:r w:rsidRPr="00E01239">
        <w:rPr>
          <w:rFonts w:asciiTheme="minorHAnsi" w:hAnsiTheme="minorHAnsi" w:cstheme="minorHAnsi"/>
          <w:sz w:val="22"/>
          <w:szCs w:val="22"/>
          <w:lang w:bidi="fr-FR"/>
        </w:rPr>
        <w:t xml:space="preserve">envisageables dans le cadre </w:t>
      </w:r>
      <w:r w:rsidR="00602913" w:rsidRPr="00E01239">
        <w:rPr>
          <w:rFonts w:asciiTheme="minorHAnsi" w:hAnsiTheme="minorHAnsi" w:cstheme="minorHAnsi"/>
          <w:sz w:val="22"/>
          <w:szCs w:val="22"/>
          <w:lang w:bidi="fr-FR"/>
        </w:rPr>
        <w:t>de certaines activités du FRSP-SN</w:t>
      </w:r>
      <w:r w:rsidRPr="00E01239">
        <w:rPr>
          <w:rFonts w:asciiTheme="minorHAnsi" w:hAnsiTheme="minorHAnsi" w:cstheme="minorHAnsi"/>
          <w:sz w:val="22"/>
          <w:szCs w:val="22"/>
          <w:lang w:bidi="fr-FR"/>
        </w:rPr>
        <w:t xml:space="preserve">. </w:t>
      </w:r>
      <w:r w:rsidR="00602913" w:rsidRPr="00E01239">
        <w:rPr>
          <w:rFonts w:asciiTheme="minorHAnsi" w:hAnsiTheme="minorHAnsi" w:cstheme="minorHAnsi"/>
          <w:sz w:val="22"/>
          <w:szCs w:val="22"/>
          <w:lang w:bidi="fr-FR"/>
        </w:rPr>
        <w:t xml:space="preserve">Cette analyse vise </w:t>
      </w:r>
      <w:r w:rsidR="008841E3" w:rsidRPr="00E01239">
        <w:rPr>
          <w:rFonts w:asciiTheme="minorHAnsi" w:hAnsiTheme="minorHAnsi" w:cstheme="minorHAnsi"/>
          <w:sz w:val="22"/>
          <w:szCs w:val="22"/>
          <w:lang w:bidi="fr-FR"/>
        </w:rPr>
        <w:t>principalement</w:t>
      </w:r>
      <w:r w:rsidR="00602913" w:rsidRPr="00E01239">
        <w:rPr>
          <w:rFonts w:asciiTheme="minorHAnsi" w:hAnsiTheme="minorHAnsi" w:cstheme="minorHAnsi"/>
          <w:sz w:val="22"/>
          <w:szCs w:val="22"/>
          <w:lang w:bidi="fr-FR"/>
        </w:rPr>
        <w:t xml:space="preserve"> deux composantes du FRSP-SN que sont (i) la sous-composante 2.2 : Renforcer la sécurité alimentaire régionale par la gestion intégrée des paysages et (ii) la sous-composante 3.2 : Soutenir le développement des chaînes de valeur stratégiques et régionale</w:t>
      </w:r>
      <w:r w:rsidR="002F3A92">
        <w:rPr>
          <w:rFonts w:asciiTheme="minorHAnsi" w:hAnsiTheme="minorHAnsi" w:cstheme="minorHAnsi"/>
          <w:sz w:val="22"/>
          <w:szCs w:val="22"/>
          <w:lang w:bidi="fr-FR"/>
        </w:rPr>
        <w:t>s</w:t>
      </w:r>
      <w:r w:rsidR="00602913" w:rsidRPr="00E01239">
        <w:rPr>
          <w:rFonts w:asciiTheme="minorHAnsi" w:hAnsiTheme="minorHAnsi" w:cstheme="minorHAnsi"/>
          <w:sz w:val="22"/>
          <w:szCs w:val="22"/>
          <w:lang w:bidi="fr-FR"/>
        </w:rPr>
        <w:t>.</w:t>
      </w:r>
      <w:r w:rsidR="0029311B" w:rsidRPr="00E01239">
        <w:rPr>
          <w:rFonts w:asciiTheme="minorHAnsi" w:hAnsiTheme="minorHAnsi" w:cstheme="minorHAnsi"/>
          <w:sz w:val="22"/>
          <w:szCs w:val="22"/>
          <w:lang w:bidi="fr-FR"/>
        </w:rPr>
        <w:t xml:space="preserve"> </w:t>
      </w:r>
      <w:r w:rsidR="00602913" w:rsidRPr="00E01239">
        <w:rPr>
          <w:rFonts w:asciiTheme="minorHAnsi" w:hAnsiTheme="minorHAnsi" w:cstheme="minorHAnsi"/>
          <w:sz w:val="22"/>
          <w:szCs w:val="22"/>
          <w:lang w:bidi="fr-FR"/>
        </w:rPr>
        <w:t xml:space="preserve">Les </w:t>
      </w:r>
      <w:r w:rsidRPr="00E01239">
        <w:rPr>
          <w:rFonts w:asciiTheme="minorHAnsi" w:hAnsiTheme="minorHAnsi" w:cstheme="minorHAnsi"/>
          <w:sz w:val="22"/>
          <w:szCs w:val="22"/>
          <w:lang w:bidi="fr-FR"/>
        </w:rPr>
        <w:t xml:space="preserve">alternatives </w:t>
      </w:r>
      <w:r w:rsidR="00602913" w:rsidRPr="00E01239">
        <w:rPr>
          <w:rFonts w:asciiTheme="minorHAnsi" w:hAnsiTheme="minorHAnsi" w:cstheme="minorHAnsi"/>
          <w:sz w:val="22"/>
          <w:szCs w:val="22"/>
          <w:lang w:bidi="fr-FR"/>
        </w:rPr>
        <w:t xml:space="preserve">discutées au sein de ces deux sous composantes sont présentées dans le tableau </w:t>
      </w:r>
      <w:r w:rsidR="00A1305E" w:rsidRPr="00E01239">
        <w:rPr>
          <w:rFonts w:asciiTheme="minorHAnsi" w:hAnsiTheme="minorHAnsi" w:cstheme="minorHAnsi"/>
          <w:sz w:val="22"/>
          <w:szCs w:val="22"/>
          <w:lang w:bidi="fr-FR"/>
        </w:rPr>
        <w:t xml:space="preserve">n°10 </w:t>
      </w:r>
      <w:r w:rsidR="00602913" w:rsidRPr="00E01239">
        <w:rPr>
          <w:rFonts w:asciiTheme="minorHAnsi" w:hAnsiTheme="minorHAnsi" w:cstheme="minorHAnsi"/>
          <w:sz w:val="22"/>
          <w:szCs w:val="22"/>
          <w:lang w:bidi="fr-FR"/>
        </w:rPr>
        <w:t>ci-dessous :</w:t>
      </w:r>
    </w:p>
    <w:p w14:paraId="5461CD36" w14:textId="77777777" w:rsidR="00602913" w:rsidRPr="00E01239" w:rsidRDefault="00602913" w:rsidP="00202CE9">
      <w:pPr>
        <w:jc w:val="both"/>
        <w:rPr>
          <w:rFonts w:asciiTheme="minorHAnsi" w:hAnsiTheme="minorHAnsi" w:cstheme="minorHAnsi"/>
          <w:sz w:val="22"/>
          <w:szCs w:val="22"/>
          <w:lang w:bidi="fr-FR"/>
        </w:rPr>
      </w:pPr>
    </w:p>
    <w:p w14:paraId="341B8FAE" w14:textId="0CE95DFD" w:rsidR="00602913" w:rsidRPr="00E01239" w:rsidRDefault="00602913" w:rsidP="0029311B">
      <w:pPr>
        <w:pStyle w:val="Lgende"/>
        <w:jc w:val="center"/>
        <w:rPr>
          <w:rFonts w:asciiTheme="minorHAnsi" w:hAnsiTheme="minorHAnsi" w:cstheme="minorHAnsi"/>
          <w:sz w:val="22"/>
          <w:szCs w:val="22"/>
        </w:rPr>
      </w:pPr>
      <w:bookmarkStart w:id="586" w:name="_Toc142668838"/>
      <w:bookmarkStart w:id="587" w:name="_Toc144654190"/>
      <w:r w:rsidRPr="00E01239">
        <w:rPr>
          <w:rFonts w:asciiTheme="minorHAnsi" w:hAnsiTheme="minorHAnsi" w:cstheme="minorHAnsi"/>
          <w:sz w:val="22"/>
          <w:szCs w:val="22"/>
        </w:rPr>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10</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xml:space="preserve"> : </w:t>
      </w:r>
      <w:r w:rsidRPr="00E01239">
        <w:rPr>
          <w:rFonts w:asciiTheme="minorHAnsi" w:hAnsiTheme="minorHAnsi" w:cstheme="minorHAnsi"/>
          <w:b w:val="0"/>
          <w:sz w:val="22"/>
          <w:szCs w:val="22"/>
        </w:rPr>
        <w:t>Activité du FRSP-SN, objet de l’analyse des alternatives</w:t>
      </w:r>
      <w:bookmarkEnd w:id="586"/>
      <w:bookmarkEnd w:id="587"/>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89"/>
        <w:gridCol w:w="6707"/>
      </w:tblGrid>
      <w:tr w:rsidR="00602913" w:rsidRPr="00E01239" w14:paraId="7780171A" w14:textId="77777777" w:rsidTr="00202CE9">
        <w:trPr>
          <w:trHeight w:val="113"/>
          <w:tblHeader/>
          <w:jc w:val="center"/>
        </w:trPr>
        <w:tc>
          <w:tcPr>
            <w:tcW w:w="1431" w:type="pct"/>
            <w:shd w:val="clear" w:color="auto" w:fill="1F3864" w:themeFill="accent5" w:themeFillShade="80"/>
            <w:vAlign w:val="center"/>
          </w:tcPr>
          <w:p w14:paraId="2063D304" w14:textId="77777777" w:rsidR="00602913" w:rsidRPr="00E01239" w:rsidRDefault="00602913" w:rsidP="00202CE9">
            <w:pPr>
              <w:spacing w:before="120" w:after="120"/>
              <w:jc w:val="center"/>
              <w:rPr>
                <w:rFonts w:asciiTheme="minorHAnsi" w:hAnsiTheme="minorHAnsi" w:cstheme="minorHAnsi"/>
                <w:b/>
                <w:bCs/>
                <w:sz w:val="21"/>
                <w:szCs w:val="21"/>
              </w:rPr>
            </w:pPr>
            <w:r w:rsidRPr="00E01239">
              <w:rPr>
                <w:rFonts w:asciiTheme="minorHAnsi" w:hAnsiTheme="minorHAnsi" w:cstheme="minorHAnsi"/>
                <w:b/>
                <w:bCs/>
                <w:sz w:val="21"/>
                <w:szCs w:val="21"/>
              </w:rPr>
              <w:t>Sous-Composantes</w:t>
            </w:r>
          </w:p>
        </w:tc>
        <w:tc>
          <w:tcPr>
            <w:tcW w:w="3569" w:type="pct"/>
            <w:shd w:val="clear" w:color="auto" w:fill="1F3864" w:themeFill="accent5" w:themeFillShade="80"/>
            <w:vAlign w:val="center"/>
          </w:tcPr>
          <w:p w14:paraId="30A2FAE6" w14:textId="23028C0E" w:rsidR="00602913" w:rsidRPr="00E01239" w:rsidRDefault="00602913" w:rsidP="00202CE9">
            <w:pPr>
              <w:spacing w:before="120" w:after="120"/>
              <w:jc w:val="center"/>
              <w:rPr>
                <w:rFonts w:asciiTheme="minorHAnsi" w:hAnsiTheme="minorHAnsi" w:cstheme="minorHAnsi"/>
                <w:b/>
                <w:bCs/>
                <w:sz w:val="21"/>
                <w:szCs w:val="21"/>
              </w:rPr>
            </w:pPr>
            <w:r w:rsidRPr="00E01239">
              <w:rPr>
                <w:rFonts w:asciiTheme="minorHAnsi" w:hAnsiTheme="minorHAnsi" w:cstheme="minorHAnsi"/>
                <w:b/>
                <w:bCs/>
                <w:sz w:val="21"/>
                <w:szCs w:val="21"/>
              </w:rPr>
              <w:t>Activités</w:t>
            </w:r>
          </w:p>
        </w:tc>
      </w:tr>
      <w:tr w:rsidR="00602913" w:rsidRPr="00E01239" w14:paraId="71BC68FF" w14:textId="77777777" w:rsidTr="00202CE9">
        <w:trPr>
          <w:trHeight w:val="2103"/>
          <w:jc w:val="center"/>
        </w:trPr>
        <w:tc>
          <w:tcPr>
            <w:tcW w:w="1431" w:type="pct"/>
            <w:vAlign w:val="center"/>
          </w:tcPr>
          <w:p w14:paraId="08034094" w14:textId="77777777" w:rsidR="00602913" w:rsidRPr="00E01239" w:rsidRDefault="00602913" w:rsidP="001D267F">
            <w:pPr>
              <w:rPr>
                <w:rFonts w:asciiTheme="minorHAnsi" w:hAnsiTheme="minorHAnsi" w:cstheme="minorHAnsi"/>
                <w:sz w:val="21"/>
                <w:szCs w:val="21"/>
              </w:rPr>
            </w:pPr>
            <w:r w:rsidRPr="00E01239">
              <w:rPr>
                <w:rFonts w:asciiTheme="minorHAnsi" w:hAnsiTheme="minorHAnsi" w:cstheme="minorHAnsi"/>
                <w:b/>
                <w:bCs/>
                <w:sz w:val="21"/>
                <w:szCs w:val="21"/>
              </w:rPr>
              <w:t>Sous-composante 2.2</w:t>
            </w:r>
            <w:r w:rsidRPr="00E01239">
              <w:rPr>
                <w:rFonts w:asciiTheme="minorHAnsi" w:hAnsiTheme="minorHAnsi" w:cstheme="minorHAnsi"/>
                <w:sz w:val="21"/>
                <w:szCs w:val="21"/>
              </w:rPr>
              <w:t> :</w:t>
            </w:r>
            <w:r w:rsidRPr="00E01239">
              <w:rPr>
                <w:rFonts w:asciiTheme="minorHAnsi" w:eastAsiaTheme="minorEastAsia" w:hAnsiTheme="minorHAnsi" w:cstheme="minorHAnsi"/>
                <w:kern w:val="24"/>
                <w:sz w:val="21"/>
                <w:szCs w:val="21"/>
              </w:rPr>
              <w:t xml:space="preserve"> </w:t>
            </w:r>
            <w:r w:rsidRPr="00E01239">
              <w:rPr>
                <w:rFonts w:asciiTheme="minorHAnsi" w:hAnsiTheme="minorHAnsi" w:cstheme="minorHAnsi"/>
                <w:sz w:val="21"/>
                <w:szCs w:val="21"/>
              </w:rPr>
              <w:t xml:space="preserve">Renforcer la sécurité alimentaire régionale par la gestion intégrée des paysages </w:t>
            </w:r>
          </w:p>
        </w:tc>
        <w:tc>
          <w:tcPr>
            <w:tcW w:w="3569" w:type="pct"/>
            <w:vAlign w:val="center"/>
          </w:tcPr>
          <w:p w14:paraId="7FD11241" w14:textId="77777777" w:rsidR="00602913" w:rsidRPr="00E01239" w:rsidRDefault="00602913" w:rsidP="00027669">
            <w:pPr>
              <w:pStyle w:val="Paragraphedeliste"/>
              <w:numPr>
                <w:ilvl w:val="0"/>
                <w:numId w:val="110"/>
              </w:numPr>
              <w:ind w:left="180" w:hanging="177"/>
              <w:contextualSpacing w:val="0"/>
              <w:rPr>
                <w:rFonts w:asciiTheme="minorHAnsi" w:hAnsiTheme="minorHAnsi" w:cstheme="minorHAnsi"/>
                <w:iCs/>
                <w:sz w:val="21"/>
                <w:szCs w:val="21"/>
              </w:rPr>
            </w:pPr>
            <w:r w:rsidRPr="00E01239">
              <w:rPr>
                <w:rFonts w:asciiTheme="minorHAnsi" w:hAnsiTheme="minorHAnsi" w:cstheme="minorHAnsi"/>
                <w:iCs/>
                <w:sz w:val="21"/>
                <w:szCs w:val="21"/>
              </w:rPr>
              <w:t xml:space="preserve">Amélioration de la résilience des écosystèmes et des systèmes alimentaires </w:t>
            </w:r>
          </w:p>
          <w:p w14:paraId="12B63310" w14:textId="08D14565" w:rsidR="00602913" w:rsidRPr="00E01239" w:rsidRDefault="00602913" w:rsidP="00027669">
            <w:pPr>
              <w:pStyle w:val="Paragraphedeliste"/>
              <w:numPr>
                <w:ilvl w:val="0"/>
                <w:numId w:val="179"/>
              </w:numPr>
              <w:ind w:left="459" w:hanging="357"/>
              <w:contextualSpacing w:val="0"/>
              <w:rPr>
                <w:rFonts w:asciiTheme="minorHAnsi" w:hAnsiTheme="minorHAnsi" w:cstheme="minorHAnsi"/>
                <w:iCs/>
                <w:sz w:val="21"/>
                <w:szCs w:val="21"/>
              </w:rPr>
            </w:pPr>
            <w:r w:rsidRPr="00E01239">
              <w:rPr>
                <w:rFonts w:asciiTheme="minorHAnsi" w:hAnsiTheme="minorHAnsi" w:cstheme="minorHAnsi"/>
                <w:iCs/>
                <w:sz w:val="21"/>
                <w:szCs w:val="21"/>
              </w:rPr>
              <w:t xml:space="preserve">Réhabilitation de </w:t>
            </w:r>
            <w:r w:rsidRPr="00E01239">
              <w:rPr>
                <w:rFonts w:asciiTheme="minorHAnsi" w:hAnsiTheme="minorHAnsi" w:cstheme="minorHAnsi"/>
                <w:b/>
                <w:bCs/>
                <w:iCs/>
                <w:sz w:val="21"/>
                <w:szCs w:val="21"/>
              </w:rPr>
              <w:t>2</w:t>
            </w:r>
            <w:r w:rsidR="00061A22" w:rsidRPr="00E01239">
              <w:rPr>
                <w:rFonts w:asciiTheme="minorHAnsi" w:hAnsiTheme="minorHAnsi" w:cstheme="minorHAnsi"/>
                <w:b/>
                <w:bCs/>
                <w:iCs/>
                <w:sz w:val="21"/>
                <w:szCs w:val="21"/>
              </w:rPr>
              <w:t xml:space="preserve"> </w:t>
            </w:r>
            <w:r w:rsidRPr="00E01239">
              <w:rPr>
                <w:rFonts w:asciiTheme="minorHAnsi" w:hAnsiTheme="minorHAnsi" w:cstheme="minorHAnsi"/>
                <w:b/>
                <w:bCs/>
                <w:iCs/>
                <w:sz w:val="21"/>
                <w:szCs w:val="21"/>
              </w:rPr>
              <w:t>000 ha</w:t>
            </w:r>
            <w:r w:rsidRPr="00E01239">
              <w:rPr>
                <w:rFonts w:asciiTheme="minorHAnsi" w:hAnsiTheme="minorHAnsi" w:cstheme="minorHAnsi"/>
                <w:iCs/>
                <w:sz w:val="21"/>
                <w:szCs w:val="21"/>
              </w:rPr>
              <w:t xml:space="preserve"> périmètres irrigués villageois dans la vallée du fleuve Sénégal</w:t>
            </w:r>
          </w:p>
          <w:p w14:paraId="72D1B291" w14:textId="77777777" w:rsidR="00602913" w:rsidRPr="00E01239" w:rsidRDefault="00602913" w:rsidP="00027669">
            <w:pPr>
              <w:pStyle w:val="Paragraphedeliste"/>
              <w:numPr>
                <w:ilvl w:val="0"/>
                <w:numId w:val="179"/>
              </w:numPr>
              <w:ind w:left="459" w:hanging="357"/>
              <w:contextualSpacing w:val="0"/>
              <w:rPr>
                <w:rFonts w:asciiTheme="minorHAnsi" w:hAnsiTheme="minorHAnsi" w:cstheme="minorHAnsi"/>
                <w:iCs/>
                <w:sz w:val="21"/>
                <w:szCs w:val="21"/>
              </w:rPr>
            </w:pPr>
            <w:r w:rsidRPr="00E01239">
              <w:rPr>
                <w:rFonts w:asciiTheme="minorHAnsi" w:hAnsiTheme="minorHAnsi" w:cstheme="minorHAnsi"/>
                <w:iCs/>
                <w:sz w:val="21"/>
                <w:szCs w:val="21"/>
              </w:rPr>
              <w:t xml:space="preserve">Réhabilitation et extension de </w:t>
            </w:r>
            <w:r w:rsidRPr="00E01239">
              <w:rPr>
                <w:rFonts w:asciiTheme="minorHAnsi" w:hAnsiTheme="minorHAnsi" w:cstheme="minorHAnsi"/>
                <w:b/>
                <w:bCs/>
                <w:iCs/>
                <w:sz w:val="21"/>
                <w:szCs w:val="21"/>
              </w:rPr>
              <w:t>2 700 ha</w:t>
            </w:r>
            <w:r w:rsidRPr="00E01239">
              <w:rPr>
                <w:rFonts w:asciiTheme="minorHAnsi" w:hAnsiTheme="minorHAnsi" w:cstheme="minorHAnsi"/>
                <w:iCs/>
                <w:sz w:val="21"/>
                <w:szCs w:val="21"/>
              </w:rPr>
              <w:t xml:space="preserve"> périmètres irrigués et renouvellement de système de pompage de casiers et PIV dans la vallée du fleuve Sénégal.</w:t>
            </w:r>
          </w:p>
        </w:tc>
      </w:tr>
      <w:tr w:rsidR="00602913" w:rsidRPr="00E01239" w14:paraId="2BAB9910" w14:textId="77777777" w:rsidTr="00202CE9">
        <w:trPr>
          <w:trHeight w:val="701"/>
          <w:jc w:val="center"/>
        </w:trPr>
        <w:tc>
          <w:tcPr>
            <w:tcW w:w="1431" w:type="pct"/>
            <w:vMerge w:val="restart"/>
            <w:vAlign w:val="center"/>
          </w:tcPr>
          <w:p w14:paraId="4DC680FB" w14:textId="77777777" w:rsidR="00602913" w:rsidRPr="00E01239" w:rsidRDefault="00602913" w:rsidP="00202CE9">
            <w:pPr>
              <w:rPr>
                <w:rFonts w:asciiTheme="minorHAnsi" w:hAnsiTheme="minorHAnsi" w:cstheme="minorHAnsi"/>
                <w:sz w:val="21"/>
                <w:szCs w:val="21"/>
              </w:rPr>
            </w:pPr>
            <w:r w:rsidRPr="00E01239">
              <w:rPr>
                <w:rFonts w:asciiTheme="minorHAnsi" w:hAnsiTheme="minorHAnsi" w:cstheme="minorHAnsi"/>
                <w:b/>
                <w:bCs/>
                <w:sz w:val="21"/>
                <w:szCs w:val="21"/>
              </w:rPr>
              <w:t>Sous-composante 3.2</w:t>
            </w:r>
            <w:r w:rsidRPr="00E01239">
              <w:rPr>
                <w:rFonts w:asciiTheme="minorHAnsi" w:hAnsiTheme="minorHAnsi" w:cstheme="minorHAnsi"/>
                <w:sz w:val="21"/>
                <w:szCs w:val="21"/>
              </w:rPr>
              <w:t> : Soutenir le développement des chaînes de valeur stratégiques et régionales</w:t>
            </w:r>
          </w:p>
        </w:tc>
        <w:tc>
          <w:tcPr>
            <w:tcW w:w="3569" w:type="pct"/>
            <w:vAlign w:val="center"/>
          </w:tcPr>
          <w:p w14:paraId="534EF41A" w14:textId="77777777" w:rsidR="00602913" w:rsidRPr="00E01239" w:rsidRDefault="00602913" w:rsidP="00027669">
            <w:pPr>
              <w:pStyle w:val="Paragraphedeliste"/>
              <w:numPr>
                <w:ilvl w:val="0"/>
                <w:numId w:val="108"/>
              </w:numPr>
              <w:contextualSpacing w:val="0"/>
              <w:rPr>
                <w:rFonts w:asciiTheme="minorHAnsi" w:hAnsiTheme="minorHAnsi" w:cstheme="minorHAnsi"/>
                <w:iCs/>
                <w:sz w:val="21"/>
                <w:szCs w:val="21"/>
              </w:rPr>
            </w:pPr>
            <w:r w:rsidRPr="00E01239">
              <w:rPr>
                <w:rFonts w:asciiTheme="minorHAnsi" w:hAnsiTheme="minorHAnsi" w:cstheme="minorHAnsi"/>
                <w:iCs/>
                <w:sz w:val="21"/>
                <w:szCs w:val="21"/>
              </w:rPr>
              <w:t>Renforcement de la fourniture de services de vaccination (MEPA)</w:t>
            </w:r>
          </w:p>
          <w:p w14:paraId="16F7635D" w14:textId="77777777" w:rsidR="00602913" w:rsidRPr="00E01239" w:rsidRDefault="00602913" w:rsidP="00027669">
            <w:pPr>
              <w:pStyle w:val="Paragraphedeliste"/>
              <w:numPr>
                <w:ilvl w:val="0"/>
                <w:numId w:val="179"/>
              </w:numPr>
              <w:ind w:left="463"/>
              <w:contextualSpacing w:val="0"/>
              <w:rPr>
                <w:rFonts w:asciiTheme="minorHAnsi" w:hAnsiTheme="minorHAnsi" w:cstheme="minorHAnsi"/>
                <w:iCs/>
                <w:sz w:val="21"/>
                <w:szCs w:val="21"/>
              </w:rPr>
            </w:pPr>
            <w:r w:rsidRPr="00E01239">
              <w:rPr>
                <w:rFonts w:asciiTheme="minorHAnsi" w:hAnsiTheme="minorHAnsi" w:cstheme="minorHAnsi"/>
                <w:iCs/>
                <w:sz w:val="21"/>
                <w:szCs w:val="21"/>
              </w:rPr>
              <w:t>Construction de 100 parcs à vaccination dans différentes localités à préciser ultérieurement.</w:t>
            </w:r>
          </w:p>
        </w:tc>
      </w:tr>
      <w:tr w:rsidR="00D342E9" w:rsidRPr="00E01239" w14:paraId="1A539E5E" w14:textId="77777777" w:rsidTr="00047AA4">
        <w:trPr>
          <w:trHeight w:val="1320"/>
          <w:jc w:val="center"/>
        </w:trPr>
        <w:tc>
          <w:tcPr>
            <w:tcW w:w="1431" w:type="pct"/>
            <w:vMerge/>
            <w:vAlign w:val="center"/>
          </w:tcPr>
          <w:p w14:paraId="711BD014" w14:textId="77777777" w:rsidR="00D342E9" w:rsidRPr="00E01239" w:rsidRDefault="00D342E9" w:rsidP="00202CE9">
            <w:pPr>
              <w:rPr>
                <w:rFonts w:asciiTheme="minorHAnsi" w:hAnsiTheme="minorHAnsi" w:cstheme="minorHAnsi"/>
                <w:sz w:val="21"/>
                <w:szCs w:val="21"/>
              </w:rPr>
            </w:pPr>
          </w:p>
        </w:tc>
        <w:tc>
          <w:tcPr>
            <w:tcW w:w="3569" w:type="pct"/>
            <w:vAlign w:val="center"/>
          </w:tcPr>
          <w:p w14:paraId="530A843A" w14:textId="77777777" w:rsidR="00D342E9" w:rsidRPr="00E01239" w:rsidRDefault="00D342E9" w:rsidP="00027669">
            <w:pPr>
              <w:pStyle w:val="Paragraphedeliste"/>
              <w:numPr>
                <w:ilvl w:val="0"/>
                <w:numId w:val="108"/>
              </w:numPr>
              <w:contextualSpacing w:val="0"/>
              <w:rPr>
                <w:rFonts w:asciiTheme="minorHAnsi" w:hAnsiTheme="minorHAnsi" w:cstheme="minorHAnsi"/>
                <w:iCs/>
                <w:sz w:val="21"/>
                <w:szCs w:val="21"/>
              </w:rPr>
            </w:pPr>
            <w:r w:rsidRPr="00E01239">
              <w:rPr>
                <w:rFonts w:asciiTheme="minorHAnsi" w:hAnsiTheme="minorHAnsi" w:cstheme="minorHAnsi"/>
                <w:iCs/>
                <w:sz w:val="21"/>
                <w:szCs w:val="21"/>
              </w:rPr>
              <w:t xml:space="preserve">Construction de deux (2) plateformes d’engraissement intensif de bovins dans </w:t>
            </w:r>
            <w:r w:rsidRPr="00E01239">
              <w:rPr>
                <w:rFonts w:asciiTheme="minorHAnsi" w:hAnsiTheme="minorHAnsi" w:cstheme="minorHAnsi"/>
                <w:sz w:val="21"/>
                <w:szCs w:val="21"/>
              </w:rPr>
              <w:t xml:space="preserve">les localités de Diourbel et </w:t>
            </w:r>
            <w:proofErr w:type="spellStart"/>
            <w:r w:rsidRPr="00E01239">
              <w:rPr>
                <w:rFonts w:asciiTheme="minorHAnsi" w:hAnsiTheme="minorHAnsi" w:cstheme="minorHAnsi"/>
                <w:sz w:val="21"/>
                <w:szCs w:val="21"/>
              </w:rPr>
              <w:t>Mékhé</w:t>
            </w:r>
            <w:proofErr w:type="spellEnd"/>
            <w:r w:rsidRPr="00E01239">
              <w:rPr>
                <w:rFonts w:asciiTheme="minorHAnsi" w:hAnsiTheme="minorHAnsi" w:cstheme="minorHAnsi"/>
                <w:sz w:val="21"/>
                <w:szCs w:val="21"/>
              </w:rPr>
              <w:t> </w:t>
            </w:r>
            <w:r w:rsidRPr="00E01239">
              <w:rPr>
                <w:rFonts w:asciiTheme="minorHAnsi" w:hAnsiTheme="minorHAnsi" w:cstheme="minorHAnsi"/>
                <w:iCs/>
                <w:sz w:val="21"/>
                <w:szCs w:val="21"/>
              </w:rPr>
              <w:t>(MEPA)</w:t>
            </w:r>
            <w:r w:rsidRPr="00E01239">
              <w:rPr>
                <w:rFonts w:asciiTheme="minorHAnsi" w:hAnsiTheme="minorHAnsi" w:cstheme="minorHAnsi"/>
                <w:sz w:val="21"/>
                <w:szCs w:val="21"/>
              </w:rPr>
              <w:t xml:space="preserve"> :</w:t>
            </w:r>
          </w:p>
          <w:p w14:paraId="7D1AA5C8" w14:textId="77777777" w:rsidR="00D342E9" w:rsidRPr="00E01239" w:rsidRDefault="00D342E9" w:rsidP="00027669">
            <w:pPr>
              <w:pStyle w:val="Paragraphedeliste"/>
              <w:numPr>
                <w:ilvl w:val="0"/>
                <w:numId w:val="179"/>
              </w:numPr>
              <w:ind w:left="463"/>
              <w:contextualSpacing w:val="0"/>
              <w:rPr>
                <w:rFonts w:asciiTheme="minorHAnsi" w:hAnsiTheme="minorHAnsi" w:cstheme="minorHAnsi"/>
                <w:iCs/>
                <w:sz w:val="21"/>
                <w:szCs w:val="21"/>
              </w:rPr>
            </w:pPr>
            <w:r w:rsidRPr="00E01239">
              <w:rPr>
                <w:rFonts w:asciiTheme="minorHAnsi" w:hAnsiTheme="minorHAnsi" w:cstheme="minorHAnsi"/>
                <w:iCs/>
                <w:sz w:val="21"/>
                <w:szCs w:val="21"/>
              </w:rPr>
              <w:t>Construction de mini-forage</w:t>
            </w:r>
          </w:p>
          <w:p w14:paraId="557F93BD" w14:textId="1A4D48A0" w:rsidR="00D342E9" w:rsidRPr="00E01239" w:rsidRDefault="00D342E9" w:rsidP="00047AA4">
            <w:pPr>
              <w:ind w:left="103"/>
              <w:rPr>
                <w:rFonts w:asciiTheme="minorHAnsi" w:hAnsiTheme="minorHAnsi" w:cstheme="minorHAnsi"/>
                <w:iCs/>
                <w:sz w:val="21"/>
                <w:szCs w:val="21"/>
              </w:rPr>
            </w:pPr>
          </w:p>
        </w:tc>
      </w:tr>
    </w:tbl>
    <w:p w14:paraId="2AAB86BC" w14:textId="77777777" w:rsidR="00061A22" w:rsidRPr="00E01239" w:rsidRDefault="00061A22" w:rsidP="00202CE9">
      <w:pPr>
        <w:spacing w:before="120" w:line="360" w:lineRule="exact"/>
        <w:jc w:val="both"/>
        <w:rPr>
          <w:rFonts w:asciiTheme="minorHAnsi" w:hAnsiTheme="minorHAnsi" w:cstheme="minorHAnsi"/>
          <w:sz w:val="22"/>
          <w:szCs w:val="22"/>
          <w:lang w:eastAsia="x-none"/>
        </w:rPr>
      </w:pPr>
    </w:p>
    <w:p w14:paraId="503C9368" w14:textId="00A342D4" w:rsidR="00061A22" w:rsidRPr="00E01239" w:rsidRDefault="00061A22" w:rsidP="009E5299">
      <w:pPr>
        <w:pStyle w:val="Titre2"/>
        <w:tabs>
          <w:tab w:val="clear" w:pos="-720"/>
          <w:tab w:val="left" w:pos="851"/>
        </w:tabs>
        <w:ind w:left="851"/>
        <w:rPr>
          <w:rFonts w:asciiTheme="minorHAnsi" w:hAnsiTheme="minorHAnsi" w:cstheme="minorHAnsi"/>
          <w:color w:val="auto"/>
        </w:rPr>
      </w:pPr>
      <w:bookmarkStart w:id="588" w:name="_Toc144654101"/>
      <w:r w:rsidRPr="00E01239">
        <w:rPr>
          <w:rFonts w:asciiTheme="minorHAnsi" w:hAnsiTheme="minorHAnsi" w:cstheme="minorHAnsi"/>
          <w:color w:val="auto"/>
        </w:rPr>
        <w:t>MUTUALISATION ET APPROCHES INTEGREES DES DIFFERENTS PROGRAMMES SECTORIELS</w:t>
      </w:r>
      <w:bookmarkEnd w:id="588"/>
    </w:p>
    <w:p w14:paraId="01767081" w14:textId="5BF63484" w:rsidR="00B87BF4" w:rsidRPr="00E01239" w:rsidRDefault="00061A22" w:rsidP="00202CE9">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Le Ministère de l’Elevage et des Productions Animales développe un ensemble de projets avec plusieurs partenaires techniques et financiers et qui souvent recoupent en termes d’approches et d’infrastructures à réaliser. Nous pouvons notamment citer le PRAPS </w:t>
      </w:r>
      <w:r w:rsidR="00D342E9" w:rsidRPr="00E01239">
        <w:rPr>
          <w:rFonts w:asciiTheme="minorHAnsi" w:hAnsiTheme="minorHAnsi" w:cstheme="minorHAnsi"/>
          <w:sz w:val="22"/>
          <w:szCs w:val="22"/>
          <w:lang w:bidi="fr-FR"/>
        </w:rPr>
        <w:t>I</w:t>
      </w:r>
      <w:r w:rsidRPr="00E01239">
        <w:rPr>
          <w:rFonts w:asciiTheme="minorHAnsi" w:hAnsiTheme="minorHAnsi" w:cstheme="minorHAnsi"/>
          <w:sz w:val="22"/>
          <w:szCs w:val="22"/>
          <w:lang w:bidi="fr-FR"/>
        </w:rPr>
        <w:t xml:space="preserve"> et II et le Programme de développement intégré du secteur de l’élevage (PNDIES).</w:t>
      </w:r>
      <w:r w:rsidR="00B87BF4" w:rsidRPr="00E01239">
        <w:rPr>
          <w:rFonts w:asciiTheme="minorHAnsi" w:hAnsiTheme="minorHAnsi" w:cstheme="minorHAnsi"/>
          <w:sz w:val="22"/>
          <w:szCs w:val="22"/>
          <w:lang w:bidi="fr-FR"/>
        </w:rPr>
        <w:t xml:space="preserve"> </w:t>
      </w:r>
      <w:r w:rsidRPr="00E01239">
        <w:rPr>
          <w:rFonts w:asciiTheme="minorHAnsi" w:hAnsiTheme="minorHAnsi" w:cstheme="minorHAnsi"/>
          <w:sz w:val="22"/>
          <w:szCs w:val="22"/>
          <w:lang w:bidi="fr-FR"/>
        </w:rPr>
        <w:t xml:space="preserve">Ces projets intègrent, au même titre que le FSRP-SN, des infrastructures telles que des aires d’abattage, des marchés à bétail, le renforcement des filières de vaccination, </w:t>
      </w:r>
      <w:r w:rsidR="00B87BF4" w:rsidRPr="00E01239">
        <w:rPr>
          <w:rFonts w:asciiTheme="minorHAnsi" w:hAnsiTheme="minorHAnsi" w:cstheme="minorHAnsi"/>
          <w:sz w:val="22"/>
          <w:szCs w:val="22"/>
          <w:lang w:bidi="fr-FR"/>
        </w:rPr>
        <w:t>le renforcement du Système National de Surveillance Epidémiologique (SNSE), l’amélioration du fonctionnement des laboratoires régionaux, l’augmentation de la production fourragère en quantité et en qualité, l’amélioration génétique du cheptel, etc.</w:t>
      </w:r>
    </w:p>
    <w:p w14:paraId="372EE716" w14:textId="36CFD0D5" w:rsidR="00B87BF4" w:rsidRPr="00E01239" w:rsidRDefault="00B87BF4" w:rsidP="00081A8B">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Ces différentes approches, bien que pertinentes, peuvent induire des dysfonctionnements en termes de perception des objectifs et d’appropriation par les bénéficiaires. En effet, en cas de différences dans les approches conceptuelles des marchés à bétail, l’appropriation par les organisations pastorales peut constituer un blocage dans l’exploitation de ces infrastructures. En outre, le zonage de ces types d’infrastructures devrait être pensé suivant une approche intégrée pour éviter les doublons et surtout de desservir certaines localités et trop en servir d’autres. </w:t>
      </w:r>
    </w:p>
    <w:p w14:paraId="21EF582D" w14:textId="2EBD8921" w:rsidR="00B87BF4" w:rsidRPr="00E01239" w:rsidRDefault="00B87BF4" w:rsidP="00202CE9">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lastRenderedPageBreak/>
        <w:t>Dès lors, le FSRP-SN devra s’orienter vers un benchmark auprès des autres Programmes, plus avancés dans la mise en œuvre, en vue de capitaliser les avancées technologiques, en termes de communication avec les parties prenantes pour éviter les divergences de messages, etc.</w:t>
      </w:r>
    </w:p>
    <w:p w14:paraId="3FD2EB86" w14:textId="77777777" w:rsidR="00602913" w:rsidRPr="00E01239" w:rsidRDefault="00602913" w:rsidP="00202CE9">
      <w:pPr>
        <w:spacing w:before="120" w:line="280" w:lineRule="exact"/>
        <w:jc w:val="both"/>
        <w:rPr>
          <w:rFonts w:asciiTheme="minorHAnsi" w:hAnsiTheme="minorHAnsi" w:cstheme="minorHAnsi"/>
          <w:sz w:val="22"/>
          <w:szCs w:val="22"/>
          <w:lang w:bidi="fr-FR"/>
        </w:rPr>
      </w:pPr>
    </w:p>
    <w:p w14:paraId="6F165298" w14:textId="4215CD6C" w:rsidR="00E264FA" w:rsidRPr="00E01239" w:rsidRDefault="00E264FA" w:rsidP="009E5299">
      <w:pPr>
        <w:pStyle w:val="Titre2"/>
        <w:tabs>
          <w:tab w:val="clear" w:pos="-720"/>
          <w:tab w:val="left" w:pos="851"/>
        </w:tabs>
        <w:ind w:left="851"/>
        <w:rPr>
          <w:rFonts w:asciiTheme="minorHAnsi" w:hAnsiTheme="minorHAnsi" w:cstheme="minorHAnsi"/>
          <w:color w:val="auto"/>
        </w:rPr>
      </w:pPr>
      <w:bookmarkStart w:id="589" w:name="_Toc144654102"/>
      <w:bookmarkStart w:id="590" w:name="_Toc113268593"/>
      <w:r w:rsidRPr="00E01239">
        <w:rPr>
          <w:rFonts w:asciiTheme="minorHAnsi" w:hAnsiTheme="minorHAnsi" w:cstheme="minorHAnsi"/>
          <w:color w:val="auto"/>
        </w:rPr>
        <w:t>ANALYSE DES CRITERES DE CONCEPTION DES ACTIVITES DE REHABILITATION DES PERIMETRES IRRIGUES ET DE RENOUVELLEMENT DES SYSTEMES DE POMPAGE</w:t>
      </w:r>
      <w:bookmarkEnd w:id="589"/>
    </w:p>
    <w:p w14:paraId="59767DE0" w14:textId="77777777" w:rsidR="00E264FA" w:rsidRPr="00E01239" w:rsidRDefault="00E264FA" w:rsidP="00202CE9">
      <w:pPr>
        <w:rPr>
          <w:rFonts w:asciiTheme="minorHAnsi" w:hAnsiTheme="minorHAnsi" w:cstheme="minorHAnsi"/>
        </w:rPr>
      </w:pPr>
    </w:p>
    <w:p w14:paraId="2EECCC8B" w14:textId="4B2CC45F" w:rsidR="00EB49B1" w:rsidRPr="00E01239" w:rsidRDefault="00E264FA" w:rsidP="0011733B">
      <w:pPr>
        <w:pStyle w:val="Titre3"/>
        <w:ind w:left="1276"/>
        <w:rPr>
          <w:rFonts w:asciiTheme="minorHAnsi" w:hAnsiTheme="minorHAnsi" w:cstheme="minorHAnsi"/>
        </w:rPr>
      </w:pPr>
      <w:bookmarkStart w:id="591" w:name="_Toc144654103"/>
      <w:r w:rsidRPr="00E01239">
        <w:rPr>
          <w:rFonts w:asciiTheme="minorHAnsi" w:hAnsiTheme="minorHAnsi" w:cstheme="minorHAnsi"/>
        </w:rPr>
        <w:t xml:space="preserve">Composante </w:t>
      </w:r>
      <w:r w:rsidR="008212DB" w:rsidRPr="00E01239">
        <w:rPr>
          <w:rFonts w:asciiTheme="minorHAnsi" w:hAnsiTheme="minorHAnsi" w:cstheme="minorHAnsi"/>
        </w:rPr>
        <w:t>aménagements</w:t>
      </w:r>
      <w:r w:rsidRPr="00E01239">
        <w:rPr>
          <w:rFonts w:asciiTheme="minorHAnsi" w:hAnsiTheme="minorHAnsi" w:cstheme="minorHAnsi"/>
        </w:rPr>
        <w:t xml:space="preserve"> hydroagricoles</w:t>
      </w:r>
      <w:bookmarkEnd w:id="590"/>
      <w:bookmarkEnd w:id="591"/>
    </w:p>
    <w:p w14:paraId="5706A1C5" w14:textId="0F498053" w:rsidR="00E264FA" w:rsidRPr="00E01239" w:rsidRDefault="00EB49B1" w:rsidP="00E264F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Dans la présente section, une analyse multicritère est faite </w:t>
      </w:r>
      <w:r w:rsidR="00E264FA" w:rsidRPr="00E01239">
        <w:rPr>
          <w:rFonts w:asciiTheme="minorHAnsi" w:hAnsiTheme="minorHAnsi" w:cstheme="minorHAnsi"/>
          <w:sz w:val="22"/>
          <w:szCs w:val="22"/>
          <w:lang w:bidi="fr-FR"/>
        </w:rPr>
        <w:t xml:space="preserve">pour la conception et la mise en œuvre des activités </w:t>
      </w:r>
      <w:r w:rsidR="00EC34DD">
        <w:rPr>
          <w:rFonts w:asciiTheme="minorHAnsi" w:hAnsiTheme="minorHAnsi" w:cstheme="minorHAnsi"/>
          <w:sz w:val="22"/>
          <w:szCs w:val="22"/>
          <w:lang w:bidi="fr-FR"/>
        </w:rPr>
        <w:t>projetées</w:t>
      </w:r>
      <w:r w:rsidR="00EC34DD" w:rsidRPr="00E01239">
        <w:rPr>
          <w:rFonts w:asciiTheme="minorHAnsi" w:hAnsiTheme="minorHAnsi" w:cstheme="minorHAnsi"/>
          <w:sz w:val="22"/>
          <w:szCs w:val="22"/>
          <w:lang w:bidi="fr-FR"/>
        </w:rPr>
        <w:t xml:space="preserve"> </w:t>
      </w:r>
      <w:r w:rsidR="00E264FA" w:rsidRPr="00E01239">
        <w:rPr>
          <w:rFonts w:asciiTheme="minorHAnsi" w:hAnsiTheme="minorHAnsi" w:cstheme="minorHAnsi"/>
          <w:sz w:val="22"/>
          <w:szCs w:val="22"/>
          <w:lang w:bidi="fr-FR"/>
        </w:rPr>
        <w:t xml:space="preserve">liées à l’amélioration de la résilience des écosystèmes et des systèmes alimentaires, notamment la réhabilitation des périmètres irrigués villageois et le renouvellement </w:t>
      </w:r>
      <w:r w:rsidR="008212DB" w:rsidRPr="00E01239">
        <w:rPr>
          <w:rFonts w:asciiTheme="minorHAnsi" w:hAnsiTheme="minorHAnsi" w:cstheme="minorHAnsi"/>
          <w:sz w:val="22"/>
          <w:szCs w:val="22"/>
          <w:lang w:bidi="fr-FR"/>
        </w:rPr>
        <w:t>des systèmes</w:t>
      </w:r>
      <w:r w:rsidR="00E264FA" w:rsidRPr="00E01239">
        <w:rPr>
          <w:rFonts w:asciiTheme="minorHAnsi" w:hAnsiTheme="minorHAnsi" w:cstheme="minorHAnsi"/>
          <w:sz w:val="22"/>
          <w:szCs w:val="22"/>
          <w:lang w:bidi="fr-FR"/>
        </w:rPr>
        <w:t xml:space="preserve"> de pompage de casiers et PIV dans la vallée du fleuve Sénégal.</w:t>
      </w:r>
    </w:p>
    <w:p w14:paraId="4D6FB056" w14:textId="4151C50E" w:rsidR="00EB49B1" w:rsidRPr="00E01239" w:rsidRDefault="00E264FA"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Cette analyse porte sur </w:t>
      </w:r>
      <w:r w:rsidR="00EB49B1" w:rsidRPr="00E01239">
        <w:rPr>
          <w:rFonts w:asciiTheme="minorHAnsi" w:hAnsiTheme="minorHAnsi" w:cstheme="minorHAnsi"/>
          <w:sz w:val="22"/>
          <w:szCs w:val="22"/>
          <w:lang w:bidi="fr-FR"/>
        </w:rPr>
        <w:t xml:space="preserve">les techniques </w:t>
      </w:r>
      <w:r w:rsidR="00BF0ECD" w:rsidRPr="00E01239">
        <w:rPr>
          <w:rFonts w:asciiTheme="minorHAnsi" w:hAnsiTheme="minorHAnsi" w:cstheme="minorHAnsi"/>
          <w:sz w:val="22"/>
          <w:szCs w:val="22"/>
          <w:lang w:bidi="fr-FR"/>
        </w:rPr>
        <w:t>d’irrigation</w:t>
      </w:r>
      <w:r w:rsidR="00EB49B1" w:rsidRPr="00E01239">
        <w:rPr>
          <w:rFonts w:asciiTheme="minorHAnsi" w:hAnsiTheme="minorHAnsi" w:cstheme="minorHAnsi"/>
          <w:sz w:val="22"/>
          <w:szCs w:val="22"/>
          <w:lang w:bidi="fr-FR"/>
        </w:rPr>
        <w:t xml:space="preserve"> en utilisant trois critères principaux :</w:t>
      </w:r>
    </w:p>
    <w:p w14:paraId="50CCA3CA" w14:textId="3FF053B5" w:rsidR="00EB49B1" w:rsidRPr="00E01239" w:rsidRDefault="00EB49B1" w:rsidP="00027669">
      <w:pPr>
        <w:pStyle w:val="Paragraphedeliste"/>
        <w:numPr>
          <w:ilvl w:val="0"/>
          <w:numId w:val="124"/>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La </w:t>
      </w:r>
      <w:r w:rsidRPr="00E01239">
        <w:rPr>
          <w:rFonts w:asciiTheme="minorHAnsi" w:hAnsiTheme="minorHAnsi" w:cstheme="minorHAnsi"/>
          <w:b/>
          <w:sz w:val="22"/>
          <w:szCs w:val="22"/>
          <w:lang w:bidi="fr-FR"/>
        </w:rPr>
        <w:t>faisabilité technique</w:t>
      </w:r>
      <w:r w:rsidRPr="00E01239">
        <w:rPr>
          <w:rFonts w:asciiTheme="minorHAnsi" w:hAnsiTheme="minorHAnsi" w:cstheme="minorHAnsi"/>
          <w:sz w:val="22"/>
          <w:szCs w:val="22"/>
          <w:lang w:bidi="fr-FR"/>
        </w:rPr>
        <w:t xml:space="preserve"> consistant à apprécier si la technique utilisée est adaptée au contexte éco</w:t>
      </w:r>
      <w:r w:rsidR="001C6E0D" w:rsidRPr="00E01239">
        <w:rPr>
          <w:rFonts w:asciiTheme="minorHAnsi" w:hAnsiTheme="minorHAnsi" w:cstheme="minorHAnsi"/>
          <w:sz w:val="22"/>
          <w:szCs w:val="22"/>
          <w:lang w:bidi="fr-FR"/>
        </w:rPr>
        <w:t>-</w:t>
      </w:r>
      <w:r w:rsidRPr="00E01239">
        <w:rPr>
          <w:rFonts w:asciiTheme="minorHAnsi" w:hAnsiTheme="minorHAnsi" w:cstheme="minorHAnsi"/>
          <w:sz w:val="22"/>
          <w:szCs w:val="22"/>
          <w:lang w:bidi="fr-FR"/>
        </w:rPr>
        <w:t>géographique de la zone d’intervention du Projet et en quoi elle peut constituer une alternative aux orientations du projet,</w:t>
      </w:r>
    </w:p>
    <w:p w14:paraId="55B46056" w14:textId="77777777" w:rsidR="00EB49B1" w:rsidRPr="00E01239" w:rsidRDefault="00EB49B1" w:rsidP="00027669">
      <w:pPr>
        <w:pStyle w:val="Paragraphedeliste"/>
        <w:numPr>
          <w:ilvl w:val="0"/>
          <w:numId w:val="124"/>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La </w:t>
      </w:r>
      <w:r w:rsidRPr="00E01239">
        <w:rPr>
          <w:rFonts w:asciiTheme="minorHAnsi" w:hAnsiTheme="minorHAnsi" w:cstheme="minorHAnsi"/>
          <w:b/>
          <w:sz w:val="22"/>
          <w:szCs w:val="22"/>
          <w:lang w:bidi="fr-FR"/>
        </w:rPr>
        <w:t>faisabilité économique</w:t>
      </w:r>
      <w:r w:rsidRPr="00E01239">
        <w:rPr>
          <w:rFonts w:asciiTheme="minorHAnsi" w:hAnsiTheme="minorHAnsi" w:cstheme="minorHAnsi"/>
          <w:sz w:val="22"/>
          <w:szCs w:val="22"/>
          <w:lang w:bidi="fr-FR"/>
        </w:rPr>
        <w:t xml:space="preserve"> consiste à analyser les coûts d’investissement et d’exploitation des orientations du projet par rapport aux solutions de rechange proposées,</w:t>
      </w:r>
    </w:p>
    <w:p w14:paraId="03E0A8ED" w14:textId="752187AF" w:rsidR="00EB49B1" w:rsidRPr="00E01239" w:rsidRDefault="00EB49B1" w:rsidP="00027669">
      <w:pPr>
        <w:pStyle w:val="Paragraphedeliste"/>
        <w:numPr>
          <w:ilvl w:val="0"/>
          <w:numId w:val="124"/>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La </w:t>
      </w:r>
      <w:r w:rsidRPr="00E01239">
        <w:rPr>
          <w:rFonts w:asciiTheme="minorHAnsi" w:hAnsiTheme="minorHAnsi" w:cstheme="minorHAnsi"/>
          <w:b/>
          <w:sz w:val="22"/>
          <w:szCs w:val="22"/>
          <w:lang w:bidi="fr-FR"/>
        </w:rPr>
        <w:t>durabilité environnementale</w:t>
      </w:r>
      <w:r w:rsidR="00BE1D34" w:rsidRPr="00E01239">
        <w:rPr>
          <w:rFonts w:asciiTheme="minorHAnsi" w:hAnsiTheme="minorHAnsi" w:cstheme="minorHAnsi"/>
          <w:b/>
          <w:sz w:val="22"/>
          <w:szCs w:val="22"/>
          <w:lang w:bidi="fr-FR"/>
        </w:rPr>
        <w:t xml:space="preserve"> et sociale</w:t>
      </w:r>
      <w:r w:rsidRPr="00E01239">
        <w:rPr>
          <w:rFonts w:asciiTheme="minorHAnsi" w:hAnsiTheme="minorHAnsi" w:cstheme="minorHAnsi"/>
          <w:sz w:val="22"/>
          <w:szCs w:val="22"/>
          <w:lang w:bidi="fr-FR"/>
        </w:rPr>
        <w:t xml:space="preserve"> consistant à analyser les impacts environnementaux et sociaux des solutions de rechange comparativement aux incidences potentiellement induites par les orientations du projet.</w:t>
      </w:r>
    </w:p>
    <w:p w14:paraId="5CBD2BDE" w14:textId="1AB5F1C5" w:rsidR="00EB49B1" w:rsidRPr="00E01239" w:rsidRDefault="00EB49B1"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rPr>
        <w:t>Le</w:t>
      </w:r>
      <w:r w:rsidRPr="00E01239">
        <w:rPr>
          <w:rFonts w:asciiTheme="minorHAnsi" w:hAnsiTheme="minorHAnsi" w:cstheme="minorHAnsi"/>
          <w:sz w:val="22"/>
          <w:szCs w:val="22"/>
          <w:lang w:bidi="fr-FR"/>
        </w:rPr>
        <w:t xml:space="preserve"> tableau </w:t>
      </w:r>
      <w:r w:rsidR="00252CB3">
        <w:rPr>
          <w:rFonts w:asciiTheme="minorHAnsi" w:hAnsiTheme="minorHAnsi" w:cstheme="minorHAnsi"/>
          <w:sz w:val="22"/>
          <w:szCs w:val="22"/>
          <w:lang w:bidi="fr-FR"/>
        </w:rPr>
        <w:t xml:space="preserve">11 </w:t>
      </w:r>
      <w:r w:rsidRPr="00E01239">
        <w:rPr>
          <w:rFonts w:asciiTheme="minorHAnsi" w:hAnsiTheme="minorHAnsi" w:cstheme="minorHAnsi"/>
          <w:sz w:val="22"/>
          <w:szCs w:val="22"/>
          <w:lang w:bidi="fr-FR"/>
        </w:rPr>
        <w:t xml:space="preserve">suivant détaille l’analyse des différentes alternatives envisageables pour </w:t>
      </w:r>
      <w:r w:rsidR="00BF0ECD" w:rsidRPr="00E01239">
        <w:rPr>
          <w:rFonts w:asciiTheme="minorHAnsi" w:hAnsiTheme="minorHAnsi" w:cstheme="minorHAnsi"/>
          <w:sz w:val="22"/>
          <w:szCs w:val="22"/>
          <w:lang w:bidi="fr-FR"/>
        </w:rPr>
        <w:t>les aménagements hydroagricoles prévus dans le cadre du FSRP-SN</w:t>
      </w:r>
      <w:r w:rsidRPr="00E01239">
        <w:rPr>
          <w:rFonts w:asciiTheme="minorHAnsi" w:hAnsiTheme="minorHAnsi" w:cstheme="minorHAnsi"/>
          <w:sz w:val="22"/>
          <w:szCs w:val="22"/>
          <w:lang w:bidi="fr-FR"/>
        </w:rPr>
        <w:t xml:space="preserve"> selon les critères susmentionnés.</w:t>
      </w:r>
    </w:p>
    <w:p w14:paraId="6048BE16" w14:textId="77777777" w:rsidR="00EB49B1" w:rsidRPr="00E01239" w:rsidRDefault="00EB49B1" w:rsidP="00EB49B1">
      <w:pPr>
        <w:pStyle w:val="Lgende"/>
        <w:rPr>
          <w:rFonts w:asciiTheme="minorHAnsi" w:hAnsiTheme="minorHAnsi" w:cstheme="minorHAnsi"/>
          <w:sz w:val="22"/>
          <w:szCs w:val="22"/>
        </w:rPr>
      </w:pPr>
    </w:p>
    <w:p w14:paraId="61B1350C" w14:textId="77777777" w:rsidR="00EB49B1" w:rsidRPr="00E01239" w:rsidRDefault="00EB49B1" w:rsidP="00EB49B1">
      <w:pPr>
        <w:rPr>
          <w:rFonts w:asciiTheme="minorHAnsi" w:hAnsiTheme="minorHAnsi" w:cstheme="minorHAnsi"/>
          <w:b/>
          <w:sz w:val="22"/>
          <w:szCs w:val="22"/>
          <w:lang w:bidi="fr-FR"/>
        </w:rPr>
      </w:pPr>
      <w:r w:rsidRPr="00E01239">
        <w:rPr>
          <w:rFonts w:asciiTheme="minorHAnsi" w:hAnsiTheme="minorHAnsi" w:cstheme="minorHAnsi"/>
          <w:b/>
          <w:sz w:val="22"/>
          <w:szCs w:val="22"/>
          <w:lang w:bidi="fr-FR"/>
        </w:rPr>
        <w:br w:type="page"/>
      </w:r>
    </w:p>
    <w:p w14:paraId="664CEC24" w14:textId="77777777" w:rsidR="00EB49B1" w:rsidRPr="00E01239" w:rsidRDefault="00EB49B1" w:rsidP="00EB49B1">
      <w:pPr>
        <w:spacing w:before="120" w:line="360" w:lineRule="exact"/>
        <w:jc w:val="center"/>
        <w:rPr>
          <w:rFonts w:asciiTheme="minorHAnsi" w:hAnsiTheme="minorHAnsi" w:cstheme="minorHAnsi"/>
          <w:b/>
          <w:sz w:val="22"/>
          <w:szCs w:val="22"/>
          <w:lang w:bidi="fr-FR"/>
        </w:rPr>
        <w:sectPr w:rsidR="00EB49B1" w:rsidRPr="00E01239" w:rsidSect="008C0C70">
          <w:pgSz w:w="12240" w:h="15840"/>
          <w:pgMar w:top="1417" w:right="1417" w:bottom="1417" w:left="1417" w:header="708" w:footer="708" w:gutter="0"/>
          <w:cols w:space="708"/>
          <w:docGrid w:linePitch="360"/>
        </w:sectPr>
      </w:pPr>
    </w:p>
    <w:p w14:paraId="300C18AA" w14:textId="3811D8BC" w:rsidR="00EB49B1" w:rsidRPr="00E01239" w:rsidRDefault="00EB49B1" w:rsidP="00EB49B1">
      <w:pPr>
        <w:jc w:val="center"/>
        <w:rPr>
          <w:rFonts w:asciiTheme="minorHAnsi" w:hAnsiTheme="minorHAnsi" w:cstheme="minorHAnsi"/>
          <w:sz w:val="22"/>
          <w:szCs w:val="22"/>
          <w:lang w:bidi="fr-FR"/>
        </w:rPr>
      </w:pPr>
      <w:bookmarkStart w:id="592" w:name="_Toc114980833"/>
      <w:bookmarkStart w:id="593" w:name="_Toc144654191"/>
      <w:r w:rsidRPr="00E01239">
        <w:rPr>
          <w:rFonts w:asciiTheme="minorHAnsi" w:hAnsiTheme="minorHAnsi" w:cstheme="minorHAnsi"/>
          <w:b/>
          <w:sz w:val="22"/>
          <w:szCs w:val="22"/>
          <w:lang w:bidi="fr-FR"/>
        </w:rPr>
        <w:lastRenderedPageBreak/>
        <w:t xml:space="preserve">Tableau </w:t>
      </w:r>
      <w:r w:rsidRPr="00E01239">
        <w:rPr>
          <w:rFonts w:asciiTheme="minorHAnsi" w:hAnsiTheme="minorHAnsi" w:cstheme="minorHAnsi"/>
          <w:b/>
          <w:sz w:val="22"/>
          <w:szCs w:val="22"/>
          <w:lang w:bidi="fr-FR"/>
        </w:rPr>
        <w:fldChar w:fldCharType="begin"/>
      </w:r>
      <w:r w:rsidRPr="00E01239">
        <w:rPr>
          <w:rFonts w:asciiTheme="minorHAnsi" w:hAnsiTheme="minorHAnsi" w:cstheme="minorHAnsi"/>
          <w:b/>
          <w:sz w:val="22"/>
          <w:szCs w:val="22"/>
          <w:lang w:bidi="fr-FR"/>
        </w:rPr>
        <w:instrText xml:space="preserve"> SEQ Tableau \* ARABIC </w:instrText>
      </w:r>
      <w:r w:rsidRPr="00E01239">
        <w:rPr>
          <w:rFonts w:asciiTheme="minorHAnsi" w:hAnsiTheme="minorHAnsi" w:cstheme="minorHAnsi"/>
          <w:b/>
          <w:sz w:val="22"/>
          <w:szCs w:val="22"/>
          <w:lang w:bidi="fr-FR"/>
        </w:rPr>
        <w:fldChar w:fldCharType="separate"/>
      </w:r>
      <w:r w:rsidR="005C3166">
        <w:rPr>
          <w:rFonts w:asciiTheme="minorHAnsi" w:hAnsiTheme="minorHAnsi" w:cstheme="minorHAnsi"/>
          <w:b/>
          <w:noProof/>
          <w:sz w:val="22"/>
          <w:szCs w:val="22"/>
          <w:lang w:bidi="fr-FR"/>
        </w:rPr>
        <w:t>11</w:t>
      </w:r>
      <w:r w:rsidRPr="00E01239">
        <w:rPr>
          <w:rFonts w:asciiTheme="minorHAnsi" w:hAnsiTheme="minorHAnsi" w:cstheme="minorHAnsi"/>
          <w:b/>
          <w:sz w:val="22"/>
          <w:szCs w:val="22"/>
          <w:lang w:bidi="fr-FR"/>
        </w:rPr>
        <w:fldChar w:fldCharType="end"/>
      </w:r>
      <w:r w:rsidRPr="00E01239">
        <w:rPr>
          <w:rFonts w:asciiTheme="minorHAnsi" w:hAnsiTheme="minorHAnsi" w:cstheme="minorHAnsi"/>
          <w:sz w:val="22"/>
          <w:szCs w:val="22"/>
          <w:lang w:bidi="fr-FR"/>
        </w:rPr>
        <w:t>: Matrice d’analyse relative à la composante « Aménagements Hydroagricoles »</w:t>
      </w:r>
      <w:bookmarkEnd w:id="592"/>
      <w:bookmarkEnd w:id="593"/>
    </w:p>
    <w:tbl>
      <w:tblPr>
        <w:tblStyle w:val="Grilledutableau"/>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7"/>
        <w:gridCol w:w="2521"/>
        <w:gridCol w:w="2770"/>
        <w:gridCol w:w="2503"/>
        <w:gridCol w:w="2503"/>
      </w:tblGrid>
      <w:tr w:rsidR="00EB49B1" w:rsidRPr="00E01239" w14:paraId="18227684" w14:textId="77777777" w:rsidTr="00263B8A">
        <w:trPr>
          <w:trHeight w:val="455"/>
          <w:tblHeader/>
          <w:jc w:val="center"/>
        </w:trPr>
        <w:tc>
          <w:tcPr>
            <w:tcW w:w="1038" w:type="pct"/>
            <w:shd w:val="clear" w:color="auto" w:fill="1F3864" w:themeFill="accent5" w:themeFillShade="80"/>
            <w:vAlign w:val="center"/>
          </w:tcPr>
          <w:p w14:paraId="5B1B07B3" w14:textId="77777777" w:rsidR="00EB49B1" w:rsidRPr="00E01239" w:rsidRDefault="00EB49B1" w:rsidP="001D267F">
            <w:pPr>
              <w:jc w:val="center"/>
              <w:rPr>
                <w:rFonts w:asciiTheme="minorHAnsi" w:hAnsiTheme="minorHAnsi" w:cstheme="minorHAnsi"/>
                <w:b/>
                <w:bCs/>
                <w:sz w:val="22"/>
                <w:szCs w:val="22"/>
                <w:lang w:bidi="fr-FR"/>
              </w:rPr>
            </w:pPr>
            <w:r w:rsidRPr="00E01239">
              <w:rPr>
                <w:rFonts w:asciiTheme="minorHAnsi" w:hAnsiTheme="minorHAnsi" w:cstheme="minorHAnsi"/>
                <w:b/>
                <w:bCs/>
                <w:sz w:val="22"/>
                <w:szCs w:val="22"/>
                <w:lang w:bidi="fr-FR"/>
              </w:rPr>
              <w:t>Alternatives</w:t>
            </w:r>
          </w:p>
        </w:tc>
        <w:tc>
          <w:tcPr>
            <w:tcW w:w="970" w:type="pct"/>
            <w:shd w:val="clear" w:color="auto" w:fill="1F3864" w:themeFill="accent5" w:themeFillShade="80"/>
            <w:vAlign w:val="center"/>
          </w:tcPr>
          <w:p w14:paraId="370344FB" w14:textId="77777777" w:rsidR="00EB49B1" w:rsidRPr="00E01239" w:rsidRDefault="00EB49B1" w:rsidP="00FA3029">
            <w:pPr>
              <w:jc w:val="center"/>
              <w:rPr>
                <w:rFonts w:asciiTheme="minorHAnsi" w:hAnsiTheme="minorHAnsi" w:cstheme="minorHAnsi"/>
                <w:b/>
                <w:bCs/>
                <w:sz w:val="22"/>
                <w:szCs w:val="22"/>
                <w:lang w:bidi="fr-FR"/>
              </w:rPr>
            </w:pPr>
            <w:r w:rsidRPr="00E01239">
              <w:rPr>
                <w:rFonts w:asciiTheme="minorHAnsi" w:hAnsiTheme="minorHAnsi" w:cstheme="minorHAnsi"/>
                <w:b/>
                <w:bCs/>
                <w:sz w:val="22"/>
                <w:szCs w:val="22"/>
                <w:lang w:bidi="fr-FR"/>
              </w:rPr>
              <w:t>Faisabilité technique</w:t>
            </w:r>
          </w:p>
        </w:tc>
        <w:tc>
          <w:tcPr>
            <w:tcW w:w="1066" w:type="pct"/>
            <w:shd w:val="clear" w:color="auto" w:fill="1F3864" w:themeFill="accent5" w:themeFillShade="80"/>
            <w:vAlign w:val="center"/>
          </w:tcPr>
          <w:p w14:paraId="137A1AB1" w14:textId="77777777" w:rsidR="00EB49B1" w:rsidRPr="00E01239" w:rsidRDefault="00EB49B1" w:rsidP="00202CE9">
            <w:pPr>
              <w:jc w:val="center"/>
              <w:rPr>
                <w:rFonts w:asciiTheme="minorHAnsi" w:hAnsiTheme="minorHAnsi" w:cstheme="minorHAnsi"/>
                <w:b/>
                <w:bCs/>
                <w:sz w:val="22"/>
                <w:szCs w:val="22"/>
                <w:lang w:bidi="fr-FR"/>
              </w:rPr>
            </w:pPr>
            <w:r w:rsidRPr="00E01239">
              <w:rPr>
                <w:rFonts w:asciiTheme="minorHAnsi" w:hAnsiTheme="minorHAnsi" w:cstheme="minorHAnsi"/>
                <w:b/>
                <w:bCs/>
                <w:sz w:val="22"/>
                <w:szCs w:val="22"/>
                <w:lang w:bidi="fr-FR"/>
              </w:rPr>
              <w:t>Faisabilité économique</w:t>
            </w:r>
          </w:p>
        </w:tc>
        <w:tc>
          <w:tcPr>
            <w:tcW w:w="963" w:type="pct"/>
            <w:shd w:val="clear" w:color="auto" w:fill="1F3864" w:themeFill="accent5" w:themeFillShade="80"/>
            <w:vAlign w:val="center"/>
          </w:tcPr>
          <w:p w14:paraId="4E5EB30B" w14:textId="77777777" w:rsidR="00EB49B1" w:rsidRPr="00E01239" w:rsidRDefault="00EB49B1" w:rsidP="00202CE9">
            <w:pPr>
              <w:jc w:val="center"/>
              <w:rPr>
                <w:rFonts w:asciiTheme="minorHAnsi" w:hAnsiTheme="minorHAnsi" w:cstheme="minorHAnsi"/>
                <w:b/>
                <w:bCs/>
                <w:sz w:val="22"/>
                <w:szCs w:val="22"/>
                <w:lang w:bidi="fr-FR"/>
              </w:rPr>
            </w:pPr>
            <w:r w:rsidRPr="00E01239">
              <w:rPr>
                <w:rFonts w:asciiTheme="minorHAnsi" w:hAnsiTheme="minorHAnsi" w:cstheme="minorHAnsi"/>
                <w:b/>
                <w:bCs/>
                <w:sz w:val="22"/>
                <w:szCs w:val="22"/>
                <w:lang w:bidi="fr-FR"/>
              </w:rPr>
              <w:t>Impacts E&amp;S Positifs</w:t>
            </w:r>
          </w:p>
        </w:tc>
        <w:tc>
          <w:tcPr>
            <w:tcW w:w="963" w:type="pct"/>
            <w:shd w:val="clear" w:color="auto" w:fill="1F3864" w:themeFill="accent5" w:themeFillShade="80"/>
            <w:vAlign w:val="center"/>
          </w:tcPr>
          <w:p w14:paraId="2207966C" w14:textId="77777777" w:rsidR="00EB49B1" w:rsidRPr="00E01239" w:rsidRDefault="00EB49B1" w:rsidP="00202CE9">
            <w:pPr>
              <w:jc w:val="center"/>
              <w:rPr>
                <w:rFonts w:asciiTheme="minorHAnsi" w:hAnsiTheme="minorHAnsi" w:cstheme="minorHAnsi"/>
                <w:b/>
                <w:bCs/>
                <w:sz w:val="22"/>
                <w:szCs w:val="22"/>
                <w:lang w:bidi="fr-FR"/>
              </w:rPr>
            </w:pPr>
            <w:r w:rsidRPr="00E01239">
              <w:rPr>
                <w:rFonts w:asciiTheme="minorHAnsi" w:hAnsiTheme="minorHAnsi" w:cstheme="minorHAnsi"/>
                <w:b/>
                <w:bCs/>
                <w:sz w:val="22"/>
                <w:szCs w:val="22"/>
                <w:lang w:bidi="fr-FR"/>
              </w:rPr>
              <w:t>Impacts E&amp;S négatifs</w:t>
            </w:r>
          </w:p>
        </w:tc>
      </w:tr>
      <w:tr w:rsidR="00EB49B1" w:rsidRPr="00E01239" w14:paraId="2238F130" w14:textId="77777777" w:rsidTr="008C0C70">
        <w:trPr>
          <w:trHeight w:val="2120"/>
          <w:jc w:val="center"/>
        </w:trPr>
        <w:tc>
          <w:tcPr>
            <w:tcW w:w="1038" w:type="pct"/>
            <w:vAlign w:val="center"/>
          </w:tcPr>
          <w:p w14:paraId="7D297227" w14:textId="77777777" w:rsidR="00EB49B1" w:rsidRPr="00E01239" w:rsidRDefault="00EB49B1" w:rsidP="001D267F">
            <w:pPr>
              <w:jc w:val="both"/>
              <w:rPr>
                <w:rFonts w:asciiTheme="minorHAnsi" w:hAnsiTheme="minorHAnsi" w:cstheme="minorHAnsi"/>
                <w:sz w:val="22"/>
                <w:szCs w:val="22"/>
                <w:lang w:bidi="fr-FR"/>
              </w:rPr>
            </w:pPr>
            <w:r w:rsidRPr="00E01239">
              <w:rPr>
                <w:rFonts w:asciiTheme="minorHAnsi" w:hAnsiTheme="minorHAnsi" w:cstheme="minorHAnsi"/>
                <w:sz w:val="22"/>
                <w:szCs w:val="22"/>
              </w:rPr>
              <w:t>Système gravitaire à ciel ouvert avec transport de l’eau dans les canaux en</w:t>
            </w:r>
            <w:r w:rsidRPr="00E01239">
              <w:rPr>
                <w:rFonts w:asciiTheme="minorHAnsi" w:hAnsiTheme="minorHAnsi" w:cstheme="minorHAnsi"/>
                <w:spacing w:val="-2"/>
                <w:sz w:val="22"/>
                <w:szCs w:val="22"/>
              </w:rPr>
              <w:t xml:space="preserve"> </w:t>
            </w:r>
            <w:r w:rsidRPr="00E01239">
              <w:rPr>
                <w:rFonts w:asciiTheme="minorHAnsi" w:hAnsiTheme="minorHAnsi" w:cstheme="minorHAnsi"/>
                <w:sz w:val="22"/>
                <w:szCs w:val="22"/>
              </w:rPr>
              <w:t>terre</w:t>
            </w:r>
          </w:p>
        </w:tc>
        <w:tc>
          <w:tcPr>
            <w:tcW w:w="970" w:type="pct"/>
            <w:vAlign w:val="center"/>
          </w:tcPr>
          <w:p w14:paraId="3A0D37F5" w14:textId="475BE83F"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Système adapté à la configuration topographique </w:t>
            </w:r>
            <w:r w:rsidR="00BF0ECD" w:rsidRPr="00E01239">
              <w:rPr>
                <w:rFonts w:asciiTheme="minorHAnsi" w:hAnsiTheme="minorHAnsi" w:cstheme="minorHAnsi"/>
                <w:sz w:val="22"/>
                <w:szCs w:val="22"/>
                <w:lang w:bidi="fr-FR"/>
              </w:rPr>
              <w:t>des milieux selon leur structure altimétrique</w:t>
            </w:r>
          </w:p>
          <w:p w14:paraId="28287A29"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Nécessite des opérations annuelles d’entretien des canaux en terre</w:t>
            </w:r>
          </w:p>
          <w:p w14:paraId="33E34DAA"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Productivité élevée</w:t>
            </w:r>
          </w:p>
        </w:tc>
        <w:tc>
          <w:tcPr>
            <w:tcW w:w="1066" w:type="pct"/>
            <w:vAlign w:val="center"/>
          </w:tcPr>
          <w:p w14:paraId="32273346"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Coûts d’investissement maitrisés car ne nécessitant pas l’utilisation de béton pour les canaux</w:t>
            </w:r>
          </w:p>
          <w:p w14:paraId="24E6C6F8"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Faibles coûts d’exploitation car ne nécessitant pas de charges énergétiques</w:t>
            </w:r>
          </w:p>
        </w:tc>
        <w:tc>
          <w:tcPr>
            <w:tcW w:w="963" w:type="pct"/>
            <w:vAlign w:val="center"/>
          </w:tcPr>
          <w:p w14:paraId="446BD6F5"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Rendements productifs élevés</w:t>
            </w:r>
          </w:p>
          <w:p w14:paraId="78225E0D"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Maitrise de l’eau d’irrigation</w:t>
            </w:r>
          </w:p>
          <w:p w14:paraId="597F0BE3"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Création d’emplois</w:t>
            </w:r>
          </w:p>
        </w:tc>
        <w:tc>
          <w:tcPr>
            <w:tcW w:w="963" w:type="pct"/>
            <w:vAlign w:val="center"/>
          </w:tcPr>
          <w:p w14:paraId="79F7E458"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Restrictions d’accès pour le bétail</w:t>
            </w:r>
          </w:p>
          <w:p w14:paraId="35FFFEDA"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Pertes d’aires naturelles au profit des aménagements</w:t>
            </w:r>
          </w:p>
          <w:p w14:paraId="38E0C6D7"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Risques de pollution des eaux de surface</w:t>
            </w:r>
          </w:p>
        </w:tc>
      </w:tr>
      <w:tr w:rsidR="00EB49B1" w:rsidRPr="00E01239" w14:paraId="0BC7241B" w14:textId="77777777" w:rsidTr="008C0C70">
        <w:trPr>
          <w:trHeight w:val="1555"/>
          <w:jc w:val="center"/>
        </w:trPr>
        <w:tc>
          <w:tcPr>
            <w:tcW w:w="1038" w:type="pct"/>
            <w:vAlign w:val="center"/>
          </w:tcPr>
          <w:p w14:paraId="7D89720F" w14:textId="77777777" w:rsidR="00EB49B1" w:rsidRPr="00E01239" w:rsidRDefault="00EB49B1" w:rsidP="001D267F">
            <w:pPr>
              <w:jc w:val="both"/>
              <w:rPr>
                <w:rFonts w:asciiTheme="minorHAnsi" w:hAnsiTheme="minorHAnsi" w:cstheme="minorHAnsi"/>
                <w:sz w:val="22"/>
                <w:szCs w:val="22"/>
                <w:lang w:bidi="fr-FR"/>
              </w:rPr>
            </w:pPr>
            <w:r w:rsidRPr="00E01239">
              <w:rPr>
                <w:rFonts w:asciiTheme="minorHAnsi" w:hAnsiTheme="minorHAnsi" w:cstheme="minorHAnsi"/>
                <w:sz w:val="22"/>
                <w:szCs w:val="22"/>
              </w:rPr>
              <w:t>Système gravitaire à ciel ouvert avec transport de l’eau dans les canaux revêtus en</w:t>
            </w:r>
            <w:r w:rsidRPr="00E01239">
              <w:rPr>
                <w:rFonts w:asciiTheme="minorHAnsi" w:hAnsiTheme="minorHAnsi" w:cstheme="minorHAnsi"/>
                <w:spacing w:val="-3"/>
                <w:sz w:val="22"/>
                <w:szCs w:val="22"/>
              </w:rPr>
              <w:t xml:space="preserve"> </w:t>
            </w:r>
            <w:r w:rsidRPr="00E01239">
              <w:rPr>
                <w:rFonts w:asciiTheme="minorHAnsi" w:hAnsiTheme="minorHAnsi" w:cstheme="minorHAnsi"/>
                <w:sz w:val="22"/>
                <w:szCs w:val="22"/>
              </w:rPr>
              <w:t>béton</w:t>
            </w:r>
          </w:p>
        </w:tc>
        <w:tc>
          <w:tcPr>
            <w:tcW w:w="970" w:type="pct"/>
            <w:vAlign w:val="center"/>
          </w:tcPr>
          <w:p w14:paraId="1CE9AF6C" w14:textId="3F654FF6"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Système adapté à la configuration topographique </w:t>
            </w:r>
            <w:r w:rsidR="00BF0ECD" w:rsidRPr="00E01239">
              <w:rPr>
                <w:rFonts w:asciiTheme="minorHAnsi" w:hAnsiTheme="minorHAnsi" w:cstheme="minorHAnsi"/>
                <w:sz w:val="22"/>
                <w:szCs w:val="22"/>
                <w:lang w:bidi="fr-FR"/>
              </w:rPr>
              <w:t>des milieux selon leur configuration topographique</w:t>
            </w:r>
          </w:p>
        </w:tc>
        <w:tc>
          <w:tcPr>
            <w:tcW w:w="1066" w:type="pct"/>
            <w:vAlign w:val="center"/>
          </w:tcPr>
          <w:p w14:paraId="4BFB9362"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Coûts d’investissement élevés car nécessitant l’utilisation de béton pour les canaux</w:t>
            </w:r>
          </w:p>
          <w:p w14:paraId="0D51E594"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Faibles coûts d’exploitation car ne nécessitant pas de charges énergétiques</w:t>
            </w:r>
          </w:p>
        </w:tc>
        <w:tc>
          <w:tcPr>
            <w:tcW w:w="963" w:type="pct"/>
            <w:vAlign w:val="center"/>
          </w:tcPr>
          <w:p w14:paraId="19E1237A"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Rendements productifs élevés</w:t>
            </w:r>
          </w:p>
          <w:p w14:paraId="6D1AC873"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Maitrise de l’eau d’irrigation</w:t>
            </w:r>
          </w:p>
          <w:p w14:paraId="3788C868"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Création d’emplois</w:t>
            </w:r>
          </w:p>
        </w:tc>
        <w:tc>
          <w:tcPr>
            <w:tcW w:w="963" w:type="pct"/>
            <w:vAlign w:val="center"/>
          </w:tcPr>
          <w:p w14:paraId="157D1586"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Restrictions d’accès pour le bétail</w:t>
            </w:r>
          </w:p>
          <w:p w14:paraId="7AAF840D"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Pertes d’aires naturelles au profit des aménagements</w:t>
            </w:r>
          </w:p>
          <w:p w14:paraId="3A69E6C7"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Risques de pollution des eaux de surface</w:t>
            </w:r>
          </w:p>
        </w:tc>
      </w:tr>
      <w:tr w:rsidR="00EB49B1" w:rsidRPr="00E01239" w14:paraId="1D287CF8" w14:textId="77777777" w:rsidTr="008C0C70">
        <w:trPr>
          <w:trHeight w:val="1114"/>
          <w:jc w:val="center"/>
        </w:trPr>
        <w:tc>
          <w:tcPr>
            <w:tcW w:w="1038" w:type="pct"/>
            <w:vAlign w:val="center"/>
          </w:tcPr>
          <w:p w14:paraId="71C0E20B" w14:textId="77777777" w:rsidR="00EB49B1" w:rsidRPr="00E01239" w:rsidRDefault="00EB49B1" w:rsidP="001D267F">
            <w:pPr>
              <w:jc w:val="both"/>
              <w:rPr>
                <w:rFonts w:asciiTheme="minorHAnsi" w:hAnsiTheme="minorHAnsi" w:cstheme="minorHAnsi"/>
                <w:sz w:val="22"/>
                <w:szCs w:val="22"/>
                <w:lang w:bidi="fr-FR"/>
              </w:rPr>
            </w:pPr>
            <w:r w:rsidRPr="00E01239">
              <w:rPr>
                <w:rFonts w:asciiTheme="minorHAnsi" w:hAnsiTheme="minorHAnsi" w:cstheme="minorHAnsi"/>
                <w:sz w:val="22"/>
                <w:szCs w:val="22"/>
              </w:rPr>
              <w:t>Système</w:t>
            </w:r>
            <w:r w:rsidRPr="00E01239">
              <w:rPr>
                <w:rFonts w:asciiTheme="minorHAnsi" w:hAnsiTheme="minorHAnsi" w:cstheme="minorHAnsi"/>
                <w:sz w:val="22"/>
                <w:szCs w:val="22"/>
              </w:rPr>
              <w:tab/>
              <w:t>Californien en basse pression transportant l’eau dans les canalisations fermées</w:t>
            </w:r>
          </w:p>
        </w:tc>
        <w:tc>
          <w:tcPr>
            <w:tcW w:w="970" w:type="pct"/>
            <w:vAlign w:val="center"/>
          </w:tcPr>
          <w:p w14:paraId="0FACAFB8" w14:textId="46548449"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Adapté aux productions horticoles et maraichères développées dans </w:t>
            </w:r>
            <w:r w:rsidR="00BF0ECD" w:rsidRPr="00E01239">
              <w:rPr>
                <w:rFonts w:asciiTheme="minorHAnsi" w:hAnsiTheme="minorHAnsi" w:cstheme="minorHAnsi"/>
                <w:sz w:val="22"/>
                <w:szCs w:val="22"/>
                <w:lang w:bidi="fr-FR"/>
              </w:rPr>
              <w:t>les zones d’intervention du FSRP-SN</w:t>
            </w:r>
          </w:p>
          <w:p w14:paraId="6EDDD2B9"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Non adapté à la production rizicole</w:t>
            </w:r>
          </w:p>
          <w:p w14:paraId="4EE9FBD7"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Maintenance requérant une main d’œuvre qualifiée</w:t>
            </w:r>
          </w:p>
        </w:tc>
        <w:tc>
          <w:tcPr>
            <w:tcW w:w="1066" w:type="pct"/>
            <w:vAlign w:val="center"/>
          </w:tcPr>
          <w:p w14:paraId="016F5208"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Coûts de maintenance et d’entretien relativement faible ;</w:t>
            </w:r>
          </w:p>
          <w:p w14:paraId="26AAB81A"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Coûts d’investissements initiaux relativement élevés ; </w:t>
            </w:r>
          </w:p>
          <w:p w14:paraId="7E6583F3"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Systèmes moins maîtrisés par les irrigants ;</w:t>
            </w:r>
          </w:p>
        </w:tc>
        <w:tc>
          <w:tcPr>
            <w:tcW w:w="963" w:type="pct"/>
            <w:vAlign w:val="center"/>
          </w:tcPr>
          <w:p w14:paraId="17840A10"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Rendements productifs élevés</w:t>
            </w:r>
          </w:p>
          <w:p w14:paraId="3F82BE96"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Maitrise de l’eau d’irrigation</w:t>
            </w:r>
          </w:p>
          <w:p w14:paraId="15D651DE"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Maitrise des coûts de l’eau dans le plan d’affaires des producteurs</w:t>
            </w:r>
          </w:p>
        </w:tc>
        <w:tc>
          <w:tcPr>
            <w:tcW w:w="963" w:type="pct"/>
            <w:vAlign w:val="center"/>
          </w:tcPr>
          <w:p w14:paraId="5A0F6F2A"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Salinisation des sols avec l’absence de drainage des eaux</w:t>
            </w:r>
          </w:p>
        </w:tc>
      </w:tr>
      <w:tr w:rsidR="00EB49B1" w:rsidRPr="00E01239" w14:paraId="12AD3916" w14:textId="77777777" w:rsidTr="008C0C70">
        <w:trPr>
          <w:trHeight w:val="988"/>
          <w:jc w:val="center"/>
        </w:trPr>
        <w:tc>
          <w:tcPr>
            <w:tcW w:w="1038" w:type="pct"/>
            <w:vAlign w:val="center"/>
          </w:tcPr>
          <w:p w14:paraId="354F0059" w14:textId="77777777" w:rsidR="00EB49B1" w:rsidRPr="00E01239" w:rsidRDefault="00EB49B1" w:rsidP="001D267F">
            <w:pPr>
              <w:jc w:val="both"/>
              <w:rPr>
                <w:rFonts w:asciiTheme="minorHAnsi" w:hAnsiTheme="minorHAnsi" w:cstheme="minorHAnsi"/>
                <w:sz w:val="22"/>
                <w:szCs w:val="22"/>
                <w:lang w:bidi="fr-FR"/>
              </w:rPr>
            </w:pPr>
            <w:r w:rsidRPr="00E01239">
              <w:rPr>
                <w:rFonts w:asciiTheme="minorHAnsi" w:hAnsiTheme="minorHAnsi" w:cstheme="minorHAnsi"/>
                <w:sz w:val="22"/>
                <w:szCs w:val="22"/>
              </w:rPr>
              <w:lastRenderedPageBreak/>
              <w:t>Système d’aspersion sous pression transportant l’eau dans les canalisations</w:t>
            </w:r>
            <w:r w:rsidRPr="00E01239">
              <w:rPr>
                <w:rFonts w:asciiTheme="minorHAnsi" w:hAnsiTheme="minorHAnsi" w:cstheme="minorHAnsi"/>
                <w:spacing w:val="-3"/>
                <w:sz w:val="22"/>
                <w:szCs w:val="22"/>
              </w:rPr>
              <w:t xml:space="preserve"> </w:t>
            </w:r>
            <w:r w:rsidRPr="00E01239">
              <w:rPr>
                <w:rFonts w:asciiTheme="minorHAnsi" w:hAnsiTheme="minorHAnsi" w:cstheme="minorHAnsi"/>
                <w:sz w:val="22"/>
                <w:szCs w:val="22"/>
              </w:rPr>
              <w:t>fermées</w:t>
            </w:r>
          </w:p>
        </w:tc>
        <w:tc>
          <w:tcPr>
            <w:tcW w:w="970" w:type="pct"/>
            <w:vAlign w:val="center"/>
          </w:tcPr>
          <w:p w14:paraId="563D98AE" w14:textId="3363AC60" w:rsidR="00BF0ECD"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Adapté aux productions horticoles et maraichères développées </w:t>
            </w:r>
            <w:r w:rsidR="00BF0ECD" w:rsidRPr="00E01239">
              <w:rPr>
                <w:rFonts w:asciiTheme="minorHAnsi" w:hAnsiTheme="minorHAnsi" w:cstheme="minorHAnsi"/>
                <w:sz w:val="22"/>
                <w:szCs w:val="22"/>
                <w:lang w:bidi="fr-FR"/>
              </w:rPr>
              <w:t>dans les zones d’intervention du FSRP-SN</w:t>
            </w:r>
          </w:p>
          <w:p w14:paraId="04C67946"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Non adapté à la production rizicole</w:t>
            </w:r>
          </w:p>
          <w:p w14:paraId="4D271918"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Maintenance requérant une main d’œuvre qualifiée</w:t>
            </w:r>
          </w:p>
        </w:tc>
        <w:tc>
          <w:tcPr>
            <w:tcW w:w="1066" w:type="pct"/>
            <w:vAlign w:val="center"/>
          </w:tcPr>
          <w:p w14:paraId="6FFA7D11"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Coûts de maintenance et d’entretien relativement faible ;</w:t>
            </w:r>
          </w:p>
          <w:p w14:paraId="779CDCB9"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Coûts d’investissements initiaux relativement élevés ; </w:t>
            </w:r>
          </w:p>
          <w:p w14:paraId="57CCA69B"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Systèmes moins maîtrisés par les irrigants ;</w:t>
            </w:r>
          </w:p>
        </w:tc>
        <w:tc>
          <w:tcPr>
            <w:tcW w:w="963" w:type="pct"/>
            <w:vAlign w:val="center"/>
          </w:tcPr>
          <w:p w14:paraId="61207CD2"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Rendements productifs élevés</w:t>
            </w:r>
          </w:p>
          <w:p w14:paraId="36616F70"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Maitrise de l’eau d’irrigation</w:t>
            </w:r>
          </w:p>
          <w:p w14:paraId="52FCEBC9"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Maitrise des coûts de l’eau dans le plan d’affaires des producteurs</w:t>
            </w:r>
          </w:p>
        </w:tc>
        <w:tc>
          <w:tcPr>
            <w:tcW w:w="963" w:type="pct"/>
            <w:vAlign w:val="center"/>
          </w:tcPr>
          <w:p w14:paraId="4BEE5E87"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Salinisation des sols avec l’absence de drainage des eaux</w:t>
            </w:r>
          </w:p>
        </w:tc>
      </w:tr>
      <w:tr w:rsidR="00EB49B1" w:rsidRPr="00E01239" w14:paraId="2F7504CC" w14:textId="77777777" w:rsidTr="008C0C70">
        <w:trPr>
          <w:trHeight w:val="987"/>
          <w:jc w:val="center"/>
        </w:trPr>
        <w:tc>
          <w:tcPr>
            <w:tcW w:w="1038" w:type="pct"/>
            <w:vAlign w:val="center"/>
          </w:tcPr>
          <w:p w14:paraId="1A73C4E1" w14:textId="77777777" w:rsidR="00EB49B1" w:rsidRPr="00E01239" w:rsidRDefault="00EB49B1" w:rsidP="00A1305E">
            <w:pPr>
              <w:jc w:val="both"/>
              <w:rPr>
                <w:rFonts w:asciiTheme="minorHAnsi" w:hAnsiTheme="minorHAnsi" w:cstheme="minorHAnsi"/>
                <w:sz w:val="22"/>
                <w:szCs w:val="22"/>
                <w:lang w:bidi="fr-FR"/>
              </w:rPr>
            </w:pPr>
            <w:r w:rsidRPr="00E01239">
              <w:rPr>
                <w:rFonts w:asciiTheme="minorHAnsi" w:hAnsiTheme="minorHAnsi" w:cstheme="minorHAnsi"/>
                <w:sz w:val="22"/>
                <w:szCs w:val="22"/>
              </w:rPr>
              <w:t>Système goutte à goutte sous pression avec transport de l’eau dans les canalisations</w:t>
            </w:r>
          </w:p>
        </w:tc>
        <w:tc>
          <w:tcPr>
            <w:tcW w:w="970" w:type="pct"/>
            <w:vAlign w:val="center"/>
          </w:tcPr>
          <w:p w14:paraId="6654B4F1"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Adapté aux productions horticoles et maraichères développées dans la zone</w:t>
            </w:r>
          </w:p>
          <w:p w14:paraId="5AAE6D26"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Non adapté à la production rizicole</w:t>
            </w:r>
          </w:p>
          <w:p w14:paraId="709E1E59"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Maintenance requérant une main d’œuvre qualifiée</w:t>
            </w:r>
          </w:p>
        </w:tc>
        <w:tc>
          <w:tcPr>
            <w:tcW w:w="1066" w:type="pct"/>
            <w:vAlign w:val="center"/>
          </w:tcPr>
          <w:p w14:paraId="7CFF2A79"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Coûts de maintenance et d’entretien relativement faible ;</w:t>
            </w:r>
          </w:p>
          <w:p w14:paraId="640D64C2"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Coûts d’investissements initiaux relativement élevés ; </w:t>
            </w:r>
          </w:p>
          <w:p w14:paraId="70DF499B"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Systèmes moins maîtrisés par les irrigants ;</w:t>
            </w:r>
          </w:p>
        </w:tc>
        <w:tc>
          <w:tcPr>
            <w:tcW w:w="963" w:type="pct"/>
            <w:vAlign w:val="center"/>
          </w:tcPr>
          <w:p w14:paraId="4117A510"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Rendements productifs élevés</w:t>
            </w:r>
          </w:p>
          <w:p w14:paraId="43242410"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Maitrise de l’eau d’irrigation</w:t>
            </w:r>
          </w:p>
          <w:p w14:paraId="5C885E11"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Maitrise des coûts de l’eau dans le plan d’affaires des producteurs</w:t>
            </w:r>
          </w:p>
        </w:tc>
        <w:tc>
          <w:tcPr>
            <w:tcW w:w="963" w:type="pct"/>
            <w:vAlign w:val="center"/>
          </w:tcPr>
          <w:p w14:paraId="768D8D5C"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Salinisation des sols avec l’absence de drainage des eaux</w:t>
            </w:r>
          </w:p>
        </w:tc>
      </w:tr>
      <w:tr w:rsidR="00EB49B1" w:rsidRPr="00E01239" w14:paraId="1895C697" w14:textId="77777777" w:rsidTr="008C0C70">
        <w:trPr>
          <w:trHeight w:val="1508"/>
          <w:jc w:val="center"/>
        </w:trPr>
        <w:tc>
          <w:tcPr>
            <w:tcW w:w="1038" w:type="pct"/>
            <w:vAlign w:val="center"/>
          </w:tcPr>
          <w:p w14:paraId="3745E20C" w14:textId="77777777" w:rsidR="00EB49B1" w:rsidRPr="00E01239" w:rsidRDefault="00EB49B1" w:rsidP="001D267F">
            <w:pPr>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Submersion Contrôlée</w:t>
            </w:r>
          </w:p>
        </w:tc>
        <w:tc>
          <w:tcPr>
            <w:tcW w:w="970" w:type="pct"/>
            <w:vAlign w:val="center"/>
          </w:tcPr>
          <w:p w14:paraId="0EFDBB55" w14:textId="395B27CF"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Forte dépendance aux crues </w:t>
            </w:r>
            <w:r w:rsidR="00BF0ECD" w:rsidRPr="00E01239">
              <w:rPr>
                <w:rFonts w:asciiTheme="minorHAnsi" w:hAnsiTheme="minorHAnsi" w:cstheme="minorHAnsi"/>
                <w:sz w:val="22"/>
                <w:szCs w:val="22"/>
                <w:lang w:bidi="fr-FR"/>
              </w:rPr>
              <w:t>des eaux de surface</w:t>
            </w:r>
          </w:p>
          <w:p w14:paraId="37085E9B"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Forte vulnérabilité par rapport aux CC</w:t>
            </w:r>
          </w:p>
        </w:tc>
        <w:tc>
          <w:tcPr>
            <w:tcW w:w="1066" w:type="pct"/>
            <w:vAlign w:val="center"/>
          </w:tcPr>
          <w:p w14:paraId="57223906"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Coûts d’investissement moins onéreux que les techniques de maitrise totale notamment en termes de coûts énergétiques et de coûts de terrassement</w:t>
            </w:r>
          </w:p>
          <w:p w14:paraId="56F2776A"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Technique moins rentable pour le producteur en raison de coûts élevés de mobilisation de l’eau</w:t>
            </w:r>
          </w:p>
        </w:tc>
        <w:tc>
          <w:tcPr>
            <w:tcW w:w="963" w:type="pct"/>
            <w:vAlign w:val="center"/>
          </w:tcPr>
          <w:p w14:paraId="2EDC0E5A"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Productions moins importantes</w:t>
            </w:r>
          </w:p>
        </w:tc>
        <w:tc>
          <w:tcPr>
            <w:tcW w:w="963" w:type="pct"/>
            <w:vAlign w:val="center"/>
          </w:tcPr>
          <w:p w14:paraId="4B1F5B4D"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Infestation par les adventices</w:t>
            </w:r>
          </w:p>
          <w:p w14:paraId="0CFE7331" w14:textId="77777777" w:rsidR="00EB49B1" w:rsidRPr="00E01239" w:rsidRDefault="00EB49B1" w:rsidP="00027669">
            <w:pPr>
              <w:pStyle w:val="Paragraphedeliste"/>
              <w:numPr>
                <w:ilvl w:val="0"/>
                <w:numId w:val="125"/>
              </w:numPr>
              <w:ind w:left="167" w:hanging="16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Pertes de revenus pour les producteurs en cas de baisse des crues</w:t>
            </w:r>
          </w:p>
        </w:tc>
      </w:tr>
    </w:tbl>
    <w:p w14:paraId="44F053A4" w14:textId="77777777" w:rsidR="00EB49B1" w:rsidRPr="00E01239" w:rsidRDefault="00EB49B1" w:rsidP="00EB49B1">
      <w:pPr>
        <w:jc w:val="both"/>
        <w:rPr>
          <w:rFonts w:asciiTheme="minorHAnsi" w:hAnsiTheme="minorHAnsi" w:cstheme="minorHAnsi"/>
          <w:sz w:val="22"/>
          <w:szCs w:val="22"/>
          <w:lang w:bidi="fr-FR"/>
        </w:rPr>
      </w:pPr>
    </w:p>
    <w:p w14:paraId="52C58AAD"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sectPr w:rsidR="00EB49B1" w:rsidRPr="00E01239" w:rsidSect="008C0C70">
          <w:pgSz w:w="15840" w:h="12240" w:orient="landscape"/>
          <w:pgMar w:top="1418" w:right="1418" w:bottom="1418" w:left="1418" w:header="709" w:footer="709" w:gutter="0"/>
          <w:cols w:space="708"/>
          <w:docGrid w:linePitch="360"/>
        </w:sectPr>
      </w:pPr>
    </w:p>
    <w:p w14:paraId="7F65EF5A" w14:textId="0DF650F4" w:rsidR="00EB49B1" w:rsidRPr="00E01239" w:rsidRDefault="00EB49B1"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lastRenderedPageBreak/>
        <w:t>En résumé, l’analyse des alternatives liées aux aménagements hydroagricoles permet d’identifier trois variantes envisageables : « Ne rien Faire »</w:t>
      </w:r>
      <w:r w:rsidR="00BF0ECD" w:rsidRPr="00E01239">
        <w:rPr>
          <w:rFonts w:asciiTheme="minorHAnsi" w:hAnsiTheme="minorHAnsi" w:cstheme="minorHAnsi"/>
          <w:sz w:val="22"/>
          <w:szCs w:val="22"/>
          <w:lang w:bidi="fr-FR"/>
        </w:rPr>
        <w:t xml:space="preserve"> et la</w:t>
      </w:r>
      <w:r w:rsidRPr="00E01239">
        <w:rPr>
          <w:rFonts w:asciiTheme="minorHAnsi" w:hAnsiTheme="minorHAnsi" w:cstheme="minorHAnsi"/>
          <w:sz w:val="22"/>
          <w:szCs w:val="22"/>
          <w:lang w:bidi="fr-FR"/>
        </w:rPr>
        <w:t xml:space="preserve"> « Maitrise totale de l’eau »</w:t>
      </w:r>
      <w:r w:rsidR="00BF0ECD" w:rsidRPr="00E01239">
        <w:rPr>
          <w:rFonts w:asciiTheme="minorHAnsi" w:hAnsiTheme="minorHAnsi" w:cstheme="minorHAnsi"/>
          <w:sz w:val="22"/>
          <w:szCs w:val="22"/>
          <w:lang w:bidi="fr-FR"/>
        </w:rPr>
        <w:t>.</w:t>
      </w:r>
      <w:r w:rsidRPr="00E01239">
        <w:rPr>
          <w:rFonts w:asciiTheme="minorHAnsi" w:hAnsiTheme="minorHAnsi" w:cstheme="minorHAnsi"/>
          <w:sz w:val="22"/>
          <w:szCs w:val="22"/>
          <w:lang w:bidi="fr-FR"/>
        </w:rPr>
        <w:t xml:space="preserve"> </w:t>
      </w:r>
    </w:p>
    <w:p w14:paraId="049C4E1A" w14:textId="1D8363C9" w:rsidR="00EB49B1" w:rsidRPr="00E01239" w:rsidRDefault="231B02C2" w:rsidP="7CB1727A">
      <w:pPr>
        <w:spacing w:before="120" w:line="280" w:lineRule="exact"/>
        <w:jc w:val="both"/>
        <w:rPr>
          <w:rFonts w:asciiTheme="minorHAnsi" w:hAnsiTheme="minorHAnsi" w:cstheme="minorBidi"/>
          <w:sz w:val="22"/>
          <w:szCs w:val="22"/>
          <w:lang w:bidi="fr-FR"/>
        </w:rPr>
      </w:pPr>
      <w:r w:rsidRPr="00E01239">
        <w:rPr>
          <w:rFonts w:asciiTheme="minorHAnsi" w:hAnsiTheme="minorHAnsi" w:cstheme="minorBidi"/>
          <w:b/>
          <w:bCs/>
          <w:sz w:val="22"/>
          <w:szCs w:val="22"/>
          <w:lang w:bidi="fr-FR"/>
        </w:rPr>
        <w:t>L’alternative « ne rien faire »</w:t>
      </w:r>
      <w:r w:rsidRPr="00E01239">
        <w:rPr>
          <w:rFonts w:asciiTheme="minorHAnsi" w:hAnsiTheme="minorHAnsi" w:cstheme="minorBidi"/>
          <w:sz w:val="22"/>
          <w:szCs w:val="22"/>
          <w:lang w:bidi="fr-FR"/>
        </w:rPr>
        <w:t xml:space="preserve"> revient à maintenir la situation actuelle se caractérisant par une prédominance des aménagements </w:t>
      </w:r>
      <w:r w:rsidR="70D6F761" w:rsidRPr="00E01239">
        <w:rPr>
          <w:rFonts w:asciiTheme="minorHAnsi" w:hAnsiTheme="minorHAnsi" w:cstheme="minorBidi"/>
          <w:sz w:val="22"/>
          <w:szCs w:val="22"/>
          <w:lang w:bidi="fr-FR"/>
        </w:rPr>
        <w:t>à faibles rendements</w:t>
      </w:r>
      <w:r w:rsidRPr="00E01239">
        <w:rPr>
          <w:rFonts w:asciiTheme="minorHAnsi" w:hAnsiTheme="minorHAnsi" w:cstheme="minorBidi"/>
          <w:sz w:val="22"/>
          <w:szCs w:val="22"/>
          <w:lang w:bidi="fr-FR"/>
        </w:rPr>
        <w:t xml:space="preserve">. Le maintien en l’état de cette situation ne favorise pas le développement du secteur agro sylvopastoral dans la zone d’intervention </w:t>
      </w:r>
      <w:r w:rsidR="70D6F761" w:rsidRPr="00E01239">
        <w:rPr>
          <w:rFonts w:asciiTheme="minorHAnsi" w:hAnsiTheme="minorHAnsi" w:cstheme="minorBidi"/>
          <w:sz w:val="22"/>
          <w:szCs w:val="22"/>
          <w:lang w:bidi="fr-FR"/>
        </w:rPr>
        <w:t>du FSRP-SN</w:t>
      </w:r>
      <w:r w:rsidRPr="00E01239">
        <w:rPr>
          <w:rFonts w:asciiTheme="minorHAnsi" w:hAnsiTheme="minorHAnsi" w:cstheme="minorBidi"/>
          <w:sz w:val="22"/>
          <w:szCs w:val="22"/>
          <w:lang w:bidi="fr-FR"/>
        </w:rPr>
        <w:t xml:space="preserve">. En effet, ces aménagements sont très vulnérables aux changements climatiques et sont fortement dépendants des crues </w:t>
      </w:r>
      <w:r w:rsidR="70D6F761" w:rsidRPr="00E01239">
        <w:rPr>
          <w:rFonts w:asciiTheme="minorHAnsi" w:hAnsiTheme="minorHAnsi" w:cstheme="minorBidi"/>
          <w:sz w:val="22"/>
          <w:szCs w:val="22"/>
          <w:lang w:bidi="fr-FR"/>
        </w:rPr>
        <w:t>des eaux de surface.</w:t>
      </w:r>
      <w:r w:rsidRPr="00E01239">
        <w:rPr>
          <w:rFonts w:asciiTheme="minorHAnsi" w:hAnsiTheme="minorHAnsi" w:cstheme="minorBidi"/>
          <w:sz w:val="22"/>
          <w:szCs w:val="22"/>
          <w:lang w:bidi="fr-FR"/>
        </w:rPr>
        <w:t xml:space="preserve"> L’alternative « ne rien faire » aura donc comme principales problématiques certes de maintenir les équilibres écologiques actuels mais également la pollution des sols et des eaux par les eaux de drainage agricoles, les conflits d’usage autour des ressources en eau, les tensions entre agriculteurs et éleveurs et la forte prévalence aux maladies diarrhéiques liée à l’utilisation d’eau non potable. </w:t>
      </w:r>
    </w:p>
    <w:p w14:paraId="4D576044" w14:textId="11D8C023" w:rsidR="00EB49B1" w:rsidRPr="00E01239" w:rsidRDefault="00EB49B1"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b/>
          <w:sz w:val="22"/>
          <w:szCs w:val="22"/>
          <w:lang w:bidi="fr-FR"/>
        </w:rPr>
        <w:t>L’alternative maitrise totale de l’eau </w:t>
      </w:r>
      <w:r w:rsidRPr="00E01239">
        <w:rPr>
          <w:rFonts w:asciiTheme="minorHAnsi" w:hAnsiTheme="minorHAnsi" w:cstheme="minorHAnsi"/>
          <w:sz w:val="22"/>
          <w:szCs w:val="22"/>
          <w:lang w:bidi="fr-FR"/>
        </w:rPr>
        <w:t xml:space="preserve">s’avère être la meilleure option sur le plan de la faisabilité technique en ce sens qu’elle permet de renforcer et d’augmenter la productivité et la production agricole, l’atteinte de l’autosuffisance alimentaire dans la zone </w:t>
      </w:r>
      <w:r w:rsidR="00C602C7" w:rsidRPr="00E01239">
        <w:rPr>
          <w:rFonts w:asciiTheme="minorHAnsi" w:hAnsiTheme="minorHAnsi" w:cstheme="minorHAnsi"/>
          <w:sz w:val="22"/>
          <w:szCs w:val="22"/>
          <w:lang w:bidi="fr-FR"/>
        </w:rPr>
        <w:t>d’intervention du FSRP-SN</w:t>
      </w:r>
      <w:r w:rsidRPr="00E01239">
        <w:rPr>
          <w:rFonts w:asciiTheme="minorHAnsi" w:hAnsiTheme="minorHAnsi" w:cstheme="minorHAnsi"/>
          <w:sz w:val="22"/>
          <w:szCs w:val="22"/>
          <w:lang w:bidi="fr-FR"/>
        </w:rPr>
        <w:t xml:space="preserve"> et la maitrise des coûts d’exploitation des aménagements par une meilleure maitrise de l’eau. </w:t>
      </w:r>
      <w:r w:rsidR="006064FB" w:rsidRPr="00E01239">
        <w:rPr>
          <w:rFonts w:asciiTheme="minorHAnsi" w:hAnsiTheme="minorHAnsi" w:cstheme="minorHAnsi"/>
          <w:sz w:val="22"/>
          <w:szCs w:val="22"/>
          <w:lang w:bidi="fr-FR"/>
        </w:rPr>
        <w:t>À la vue</w:t>
      </w:r>
      <w:r w:rsidRPr="00E01239">
        <w:rPr>
          <w:rFonts w:asciiTheme="minorHAnsi" w:hAnsiTheme="minorHAnsi" w:cstheme="minorHAnsi"/>
          <w:sz w:val="22"/>
          <w:szCs w:val="22"/>
          <w:lang w:bidi="fr-FR"/>
        </w:rPr>
        <w:t xml:space="preserve"> de ce qui précède, cette option présente les meilleures garanties de faisabilité technique, économique et de durabilité environnementale et sociale.</w:t>
      </w:r>
    </w:p>
    <w:p w14:paraId="2C14F290" w14:textId="3C6A889E" w:rsidR="00EB49B1" w:rsidRPr="00E01239" w:rsidRDefault="00EB49B1" w:rsidP="00EB49B1">
      <w:pPr>
        <w:rPr>
          <w:rFonts w:asciiTheme="minorHAnsi" w:hAnsiTheme="minorHAnsi" w:cstheme="minorHAnsi"/>
          <w:sz w:val="22"/>
          <w:szCs w:val="22"/>
          <w:lang w:bidi="fr-FR"/>
        </w:rPr>
      </w:pPr>
    </w:p>
    <w:p w14:paraId="3AAA3A55" w14:textId="6220A2BB" w:rsidR="00EB49B1" w:rsidRPr="00E01239" w:rsidRDefault="00E264FA" w:rsidP="0011733B">
      <w:pPr>
        <w:pStyle w:val="Titre3"/>
        <w:ind w:left="1276"/>
        <w:rPr>
          <w:rFonts w:asciiTheme="minorHAnsi" w:hAnsiTheme="minorHAnsi" w:cstheme="minorHAnsi"/>
        </w:rPr>
      </w:pPr>
      <w:bookmarkStart w:id="594" w:name="_Toc144654104"/>
      <w:r w:rsidRPr="00E01239">
        <w:rPr>
          <w:rFonts w:asciiTheme="minorHAnsi" w:hAnsiTheme="minorHAnsi" w:cstheme="minorHAnsi"/>
        </w:rPr>
        <w:t xml:space="preserve">Conception des </w:t>
      </w:r>
      <w:r w:rsidR="00EC2DB0" w:rsidRPr="00E01239">
        <w:rPr>
          <w:rFonts w:asciiTheme="minorHAnsi" w:hAnsiTheme="minorHAnsi" w:cstheme="minorHAnsi"/>
        </w:rPr>
        <w:t>équipements</w:t>
      </w:r>
      <w:r w:rsidRPr="00E01239">
        <w:rPr>
          <w:rFonts w:asciiTheme="minorHAnsi" w:hAnsiTheme="minorHAnsi" w:cstheme="minorHAnsi"/>
        </w:rPr>
        <w:t xml:space="preserve"> hydro et </w:t>
      </w:r>
      <w:r w:rsidR="00EC2DB0" w:rsidRPr="00E01239">
        <w:rPr>
          <w:rFonts w:asciiTheme="minorHAnsi" w:hAnsiTheme="minorHAnsi" w:cstheme="minorHAnsi"/>
        </w:rPr>
        <w:t>électromécaniques</w:t>
      </w:r>
      <w:r w:rsidR="001D267F" w:rsidRPr="00E01239">
        <w:rPr>
          <w:rFonts w:asciiTheme="minorHAnsi" w:hAnsiTheme="minorHAnsi" w:cstheme="minorHAnsi"/>
        </w:rPr>
        <w:t xml:space="preserve"> des stations de pompage et des mini-forages</w:t>
      </w:r>
      <w:bookmarkEnd w:id="594"/>
    </w:p>
    <w:p w14:paraId="2F8C9550" w14:textId="2B9C69CF"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bidi="fr-FR"/>
        </w:rPr>
        <w:t>L’augmentation des surfaces aménagées</w:t>
      </w:r>
      <w:r w:rsidR="00C602C7" w:rsidRPr="00E01239">
        <w:rPr>
          <w:rFonts w:asciiTheme="minorHAnsi" w:hAnsiTheme="minorHAnsi" w:cstheme="minorHAnsi"/>
          <w:sz w:val="22"/>
          <w:szCs w:val="22"/>
          <w:lang w:bidi="fr-FR"/>
        </w:rPr>
        <w:t xml:space="preserve"> dans le cadre du FSRP-SN</w:t>
      </w:r>
      <w:r w:rsidRPr="00E01239">
        <w:rPr>
          <w:rFonts w:asciiTheme="minorHAnsi" w:hAnsiTheme="minorHAnsi" w:cstheme="minorHAnsi"/>
          <w:sz w:val="22"/>
          <w:szCs w:val="22"/>
          <w:lang w:bidi="fr-FR"/>
        </w:rPr>
        <w:t xml:space="preserve"> nécessite le recours aux équipements électro et hydromécaniques pour l’irrigation des parcelles à partir des eaux de surface. </w:t>
      </w:r>
      <w:r w:rsidR="001D267F" w:rsidRPr="00E01239">
        <w:rPr>
          <w:rFonts w:asciiTheme="minorHAnsi" w:hAnsiTheme="minorHAnsi" w:cstheme="minorHAnsi"/>
          <w:sz w:val="22"/>
          <w:szCs w:val="22"/>
          <w:lang w:bidi="fr-FR"/>
        </w:rPr>
        <w:t xml:space="preserve">Aussi, l’aménagement de mini-forages nécessite le recours à des équipements de pompage. </w:t>
      </w:r>
      <w:r w:rsidRPr="00E01239">
        <w:rPr>
          <w:rFonts w:asciiTheme="minorHAnsi" w:hAnsiTheme="minorHAnsi" w:cstheme="minorHAnsi"/>
          <w:sz w:val="22"/>
          <w:szCs w:val="22"/>
          <w:lang w:bidi="fr-FR"/>
        </w:rPr>
        <w:t>Dans la présente section, l</w:t>
      </w:r>
      <w:r w:rsidRPr="00E01239">
        <w:rPr>
          <w:rFonts w:asciiTheme="minorHAnsi" w:hAnsiTheme="minorHAnsi" w:cstheme="minorHAnsi"/>
          <w:sz w:val="22"/>
          <w:szCs w:val="22"/>
          <w:lang w:eastAsia="x-none"/>
        </w:rPr>
        <w:t>e recours aux énergies renouvelables semble être une option pour le fonctionnement électrique des équipements hydromécaniques des périmètres agricoles tenant compte des préoccupations dictées par les enjeux de développement durable, et le souci de maîtriser les coûts d’exploitation dans un contexte de renchérissement du prix du gasoil qui incitent en effet à étudier de près l’option « solaire » pour l’irrigation agricole à la place de la pompe thermique.</w:t>
      </w:r>
    </w:p>
    <w:p w14:paraId="3F48EE03" w14:textId="01E3E8F0"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 xml:space="preserve">L’utilisation de la technologie photovoltaïque a beaucoup de succès dans l’irrigation des cultures par sa performance en matière de génération d’énergies et de réduction de coûts, à l’investissement initial comme en termes de charge d’exploitation. Le principe consiste à capter l’énergie solaire via des panneaux photovoltaïques pour produire de l’électricité qui alimente une pompe électrique permettant d’assurer l’exhaure de l’eau. La figure </w:t>
      </w:r>
      <w:r w:rsidR="00E57BA7">
        <w:rPr>
          <w:rFonts w:asciiTheme="minorHAnsi" w:hAnsiTheme="minorHAnsi" w:cstheme="minorHAnsi"/>
          <w:sz w:val="22"/>
          <w:szCs w:val="22"/>
          <w:lang w:eastAsia="x-none"/>
        </w:rPr>
        <w:t xml:space="preserve">4 </w:t>
      </w:r>
      <w:r w:rsidRPr="00E01239">
        <w:rPr>
          <w:rFonts w:asciiTheme="minorHAnsi" w:hAnsiTheme="minorHAnsi" w:cstheme="minorHAnsi"/>
          <w:sz w:val="22"/>
          <w:szCs w:val="22"/>
          <w:lang w:eastAsia="x-none"/>
        </w:rPr>
        <w:t xml:space="preserve">ci-dessous représente le schéma du principe de système d’irrigation solaire. </w:t>
      </w:r>
    </w:p>
    <w:p w14:paraId="012F22AE" w14:textId="77777777" w:rsidR="00EB49B1" w:rsidRPr="00E01239" w:rsidRDefault="00EB49B1" w:rsidP="00EB49B1">
      <w:pPr>
        <w:tabs>
          <w:tab w:val="left" w:pos="2955"/>
        </w:tabs>
        <w:spacing w:line="360" w:lineRule="auto"/>
        <w:jc w:val="both"/>
        <w:rPr>
          <w:rFonts w:asciiTheme="minorHAnsi" w:hAnsiTheme="minorHAnsi" w:cstheme="minorHAnsi"/>
          <w:sz w:val="22"/>
          <w:szCs w:val="22"/>
        </w:rPr>
      </w:pPr>
    </w:p>
    <w:p w14:paraId="0852306D" w14:textId="233B0048" w:rsidR="00EB49B1" w:rsidRPr="00E01239" w:rsidRDefault="00EB49B1" w:rsidP="00EB49B1">
      <w:pPr>
        <w:pStyle w:val="Lgende"/>
        <w:keepNext/>
        <w:spacing w:line="360" w:lineRule="auto"/>
        <w:jc w:val="center"/>
        <w:rPr>
          <w:rFonts w:asciiTheme="minorHAnsi" w:hAnsiTheme="minorHAnsi" w:cstheme="minorHAnsi"/>
          <w:i/>
          <w:iCs/>
          <w:sz w:val="22"/>
          <w:szCs w:val="22"/>
        </w:rPr>
      </w:pPr>
      <w:bookmarkStart w:id="595" w:name="_Toc114980910"/>
      <w:bookmarkStart w:id="596" w:name="_Toc142854044"/>
      <w:r w:rsidRPr="00E01239">
        <w:rPr>
          <w:rFonts w:asciiTheme="minorHAnsi" w:hAnsiTheme="minorHAnsi" w:cstheme="minorHAnsi"/>
          <w:sz w:val="22"/>
          <w:szCs w:val="22"/>
        </w:rPr>
        <w:lastRenderedPageBreak/>
        <w:t xml:space="preserve">Figure </w:t>
      </w:r>
      <w:r w:rsidRPr="00E01239">
        <w:rPr>
          <w:rFonts w:asciiTheme="minorHAnsi" w:hAnsiTheme="minorHAnsi" w:cstheme="minorHAnsi"/>
          <w:b w:val="0"/>
          <w:bCs w:val="0"/>
          <w:i/>
          <w:iCs/>
          <w:sz w:val="22"/>
          <w:szCs w:val="22"/>
        </w:rPr>
        <w:fldChar w:fldCharType="begin"/>
      </w:r>
      <w:r w:rsidRPr="00E01239">
        <w:rPr>
          <w:rFonts w:asciiTheme="minorHAnsi" w:hAnsiTheme="minorHAnsi" w:cstheme="minorHAnsi"/>
          <w:sz w:val="22"/>
          <w:szCs w:val="22"/>
        </w:rPr>
        <w:instrText xml:space="preserve"> SEQ Figure \* ARABIC </w:instrText>
      </w:r>
      <w:r w:rsidRPr="00E01239">
        <w:rPr>
          <w:rFonts w:asciiTheme="minorHAnsi" w:hAnsiTheme="minorHAnsi" w:cstheme="minorHAnsi"/>
          <w:b w:val="0"/>
          <w:bCs w:val="0"/>
          <w:i/>
          <w:iCs/>
          <w:sz w:val="22"/>
          <w:szCs w:val="22"/>
        </w:rPr>
        <w:fldChar w:fldCharType="separate"/>
      </w:r>
      <w:r w:rsidR="00896CCD" w:rsidRPr="00E01239">
        <w:rPr>
          <w:rFonts w:asciiTheme="minorHAnsi" w:hAnsiTheme="minorHAnsi" w:cstheme="minorHAnsi"/>
          <w:noProof/>
          <w:sz w:val="22"/>
          <w:szCs w:val="22"/>
        </w:rPr>
        <w:t>4</w:t>
      </w:r>
      <w:r w:rsidRPr="00E01239">
        <w:rPr>
          <w:rFonts w:asciiTheme="minorHAnsi" w:hAnsiTheme="minorHAnsi" w:cstheme="minorHAnsi"/>
          <w:b w:val="0"/>
          <w:bCs w:val="0"/>
          <w:i/>
          <w:iCs/>
          <w:sz w:val="22"/>
          <w:szCs w:val="22"/>
        </w:rPr>
        <w:fldChar w:fldCharType="end"/>
      </w:r>
      <w:r w:rsidRPr="00E01239">
        <w:rPr>
          <w:rFonts w:asciiTheme="minorHAnsi" w:hAnsiTheme="minorHAnsi" w:cstheme="minorHAnsi"/>
          <w:sz w:val="22"/>
          <w:szCs w:val="22"/>
        </w:rPr>
        <w:t>: Schéma de principe Système d'irrigation solaire</w:t>
      </w:r>
      <w:bookmarkEnd w:id="595"/>
      <w:bookmarkEnd w:id="596"/>
    </w:p>
    <w:p w14:paraId="54187674" w14:textId="77777777" w:rsidR="00EB49B1" w:rsidRPr="00E01239" w:rsidRDefault="00EB49B1" w:rsidP="00EB49B1">
      <w:pPr>
        <w:tabs>
          <w:tab w:val="left" w:pos="2955"/>
        </w:tabs>
        <w:spacing w:line="360" w:lineRule="auto"/>
        <w:jc w:val="center"/>
        <w:rPr>
          <w:rFonts w:asciiTheme="minorHAnsi" w:hAnsiTheme="minorHAnsi" w:cstheme="minorHAnsi"/>
          <w:sz w:val="22"/>
          <w:szCs w:val="22"/>
        </w:rPr>
      </w:pPr>
      <w:r w:rsidRPr="00E01239">
        <w:rPr>
          <w:rFonts w:asciiTheme="minorHAnsi" w:hAnsiTheme="minorHAnsi" w:cstheme="minorHAnsi"/>
          <w:noProof/>
          <w:sz w:val="22"/>
          <w:szCs w:val="22"/>
        </w:rPr>
        <w:drawing>
          <wp:inline distT="0" distB="0" distL="0" distR="0" wp14:anchorId="40789452" wp14:editId="6CDEEA79">
            <wp:extent cx="4843724" cy="382513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49581" cy="3829757"/>
                    </a:xfrm>
                    <a:prstGeom prst="rect">
                      <a:avLst/>
                    </a:prstGeom>
                  </pic:spPr>
                </pic:pic>
              </a:graphicData>
            </a:graphic>
          </wp:inline>
        </w:drawing>
      </w:r>
    </w:p>
    <w:p w14:paraId="49850F9A" w14:textId="020F0764" w:rsidR="00EB49B1" w:rsidRPr="00E01239" w:rsidRDefault="00EB49B1" w:rsidP="00EB49B1">
      <w:pPr>
        <w:tabs>
          <w:tab w:val="left" w:pos="2955"/>
        </w:tabs>
        <w:spacing w:line="360" w:lineRule="auto"/>
        <w:ind w:right="1042"/>
        <w:jc w:val="right"/>
        <w:rPr>
          <w:rFonts w:asciiTheme="minorHAnsi" w:hAnsiTheme="minorHAnsi" w:cstheme="minorHAnsi"/>
          <w:sz w:val="22"/>
          <w:szCs w:val="22"/>
        </w:rPr>
      </w:pPr>
      <w:r w:rsidRPr="00E01239">
        <w:rPr>
          <w:rFonts w:asciiTheme="minorHAnsi" w:hAnsiTheme="minorHAnsi" w:cstheme="minorHAnsi"/>
          <w:b/>
          <w:bCs/>
          <w:sz w:val="22"/>
          <w:szCs w:val="22"/>
        </w:rPr>
        <w:t>Source </w:t>
      </w:r>
      <w:r w:rsidRPr="00E01239">
        <w:rPr>
          <w:rFonts w:asciiTheme="minorHAnsi" w:hAnsiTheme="minorHAnsi" w:cstheme="minorHAnsi"/>
          <w:sz w:val="22"/>
          <w:szCs w:val="22"/>
        </w:rPr>
        <w:t xml:space="preserve">: </w:t>
      </w:r>
      <w:hyperlink r:id="rId27" w:history="1">
        <w:r w:rsidRPr="00E01239">
          <w:rPr>
            <w:rStyle w:val="Lienhypertexte"/>
            <w:rFonts w:asciiTheme="minorHAnsi" w:hAnsiTheme="minorHAnsi" w:cstheme="minorHAnsi"/>
            <w:sz w:val="22"/>
            <w:szCs w:val="22"/>
          </w:rPr>
          <w:t>www.sines.fr/irrigation_solaire.html</w:t>
        </w:r>
      </w:hyperlink>
      <w:r w:rsidRPr="00E01239">
        <w:rPr>
          <w:rFonts w:asciiTheme="minorHAnsi" w:hAnsiTheme="minorHAnsi" w:cstheme="minorHAnsi"/>
          <w:sz w:val="22"/>
          <w:szCs w:val="22"/>
        </w:rPr>
        <w:t xml:space="preserve"> </w:t>
      </w:r>
    </w:p>
    <w:p w14:paraId="22BFCF6B" w14:textId="190FD340" w:rsidR="00C602C7" w:rsidRPr="00E01239" w:rsidRDefault="00654DC8"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En revanche</w:t>
      </w:r>
      <w:r w:rsidR="00C602C7" w:rsidRPr="00E01239">
        <w:rPr>
          <w:rFonts w:asciiTheme="minorHAnsi" w:hAnsiTheme="minorHAnsi" w:cstheme="minorHAnsi"/>
          <w:sz w:val="22"/>
          <w:szCs w:val="22"/>
          <w:lang w:eastAsia="x-none"/>
        </w:rPr>
        <w:t xml:space="preserve"> le principe de fonctionnement de la pompe thermique consiste à </w:t>
      </w:r>
      <w:r w:rsidR="00C602C7" w:rsidRPr="00E01239">
        <w:rPr>
          <w:rFonts w:asciiTheme="minorHAnsi" w:hAnsiTheme="minorHAnsi" w:cstheme="minorHAnsi"/>
          <w:b/>
          <w:bCs/>
          <w:sz w:val="22"/>
          <w:szCs w:val="22"/>
          <w:lang w:eastAsia="x-none"/>
        </w:rPr>
        <w:t>installer au-dessus du niveau du liquide pompé et entraîné par un moteur à combustion interne ou un moteur électrique.</w:t>
      </w:r>
      <w:r w:rsidR="00C602C7" w:rsidRPr="00E01239">
        <w:rPr>
          <w:rFonts w:asciiTheme="minorHAnsi" w:hAnsiTheme="minorHAnsi" w:cstheme="minorHAnsi"/>
          <w:sz w:val="22"/>
          <w:szCs w:val="22"/>
          <w:lang w:eastAsia="x-none"/>
        </w:rPr>
        <w:t xml:space="preserve"> En fonctionnement normal, il est capable d’aspirer l’eau d’une certaine profondeur et de la pomper avec un débit important à la hauteur et à la distance déterminées par ses caractéristiques techniques. Le moteur thermique peut être à gasoil ou à essence. </w:t>
      </w:r>
    </w:p>
    <w:p w14:paraId="73B26806" w14:textId="0F2806A2"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 xml:space="preserve">Tout comme l’énergie thermique, l’énergie solaire revêt des avantages et inconvénients spécifiques, aussi il n’est pas adapté à tous les contextes. Le tableau </w:t>
      </w:r>
      <w:r w:rsidR="00A1305E" w:rsidRPr="00E01239">
        <w:rPr>
          <w:rFonts w:asciiTheme="minorHAnsi" w:hAnsiTheme="minorHAnsi" w:cstheme="minorHAnsi"/>
          <w:sz w:val="22"/>
          <w:szCs w:val="22"/>
          <w:lang w:eastAsia="x-none"/>
        </w:rPr>
        <w:t xml:space="preserve">n°12 </w:t>
      </w:r>
      <w:r w:rsidRPr="00E01239">
        <w:rPr>
          <w:rFonts w:asciiTheme="minorHAnsi" w:hAnsiTheme="minorHAnsi" w:cstheme="minorHAnsi"/>
          <w:sz w:val="22"/>
          <w:szCs w:val="22"/>
          <w:lang w:eastAsia="x-none"/>
        </w:rPr>
        <w:t>ci-après présente une analyse multicritère intégrant les aspects de faisabilité technique, de faisabilité économique et d’impacts environnementaux et sociaux positifs et négatifs.</w:t>
      </w:r>
    </w:p>
    <w:p w14:paraId="23F4251D" w14:textId="3384FABD" w:rsidR="00EB49B1" w:rsidRPr="00E01239" w:rsidRDefault="00EB49B1" w:rsidP="00EB49B1">
      <w:pPr>
        <w:rPr>
          <w:rFonts w:asciiTheme="minorHAnsi" w:hAnsiTheme="minorHAnsi" w:cstheme="minorHAnsi"/>
          <w:b/>
          <w:sz w:val="22"/>
          <w:szCs w:val="22"/>
          <w:lang w:bidi="fr-FR"/>
        </w:rPr>
      </w:pPr>
    </w:p>
    <w:p w14:paraId="68408F84" w14:textId="7FE50A35" w:rsidR="00EB49B1" w:rsidRPr="00E01239" w:rsidRDefault="00EB49B1" w:rsidP="00EB49B1">
      <w:pPr>
        <w:jc w:val="center"/>
        <w:rPr>
          <w:rFonts w:asciiTheme="minorHAnsi" w:hAnsiTheme="minorHAnsi" w:cstheme="minorHAnsi"/>
          <w:sz w:val="22"/>
          <w:szCs w:val="22"/>
          <w:lang w:bidi="fr-FR"/>
        </w:rPr>
      </w:pPr>
      <w:bookmarkStart w:id="597" w:name="_Toc114980834"/>
      <w:bookmarkStart w:id="598" w:name="_Toc144654192"/>
      <w:r w:rsidRPr="00E01239">
        <w:rPr>
          <w:rFonts w:asciiTheme="minorHAnsi" w:hAnsiTheme="minorHAnsi" w:cstheme="minorHAnsi"/>
          <w:b/>
          <w:sz w:val="22"/>
          <w:szCs w:val="22"/>
          <w:lang w:bidi="fr-FR"/>
        </w:rPr>
        <w:t xml:space="preserve">Tableau </w:t>
      </w:r>
      <w:r w:rsidRPr="00E01239">
        <w:rPr>
          <w:rFonts w:asciiTheme="minorHAnsi" w:hAnsiTheme="minorHAnsi" w:cstheme="minorHAnsi"/>
          <w:b/>
          <w:sz w:val="22"/>
          <w:szCs w:val="22"/>
          <w:lang w:bidi="fr-FR"/>
        </w:rPr>
        <w:fldChar w:fldCharType="begin"/>
      </w:r>
      <w:r w:rsidRPr="00E01239">
        <w:rPr>
          <w:rFonts w:asciiTheme="minorHAnsi" w:hAnsiTheme="minorHAnsi" w:cstheme="minorHAnsi"/>
          <w:b/>
          <w:sz w:val="22"/>
          <w:szCs w:val="22"/>
          <w:lang w:bidi="fr-FR"/>
        </w:rPr>
        <w:instrText xml:space="preserve"> SEQ Tableau \* ARABIC </w:instrText>
      </w:r>
      <w:r w:rsidRPr="00E01239">
        <w:rPr>
          <w:rFonts w:asciiTheme="minorHAnsi" w:hAnsiTheme="minorHAnsi" w:cstheme="minorHAnsi"/>
          <w:b/>
          <w:sz w:val="22"/>
          <w:szCs w:val="22"/>
          <w:lang w:bidi="fr-FR"/>
        </w:rPr>
        <w:fldChar w:fldCharType="separate"/>
      </w:r>
      <w:r w:rsidR="005C3166">
        <w:rPr>
          <w:rFonts w:asciiTheme="minorHAnsi" w:hAnsiTheme="minorHAnsi" w:cstheme="minorHAnsi"/>
          <w:b/>
          <w:noProof/>
          <w:sz w:val="22"/>
          <w:szCs w:val="22"/>
          <w:lang w:bidi="fr-FR"/>
        </w:rPr>
        <w:t>12</w:t>
      </w:r>
      <w:r w:rsidRPr="00E01239">
        <w:rPr>
          <w:rFonts w:asciiTheme="minorHAnsi" w:hAnsiTheme="minorHAnsi" w:cstheme="minorHAnsi"/>
          <w:b/>
          <w:sz w:val="22"/>
          <w:szCs w:val="22"/>
          <w:lang w:bidi="fr-FR"/>
        </w:rPr>
        <w:fldChar w:fldCharType="end"/>
      </w:r>
      <w:r w:rsidRPr="00E01239">
        <w:rPr>
          <w:rFonts w:asciiTheme="minorHAnsi" w:hAnsiTheme="minorHAnsi" w:cstheme="minorHAnsi"/>
          <w:sz w:val="22"/>
          <w:szCs w:val="22"/>
          <w:lang w:bidi="fr-FR"/>
        </w:rPr>
        <w:t xml:space="preserve">: Matrice d’analyse relative </w:t>
      </w:r>
      <w:bookmarkEnd w:id="597"/>
      <w:r w:rsidR="001D267F" w:rsidRPr="00E01239">
        <w:rPr>
          <w:rFonts w:asciiTheme="minorHAnsi" w:hAnsiTheme="minorHAnsi" w:cstheme="minorHAnsi"/>
          <w:sz w:val="22"/>
          <w:szCs w:val="22"/>
          <w:lang w:bidi="fr-FR"/>
        </w:rPr>
        <w:t>aux technologies de pompage pour l’irrigation des parcelles et le fonctionnement des mini-forages</w:t>
      </w:r>
      <w:bookmarkEnd w:id="598"/>
    </w:p>
    <w:tbl>
      <w:tblPr>
        <w:tblStyle w:val="Grilledutableau"/>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18"/>
        <w:gridCol w:w="2744"/>
        <w:gridCol w:w="1433"/>
        <w:gridCol w:w="1714"/>
        <w:gridCol w:w="2120"/>
      </w:tblGrid>
      <w:tr w:rsidR="00EB49B1" w:rsidRPr="00E01239" w14:paraId="574613C3" w14:textId="77777777" w:rsidTr="00522938">
        <w:trPr>
          <w:trHeight w:val="739"/>
          <w:tblHeader/>
          <w:jc w:val="center"/>
        </w:trPr>
        <w:tc>
          <w:tcPr>
            <w:tcW w:w="840" w:type="pct"/>
            <w:shd w:val="clear" w:color="auto" w:fill="000000" w:themeFill="text1"/>
            <w:vAlign w:val="center"/>
          </w:tcPr>
          <w:p w14:paraId="0FCEADD2" w14:textId="77777777" w:rsidR="00EB49B1" w:rsidRPr="00E01239" w:rsidRDefault="00EB49B1" w:rsidP="008C0C70">
            <w:pPr>
              <w:jc w:val="center"/>
              <w:rPr>
                <w:rFonts w:asciiTheme="minorHAnsi" w:hAnsiTheme="minorHAnsi" w:cstheme="minorHAnsi"/>
                <w:sz w:val="22"/>
                <w:szCs w:val="22"/>
                <w:lang w:bidi="fr-FR"/>
              </w:rPr>
            </w:pPr>
            <w:r w:rsidRPr="00E01239">
              <w:rPr>
                <w:rFonts w:asciiTheme="minorHAnsi" w:hAnsiTheme="minorHAnsi" w:cstheme="minorHAnsi"/>
                <w:sz w:val="22"/>
                <w:szCs w:val="22"/>
                <w:lang w:bidi="fr-FR"/>
              </w:rPr>
              <w:t>Alternatives</w:t>
            </w:r>
          </w:p>
        </w:tc>
        <w:tc>
          <w:tcPr>
            <w:tcW w:w="1425" w:type="pct"/>
            <w:shd w:val="clear" w:color="auto" w:fill="000000" w:themeFill="text1"/>
            <w:vAlign w:val="center"/>
          </w:tcPr>
          <w:p w14:paraId="06EF163A" w14:textId="77777777" w:rsidR="00EB49B1" w:rsidRPr="00E01239" w:rsidRDefault="00EB49B1" w:rsidP="008C0C70">
            <w:pPr>
              <w:jc w:val="center"/>
              <w:rPr>
                <w:rFonts w:asciiTheme="minorHAnsi" w:hAnsiTheme="minorHAnsi" w:cstheme="minorHAnsi"/>
                <w:sz w:val="22"/>
                <w:szCs w:val="22"/>
                <w:lang w:bidi="fr-FR"/>
              </w:rPr>
            </w:pPr>
            <w:r w:rsidRPr="00E01239">
              <w:rPr>
                <w:rFonts w:asciiTheme="minorHAnsi" w:hAnsiTheme="minorHAnsi" w:cstheme="minorHAnsi"/>
                <w:sz w:val="22"/>
                <w:szCs w:val="22"/>
                <w:lang w:bidi="fr-FR"/>
              </w:rPr>
              <w:t>Faisabilité technique</w:t>
            </w:r>
          </w:p>
        </w:tc>
        <w:tc>
          <w:tcPr>
            <w:tcW w:w="744" w:type="pct"/>
            <w:shd w:val="clear" w:color="auto" w:fill="000000" w:themeFill="text1"/>
            <w:vAlign w:val="center"/>
          </w:tcPr>
          <w:p w14:paraId="1D3466BF" w14:textId="77777777" w:rsidR="00EB49B1" w:rsidRPr="00E01239" w:rsidRDefault="00EB49B1" w:rsidP="008C0C70">
            <w:pPr>
              <w:jc w:val="center"/>
              <w:rPr>
                <w:rFonts w:asciiTheme="minorHAnsi" w:hAnsiTheme="minorHAnsi" w:cstheme="minorHAnsi"/>
                <w:sz w:val="22"/>
                <w:szCs w:val="22"/>
                <w:lang w:bidi="fr-FR"/>
              </w:rPr>
            </w:pPr>
            <w:r w:rsidRPr="00E01239">
              <w:rPr>
                <w:rFonts w:asciiTheme="minorHAnsi" w:hAnsiTheme="minorHAnsi" w:cstheme="minorHAnsi"/>
                <w:sz w:val="22"/>
                <w:szCs w:val="22"/>
                <w:lang w:bidi="fr-FR"/>
              </w:rPr>
              <w:t>Faisabilité économique</w:t>
            </w:r>
          </w:p>
        </w:tc>
        <w:tc>
          <w:tcPr>
            <w:tcW w:w="890" w:type="pct"/>
            <w:shd w:val="clear" w:color="auto" w:fill="000000" w:themeFill="text1"/>
            <w:vAlign w:val="center"/>
          </w:tcPr>
          <w:p w14:paraId="7E565F49" w14:textId="77777777" w:rsidR="00EB49B1" w:rsidRPr="00E01239" w:rsidRDefault="00EB49B1" w:rsidP="008C0C70">
            <w:pPr>
              <w:jc w:val="center"/>
              <w:rPr>
                <w:rFonts w:asciiTheme="minorHAnsi" w:hAnsiTheme="minorHAnsi" w:cstheme="minorHAnsi"/>
                <w:sz w:val="22"/>
                <w:szCs w:val="22"/>
                <w:lang w:bidi="fr-FR"/>
              </w:rPr>
            </w:pPr>
            <w:r w:rsidRPr="00E01239">
              <w:rPr>
                <w:rFonts w:asciiTheme="minorHAnsi" w:hAnsiTheme="minorHAnsi" w:cstheme="minorHAnsi"/>
                <w:sz w:val="22"/>
                <w:szCs w:val="22"/>
                <w:lang w:bidi="fr-FR"/>
              </w:rPr>
              <w:t>Impacts E&amp;S Positifs</w:t>
            </w:r>
          </w:p>
        </w:tc>
        <w:tc>
          <w:tcPr>
            <w:tcW w:w="1101" w:type="pct"/>
            <w:shd w:val="clear" w:color="auto" w:fill="000000" w:themeFill="text1"/>
            <w:vAlign w:val="center"/>
          </w:tcPr>
          <w:p w14:paraId="529272AC" w14:textId="77777777" w:rsidR="00EB49B1" w:rsidRPr="00E01239" w:rsidRDefault="00EB49B1" w:rsidP="008C0C70">
            <w:pPr>
              <w:jc w:val="center"/>
              <w:rPr>
                <w:rFonts w:asciiTheme="minorHAnsi" w:hAnsiTheme="minorHAnsi" w:cstheme="minorHAnsi"/>
                <w:sz w:val="22"/>
                <w:szCs w:val="22"/>
                <w:lang w:bidi="fr-FR"/>
              </w:rPr>
            </w:pPr>
            <w:r w:rsidRPr="00E01239">
              <w:rPr>
                <w:rFonts w:asciiTheme="minorHAnsi" w:hAnsiTheme="minorHAnsi" w:cstheme="minorHAnsi"/>
                <w:sz w:val="22"/>
                <w:szCs w:val="22"/>
                <w:lang w:bidi="fr-FR"/>
              </w:rPr>
              <w:t>Impacts E&amp;S négatifs</w:t>
            </w:r>
          </w:p>
        </w:tc>
      </w:tr>
      <w:tr w:rsidR="00EB49B1" w:rsidRPr="00E01239" w14:paraId="65B81EA7" w14:textId="77777777" w:rsidTr="00522938">
        <w:trPr>
          <w:trHeight w:val="377"/>
          <w:jc w:val="center"/>
        </w:trPr>
        <w:tc>
          <w:tcPr>
            <w:tcW w:w="840" w:type="pct"/>
            <w:vAlign w:val="center"/>
          </w:tcPr>
          <w:p w14:paraId="36711388" w14:textId="77777777" w:rsidR="00EB49B1" w:rsidRPr="00E01239" w:rsidRDefault="00EB49B1" w:rsidP="008C0C70">
            <w:pPr>
              <w:jc w:val="both"/>
              <w:rPr>
                <w:rFonts w:asciiTheme="minorHAnsi" w:hAnsiTheme="minorHAnsi" w:cstheme="minorHAnsi"/>
                <w:b/>
                <w:sz w:val="22"/>
                <w:szCs w:val="22"/>
                <w:lang w:bidi="fr-FR"/>
              </w:rPr>
            </w:pPr>
            <w:r w:rsidRPr="00E01239">
              <w:rPr>
                <w:rFonts w:asciiTheme="minorHAnsi" w:hAnsiTheme="minorHAnsi" w:cstheme="minorHAnsi"/>
                <w:b/>
                <w:sz w:val="22"/>
                <w:szCs w:val="22"/>
              </w:rPr>
              <w:t>Pompage Solaire</w:t>
            </w:r>
          </w:p>
        </w:tc>
        <w:tc>
          <w:tcPr>
            <w:tcW w:w="1425" w:type="pct"/>
            <w:vAlign w:val="center"/>
          </w:tcPr>
          <w:p w14:paraId="2B070D44"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La zone du projet se trouve dans les écosystèmes à fort potentiel photovoltaïque</w:t>
            </w:r>
          </w:p>
          <w:p w14:paraId="4894C0C5"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Forte variation journalière du débit « au fil du soleil</w:t>
            </w:r>
          </w:p>
          <w:p w14:paraId="0DB421F5"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Fiabilité de la technologie</w:t>
            </w:r>
          </w:p>
          <w:p w14:paraId="5287660E"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Rendements de production élevés</w:t>
            </w:r>
          </w:p>
        </w:tc>
        <w:tc>
          <w:tcPr>
            <w:tcW w:w="744" w:type="pct"/>
            <w:vAlign w:val="center"/>
          </w:tcPr>
          <w:p w14:paraId="2F630DD0"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Coûts d’investissements élevés</w:t>
            </w:r>
          </w:p>
        </w:tc>
        <w:tc>
          <w:tcPr>
            <w:tcW w:w="890" w:type="pct"/>
            <w:vAlign w:val="center"/>
          </w:tcPr>
          <w:p w14:paraId="0615BF88" w14:textId="77777777" w:rsidR="00EB49B1" w:rsidRPr="00E01239" w:rsidRDefault="00EB49B1" w:rsidP="00027669">
            <w:pPr>
              <w:pStyle w:val="Paragraphedeliste"/>
              <w:numPr>
                <w:ilvl w:val="0"/>
                <w:numId w:val="125"/>
              </w:numPr>
              <w:ind w:left="263" w:hanging="263"/>
              <w:contextualSpacing w:val="0"/>
              <w:rPr>
                <w:rFonts w:asciiTheme="minorHAnsi" w:hAnsiTheme="minorHAnsi" w:cstheme="minorHAnsi"/>
                <w:sz w:val="22"/>
                <w:szCs w:val="22"/>
                <w:lang w:bidi="fr-FR"/>
              </w:rPr>
            </w:pPr>
            <w:r w:rsidRPr="00E01239">
              <w:rPr>
                <w:rFonts w:asciiTheme="minorHAnsi" w:hAnsiTheme="minorHAnsi" w:cstheme="minorHAnsi"/>
                <w:sz w:val="22"/>
                <w:szCs w:val="22"/>
                <w:lang w:bidi="fr-FR"/>
              </w:rPr>
              <w:t>Ne produit aucune émission et ne génère aucun bruit</w:t>
            </w:r>
          </w:p>
          <w:p w14:paraId="0B616527" w14:textId="77777777" w:rsidR="00EB49B1" w:rsidRPr="00E01239" w:rsidRDefault="00EB49B1" w:rsidP="00027669">
            <w:pPr>
              <w:pStyle w:val="Paragraphedeliste"/>
              <w:numPr>
                <w:ilvl w:val="0"/>
                <w:numId w:val="125"/>
              </w:numPr>
              <w:ind w:left="263" w:hanging="263"/>
              <w:contextualSpacing w:val="0"/>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Moteur lubrifié à l’eau évitant toute </w:t>
            </w:r>
            <w:r w:rsidRPr="00E01239">
              <w:rPr>
                <w:rFonts w:asciiTheme="minorHAnsi" w:hAnsiTheme="minorHAnsi" w:cstheme="minorHAnsi"/>
                <w:sz w:val="22"/>
                <w:szCs w:val="22"/>
                <w:lang w:bidi="fr-FR"/>
              </w:rPr>
              <w:lastRenderedPageBreak/>
              <w:t>contamination du milieu par l’huile ou la graisse</w:t>
            </w:r>
          </w:p>
        </w:tc>
        <w:tc>
          <w:tcPr>
            <w:tcW w:w="1101" w:type="pct"/>
            <w:vAlign w:val="center"/>
          </w:tcPr>
          <w:p w14:paraId="32724B1B"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lastRenderedPageBreak/>
              <w:t>Absence de filière de recyclage des panneaux photovoltaïques</w:t>
            </w:r>
          </w:p>
        </w:tc>
      </w:tr>
      <w:tr w:rsidR="00EB49B1" w:rsidRPr="00E01239" w14:paraId="7FBCE3C5" w14:textId="77777777" w:rsidTr="00522938">
        <w:trPr>
          <w:trHeight w:val="1685"/>
          <w:jc w:val="center"/>
        </w:trPr>
        <w:tc>
          <w:tcPr>
            <w:tcW w:w="840" w:type="pct"/>
            <w:vAlign w:val="center"/>
          </w:tcPr>
          <w:p w14:paraId="637CD052" w14:textId="77777777" w:rsidR="00EB49B1" w:rsidRPr="00E01239" w:rsidRDefault="00EB49B1" w:rsidP="008C0C70">
            <w:pPr>
              <w:jc w:val="both"/>
              <w:rPr>
                <w:rFonts w:asciiTheme="minorHAnsi" w:hAnsiTheme="minorHAnsi" w:cstheme="minorHAnsi"/>
                <w:b/>
                <w:sz w:val="22"/>
                <w:szCs w:val="22"/>
                <w:lang w:bidi="fr-FR"/>
              </w:rPr>
            </w:pPr>
            <w:r w:rsidRPr="00E01239">
              <w:rPr>
                <w:rFonts w:asciiTheme="minorHAnsi" w:hAnsiTheme="minorHAnsi" w:cstheme="minorHAnsi"/>
                <w:b/>
                <w:sz w:val="22"/>
                <w:szCs w:val="22"/>
              </w:rPr>
              <w:t>Pompage thermique</w:t>
            </w:r>
          </w:p>
        </w:tc>
        <w:tc>
          <w:tcPr>
            <w:tcW w:w="1425" w:type="pct"/>
            <w:vAlign w:val="center"/>
          </w:tcPr>
          <w:p w14:paraId="4650C9F5"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Couverte de la zone par le réseau électrique national</w:t>
            </w:r>
          </w:p>
          <w:p w14:paraId="2460929F"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Nécessite la disponibilité des pièces de rechange pour les groupes</w:t>
            </w:r>
          </w:p>
          <w:p w14:paraId="27E5B6B4"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Nécessite des contrôles fréquents et un entretien régulier</w:t>
            </w:r>
          </w:p>
        </w:tc>
        <w:tc>
          <w:tcPr>
            <w:tcW w:w="744" w:type="pct"/>
            <w:vAlign w:val="center"/>
          </w:tcPr>
          <w:p w14:paraId="329EE22C"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Coûts d’exploitation élevés</w:t>
            </w:r>
          </w:p>
        </w:tc>
        <w:tc>
          <w:tcPr>
            <w:tcW w:w="890" w:type="pct"/>
            <w:vAlign w:val="center"/>
          </w:tcPr>
          <w:p w14:paraId="1457701A"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N/A</w:t>
            </w:r>
          </w:p>
        </w:tc>
        <w:tc>
          <w:tcPr>
            <w:tcW w:w="1101" w:type="pct"/>
            <w:vAlign w:val="center"/>
          </w:tcPr>
          <w:p w14:paraId="79745F2C" w14:textId="77777777" w:rsidR="00EB49B1" w:rsidRPr="00E01239"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Bilan Carbone du Projet élevé</w:t>
            </w:r>
          </w:p>
          <w:p w14:paraId="1F0D0441" w14:textId="77777777" w:rsidR="00EB49B1" w:rsidRDefault="00EB49B1" w:rsidP="00027669">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Emissions de CO2</w:t>
            </w:r>
          </w:p>
          <w:p w14:paraId="00741100" w14:textId="6411B8C8" w:rsidR="004047A6" w:rsidRPr="00E01239" w:rsidRDefault="00F04EB7" w:rsidP="00027669">
            <w:pPr>
              <w:pStyle w:val="Paragraphedeliste"/>
              <w:numPr>
                <w:ilvl w:val="0"/>
                <w:numId w:val="125"/>
              </w:numPr>
              <w:ind w:left="167" w:hanging="167"/>
              <w:jc w:val="both"/>
              <w:rPr>
                <w:rFonts w:asciiTheme="minorHAnsi" w:hAnsiTheme="minorHAnsi" w:cstheme="minorHAnsi"/>
                <w:sz w:val="22"/>
                <w:szCs w:val="22"/>
                <w:lang w:bidi="fr-FR"/>
              </w:rPr>
            </w:pPr>
            <w:r>
              <w:rPr>
                <w:rFonts w:asciiTheme="minorHAnsi" w:hAnsiTheme="minorHAnsi" w:cstheme="minorHAnsi"/>
                <w:sz w:val="22"/>
                <w:szCs w:val="22"/>
                <w:lang w:bidi="fr-FR"/>
              </w:rPr>
              <w:t xml:space="preserve">Risques de contamination des sols et des plans d’eau par les déversements accidentels de produits </w:t>
            </w:r>
            <w:proofErr w:type="spellStart"/>
            <w:r>
              <w:rPr>
                <w:rFonts w:asciiTheme="minorHAnsi" w:hAnsiTheme="minorHAnsi" w:cstheme="minorHAnsi"/>
                <w:sz w:val="22"/>
                <w:szCs w:val="22"/>
                <w:lang w:bidi="fr-FR"/>
              </w:rPr>
              <w:t>hydrocarbutés</w:t>
            </w:r>
            <w:proofErr w:type="spellEnd"/>
            <w:r w:rsidR="004047A6">
              <w:rPr>
                <w:rFonts w:asciiTheme="minorHAnsi" w:hAnsiTheme="minorHAnsi" w:cstheme="minorHAnsi"/>
                <w:sz w:val="22"/>
                <w:szCs w:val="22"/>
                <w:lang w:bidi="fr-FR"/>
              </w:rPr>
              <w:t xml:space="preserve">   </w:t>
            </w:r>
          </w:p>
        </w:tc>
      </w:tr>
    </w:tbl>
    <w:p w14:paraId="0C7AF44E" w14:textId="7DBB2178"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 xml:space="preserve">L’analyse du tableau </w:t>
      </w:r>
      <w:r w:rsidR="00076B4A">
        <w:rPr>
          <w:rFonts w:asciiTheme="minorHAnsi" w:hAnsiTheme="minorHAnsi" w:cstheme="minorHAnsi"/>
          <w:sz w:val="22"/>
          <w:szCs w:val="22"/>
          <w:lang w:eastAsia="x-none"/>
        </w:rPr>
        <w:t xml:space="preserve">12 </w:t>
      </w:r>
      <w:r w:rsidRPr="00E01239">
        <w:rPr>
          <w:rFonts w:asciiTheme="minorHAnsi" w:hAnsiTheme="minorHAnsi" w:cstheme="minorHAnsi"/>
          <w:sz w:val="22"/>
          <w:szCs w:val="22"/>
          <w:lang w:eastAsia="x-none"/>
        </w:rPr>
        <w:t xml:space="preserve">ci-dessus montre que l’option de pompage solaire reste de loin la plus avantageuse pour les aménagements hydro-agricoles. Au-delà de l’impact de cette technologie sur l’équilibre financier des aménagements hydro-agricole et sa compétitivité en termes de coûts de production, elle constitue une contribution à la lutte contre les changements climatiques et la préservation de l’environnement du milieu </w:t>
      </w:r>
    </w:p>
    <w:p w14:paraId="63FB1D64" w14:textId="77777777"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Au-delà de cet aspect, le recours à l’énergie solaire pourrait constituer une expérience pilote dont les performances pourraient être capitalisées, pérennisées et mises à l’échelle dans les grandes exploitations agricoles dans la zone. Pour pallier la variation journalière de la disponibilité de l’eau en cas de pompage solaire, il serait envisageable de réaliser un bassin de stockage dans chaque périmètre constituant une réserve pour les périodes déficitaires.</w:t>
      </w:r>
    </w:p>
    <w:p w14:paraId="33A362FD" w14:textId="77777777"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L’alternative « </w:t>
      </w:r>
      <w:r w:rsidRPr="00E01239">
        <w:rPr>
          <w:rFonts w:asciiTheme="minorHAnsi" w:hAnsiTheme="minorHAnsi" w:cstheme="minorHAnsi"/>
          <w:b/>
          <w:sz w:val="22"/>
          <w:szCs w:val="22"/>
          <w:lang w:eastAsia="x-none"/>
        </w:rPr>
        <w:t>Ne rien Faire</w:t>
      </w:r>
      <w:r w:rsidRPr="00E01239">
        <w:rPr>
          <w:rFonts w:asciiTheme="minorHAnsi" w:hAnsiTheme="minorHAnsi" w:cstheme="minorHAnsi"/>
          <w:sz w:val="22"/>
          <w:szCs w:val="22"/>
          <w:lang w:eastAsia="x-none"/>
        </w:rPr>
        <w:t> » consisterait à maintenir le recours exclusif aux énergies thermiques pour le fonctionnement des équipements hydro et électromécaniques servant à l’irrigation des périmètres irrigués.</w:t>
      </w:r>
    </w:p>
    <w:p w14:paraId="1E195FB3" w14:textId="72B4B489"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 xml:space="preserve">De cette analyse, la solution de rechange consisterait pour le </w:t>
      </w:r>
      <w:r w:rsidR="00C602C7" w:rsidRPr="00E01239">
        <w:rPr>
          <w:rFonts w:asciiTheme="minorHAnsi" w:hAnsiTheme="minorHAnsi" w:cstheme="minorHAnsi"/>
          <w:sz w:val="22"/>
          <w:szCs w:val="22"/>
          <w:lang w:eastAsia="x-none"/>
        </w:rPr>
        <w:t>FSRP-SN</w:t>
      </w:r>
      <w:r w:rsidRPr="00E01239">
        <w:rPr>
          <w:rFonts w:asciiTheme="minorHAnsi" w:hAnsiTheme="minorHAnsi" w:cstheme="minorHAnsi"/>
          <w:sz w:val="22"/>
          <w:szCs w:val="22"/>
          <w:lang w:eastAsia="x-none"/>
        </w:rPr>
        <w:t xml:space="preserve"> à recourir à une approche mixte combinant le pompage solaire et le pompage thermique avec un objectif sur 15 années à un basculement total vers les énergies renouvelables.</w:t>
      </w:r>
    </w:p>
    <w:p w14:paraId="4E791D0F" w14:textId="77777777" w:rsidR="00EB49B1" w:rsidRPr="00E01239" w:rsidRDefault="00EB49B1" w:rsidP="00EB49B1">
      <w:pPr>
        <w:jc w:val="both"/>
        <w:rPr>
          <w:rFonts w:asciiTheme="minorHAnsi" w:hAnsiTheme="minorHAnsi" w:cstheme="minorHAnsi"/>
          <w:sz w:val="22"/>
          <w:szCs w:val="22"/>
          <w:lang w:bidi="fr-FR"/>
        </w:rPr>
      </w:pPr>
    </w:p>
    <w:p w14:paraId="6F2C140C" w14:textId="59DB0C9D" w:rsidR="00EB49B1" w:rsidRPr="00E01239" w:rsidRDefault="00E264FA" w:rsidP="0011733B">
      <w:pPr>
        <w:pStyle w:val="Titre3"/>
        <w:ind w:left="1276"/>
        <w:rPr>
          <w:rFonts w:asciiTheme="minorHAnsi" w:hAnsiTheme="minorHAnsi" w:cstheme="minorHAnsi"/>
        </w:rPr>
      </w:pPr>
      <w:bookmarkStart w:id="599" w:name="_Toc101388273"/>
      <w:bookmarkStart w:id="600" w:name="_Toc144654105"/>
      <w:r w:rsidRPr="00E01239">
        <w:rPr>
          <w:rFonts w:asciiTheme="minorHAnsi" w:hAnsiTheme="minorHAnsi" w:cstheme="minorHAnsi"/>
        </w:rPr>
        <w:t>Analyse des variantes fertilisant chimique/ fertilisant organique</w:t>
      </w:r>
      <w:bookmarkEnd w:id="599"/>
      <w:bookmarkEnd w:id="600"/>
    </w:p>
    <w:p w14:paraId="0909F777" w14:textId="110AF678"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L’utilisation des engrais chimiques comme organique</w:t>
      </w:r>
      <w:r w:rsidR="00F132FB">
        <w:rPr>
          <w:rFonts w:asciiTheme="minorHAnsi" w:hAnsiTheme="minorHAnsi" w:cstheme="minorHAnsi"/>
          <w:sz w:val="22"/>
          <w:szCs w:val="22"/>
          <w:lang w:eastAsia="x-none"/>
        </w:rPr>
        <w:t>s</w:t>
      </w:r>
      <w:r w:rsidRPr="00E01239">
        <w:rPr>
          <w:rFonts w:asciiTheme="minorHAnsi" w:hAnsiTheme="minorHAnsi" w:cstheme="minorHAnsi"/>
          <w:sz w:val="22"/>
          <w:szCs w:val="22"/>
          <w:lang w:eastAsia="x-none"/>
        </w:rPr>
        <w:t xml:space="preserve"> dans l’agriculture devient incontournable pour obtenir de bon rendement. Ils jouent le rôle de fertilisant et permettent de résister aux maladies et de renforcer la croissance des végétaux. Les engrais chimiques ou minéraux sont des composés chimiques obtenus par la mise en œuvre de réactions chimiques pour isoler un ou plusieurs éléments. Ces engrais sont produits massivement et déclinés en d’infinies combinaisons et sous diverses formes (granulé, poudre, liquide). Alors que les engrais organiques proviennent des déchets d’animaux (sang, plumes, os, </w:t>
      </w:r>
      <w:proofErr w:type="spellStart"/>
      <w:r w:rsidRPr="00E01239">
        <w:rPr>
          <w:rFonts w:asciiTheme="minorHAnsi" w:hAnsiTheme="minorHAnsi" w:cstheme="minorHAnsi"/>
          <w:sz w:val="22"/>
          <w:szCs w:val="22"/>
          <w:lang w:eastAsia="x-none"/>
        </w:rPr>
        <w:t>frass</w:t>
      </w:r>
      <w:proofErr w:type="spellEnd"/>
      <w:r w:rsidRPr="00E01239">
        <w:rPr>
          <w:rFonts w:asciiTheme="minorHAnsi" w:hAnsiTheme="minorHAnsi" w:cstheme="minorHAnsi"/>
          <w:sz w:val="22"/>
          <w:szCs w:val="22"/>
          <w:lang w:eastAsia="x-none"/>
        </w:rPr>
        <w:t xml:space="preserve"> d’insectes…) de déjections animales (guano, lisiers, fumiers…) ou de déchets végétaux (compost, légumineuses, purins). </w:t>
      </w:r>
    </w:p>
    <w:p w14:paraId="24F8F09C" w14:textId="77777777" w:rsidR="00B6668A"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 xml:space="preserve">Le système de fertilisant chimique est réputé pour être un fertilisant très efficient en matière de rendement mais regorge d’énorme inconvénients du point de vue qualité de la production. </w:t>
      </w:r>
    </w:p>
    <w:p w14:paraId="7F3089AF" w14:textId="77777777" w:rsidR="00B6668A" w:rsidRPr="00E01239" w:rsidRDefault="00B6668A" w:rsidP="00B666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Quant aux fertilisants organiques, ils contribuent fortement à l’enrichissement du sol au potassium et à l’iode et son utilisation constitue une bonne pratique de valorisation des déchets dans le cadre de la transition écologique avec l’abandon progressif des engrais chimiques.</w:t>
      </w:r>
    </w:p>
    <w:p w14:paraId="5E67414F" w14:textId="33D07E3D"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lastRenderedPageBreak/>
        <w:t xml:space="preserve">Le tableau </w:t>
      </w:r>
      <w:r w:rsidR="002A3D89">
        <w:rPr>
          <w:rFonts w:asciiTheme="minorHAnsi" w:hAnsiTheme="minorHAnsi" w:cstheme="minorHAnsi"/>
          <w:sz w:val="22"/>
          <w:szCs w:val="22"/>
          <w:lang w:eastAsia="x-none"/>
        </w:rPr>
        <w:t xml:space="preserve">13 </w:t>
      </w:r>
      <w:r w:rsidRPr="00E01239">
        <w:rPr>
          <w:rFonts w:asciiTheme="minorHAnsi" w:hAnsiTheme="minorHAnsi" w:cstheme="minorHAnsi"/>
          <w:sz w:val="22"/>
          <w:szCs w:val="22"/>
          <w:lang w:eastAsia="x-none"/>
        </w:rPr>
        <w:t>ci-dessous résume le tableau comparatif des avantages et inconvénients des méthodes de fertilisation.</w:t>
      </w:r>
    </w:p>
    <w:p w14:paraId="3A414C91" w14:textId="77777777" w:rsidR="00EB49B1" w:rsidRPr="00E01239" w:rsidRDefault="00EB49B1" w:rsidP="00EB49B1">
      <w:pPr>
        <w:tabs>
          <w:tab w:val="left" w:pos="1585"/>
        </w:tabs>
        <w:jc w:val="both"/>
        <w:rPr>
          <w:rFonts w:asciiTheme="minorHAnsi" w:hAnsiTheme="minorHAnsi" w:cstheme="minorHAnsi"/>
          <w:sz w:val="22"/>
          <w:szCs w:val="22"/>
        </w:rPr>
      </w:pPr>
    </w:p>
    <w:p w14:paraId="7215AC82" w14:textId="77777777" w:rsidR="00081739" w:rsidRPr="00E01239" w:rsidRDefault="00081739">
      <w:pPr>
        <w:rPr>
          <w:rFonts w:asciiTheme="minorHAnsi" w:hAnsiTheme="minorHAnsi" w:cstheme="minorHAnsi"/>
          <w:b/>
          <w:bCs/>
          <w:sz w:val="22"/>
          <w:szCs w:val="22"/>
        </w:rPr>
      </w:pPr>
      <w:bookmarkStart w:id="601" w:name="_Toc101387286"/>
      <w:r w:rsidRPr="00E01239">
        <w:rPr>
          <w:rFonts w:asciiTheme="minorHAnsi" w:hAnsiTheme="minorHAnsi" w:cstheme="minorHAnsi"/>
          <w:sz w:val="22"/>
          <w:szCs w:val="22"/>
        </w:rPr>
        <w:br w:type="page"/>
      </w:r>
    </w:p>
    <w:p w14:paraId="76231A7C" w14:textId="1A184978" w:rsidR="00EB49B1" w:rsidRDefault="00EB49B1" w:rsidP="00EB49B1">
      <w:pPr>
        <w:pStyle w:val="Lgende"/>
        <w:keepNext/>
        <w:jc w:val="center"/>
        <w:rPr>
          <w:rFonts w:asciiTheme="minorHAnsi" w:hAnsiTheme="minorHAnsi" w:cstheme="minorHAnsi"/>
          <w:sz w:val="22"/>
          <w:szCs w:val="22"/>
        </w:rPr>
      </w:pPr>
      <w:bookmarkStart w:id="602" w:name="_Toc144654193"/>
      <w:r w:rsidRPr="00E01239">
        <w:rPr>
          <w:rFonts w:asciiTheme="minorHAnsi" w:hAnsiTheme="minorHAnsi" w:cstheme="minorHAnsi"/>
          <w:sz w:val="22"/>
          <w:szCs w:val="22"/>
        </w:rPr>
        <w:lastRenderedPageBreak/>
        <w:t xml:space="preserve">Tableau </w:t>
      </w:r>
      <w:r w:rsidRPr="00E01239">
        <w:rPr>
          <w:rFonts w:asciiTheme="minorHAnsi" w:hAnsiTheme="minorHAnsi" w:cstheme="minorHAnsi"/>
          <w:b w:val="0"/>
          <w:bCs w:val="0"/>
          <w:i/>
          <w:iCs/>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b w:val="0"/>
          <w:bCs w:val="0"/>
          <w:i/>
          <w:iCs/>
          <w:sz w:val="22"/>
          <w:szCs w:val="22"/>
        </w:rPr>
        <w:fldChar w:fldCharType="separate"/>
      </w:r>
      <w:r w:rsidR="005C3166">
        <w:rPr>
          <w:rFonts w:asciiTheme="minorHAnsi" w:hAnsiTheme="minorHAnsi" w:cstheme="minorHAnsi"/>
          <w:noProof/>
          <w:sz w:val="22"/>
          <w:szCs w:val="22"/>
        </w:rPr>
        <w:t>13</w:t>
      </w:r>
      <w:r w:rsidRPr="00E01239">
        <w:rPr>
          <w:rFonts w:asciiTheme="minorHAnsi" w:hAnsiTheme="minorHAnsi" w:cstheme="minorHAnsi"/>
          <w:b w:val="0"/>
          <w:bCs w:val="0"/>
          <w:i/>
          <w:iCs/>
          <w:sz w:val="22"/>
          <w:szCs w:val="22"/>
        </w:rPr>
        <w:fldChar w:fldCharType="end"/>
      </w:r>
      <w:r w:rsidRPr="00E01239">
        <w:rPr>
          <w:rFonts w:asciiTheme="minorHAnsi" w:hAnsiTheme="minorHAnsi" w:cstheme="minorHAnsi"/>
          <w:sz w:val="22"/>
          <w:szCs w:val="22"/>
        </w:rPr>
        <w:t>: Analyse comparative des fertilisants chimiques et organiques</w:t>
      </w:r>
      <w:bookmarkEnd w:id="601"/>
      <w:bookmarkEnd w:id="602"/>
    </w:p>
    <w:p w14:paraId="64FE4B90" w14:textId="77777777" w:rsidR="00F04EB7" w:rsidRDefault="00F04EB7" w:rsidP="008E4E4C"/>
    <w:tbl>
      <w:tblPr>
        <w:tblStyle w:val="Grilledutableau"/>
        <w:tblW w:w="0" w:type="auto"/>
        <w:jc w:val="center"/>
        <w:tblLook w:val="04A0" w:firstRow="1" w:lastRow="0" w:firstColumn="1" w:lastColumn="0" w:noHBand="0" w:noVBand="1"/>
      </w:tblPr>
      <w:tblGrid>
        <w:gridCol w:w="1271"/>
        <w:gridCol w:w="2580"/>
        <w:gridCol w:w="1926"/>
        <w:gridCol w:w="1926"/>
        <w:gridCol w:w="1926"/>
      </w:tblGrid>
      <w:tr w:rsidR="00F04EB7" w14:paraId="743260E4" w14:textId="77777777" w:rsidTr="00522938">
        <w:trPr>
          <w:jc w:val="center"/>
        </w:trPr>
        <w:tc>
          <w:tcPr>
            <w:tcW w:w="1271" w:type="dxa"/>
            <w:vAlign w:val="center"/>
          </w:tcPr>
          <w:p w14:paraId="12EA0872" w14:textId="77777777" w:rsidR="00F04EB7" w:rsidRDefault="00F04EB7" w:rsidP="008E4E4C"/>
        </w:tc>
        <w:tc>
          <w:tcPr>
            <w:tcW w:w="2580" w:type="dxa"/>
            <w:vAlign w:val="center"/>
          </w:tcPr>
          <w:p w14:paraId="3752B802" w14:textId="09993C71" w:rsidR="00F04EB7" w:rsidRPr="00522938" w:rsidRDefault="00F04EB7" w:rsidP="00522938">
            <w:pPr>
              <w:jc w:val="center"/>
              <w:rPr>
                <w:rFonts w:asciiTheme="minorHAnsi" w:hAnsiTheme="minorHAnsi" w:cstheme="minorHAnsi"/>
              </w:rPr>
            </w:pPr>
            <w:r w:rsidRPr="00522938">
              <w:rPr>
                <w:rFonts w:asciiTheme="minorHAnsi" w:hAnsiTheme="minorHAnsi" w:cstheme="minorHAnsi"/>
              </w:rPr>
              <w:t>Faisabilité technique</w:t>
            </w:r>
          </w:p>
        </w:tc>
        <w:tc>
          <w:tcPr>
            <w:tcW w:w="1926" w:type="dxa"/>
            <w:vAlign w:val="center"/>
          </w:tcPr>
          <w:p w14:paraId="7B6A0036" w14:textId="4DB36D25" w:rsidR="00F04EB7" w:rsidRPr="00522938" w:rsidRDefault="00F04EB7" w:rsidP="00522938">
            <w:pPr>
              <w:jc w:val="center"/>
              <w:rPr>
                <w:rFonts w:asciiTheme="minorHAnsi" w:hAnsiTheme="minorHAnsi" w:cstheme="minorHAnsi"/>
              </w:rPr>
            </w:pPr>
            <w:r w:rsidRPr="00522938">
              <w:rPr>
                <w:rFonts w:asciiTheme="minorHAnsi" w:hAnsiTheme="minorHAnsi" w:cstheme="minorHAnsi"/>
              </w:rPr>
              <w:t>Faisabilité économique</w:t>
            </w:r>
          </w:p>
        </w:tc>
        <w:tc>
          <w:tcPr>
            <w:tcW w:w="1926" w:type="dxa"/>
            <w:vAlign w:val="center"/>
          </w:tcPr>
          <w:p w14:paraId="2C970F81" w14:textId="2632867D" w:rsidR="00F04EB7" w:rsidRPr="00522938" w:rsidRDefault="00F04EB7" w:rsidP="00522938">
            <w:pPr>
              <w:jc w:val="center"/>
              <w:rPr>
                <w:rFonts w:asciiTheme="minorHAnsi" w:hAnsiTheme="minorHAnsi" w:cstheme="minorHAnsi"/>
              </w:rPr>
            </w:pPr>
            <w:r w:rsidRPr="00522938">
              <w:rPr>
                <w:rFonts w:asciiTheme="minorHAnsi" w:hAnsiTheme="minorHAnsi" w:cstheme="minorHAnsi"/>
              </w:rPr>
              <w:t>Impacts E&amp;S positifs</w:t>
            </w:r>
          </w:p>
        </w:tc>
        <w:tc>
          <w:tcPr>
            <w:tcW w:w="1926" w:type="dxa"/>
            <w:vAlign w:val="center"/>
          </w:tcPr>
          <w:p w14:paraId="3A3A9351" w14:textId="2181522C" w:rsidR="00F04EB7" w:rsidRPr="00522938" w:rsidRDefault="00F04EB7" w:rsidP="00522938">
            <w:pPr>
              <w:jc w:val="center"/>
              <w:rPr>
                <w:rFonts w:asciiTheme="minorHAnsi" w:hAnsiTheme="minorHAnsi" w:cstheme="minorHAnsi"/>
              </w:rPr>
            </w:pPr>
            <w:r w:rsidRPr="00522938">
              <w:rPr>
                <w:rFonts w:asciiTheme="minorHAnsi" w:hAnsiTheme="minorHAnsi" w:cstheme="minorHAnsi"/>
              </w:rPr>
              <w:t>Impacts E&amp;S négatifs</w:t>
            </w:r>
          </w:p>
        </w:tc>
      </w:tr>
      <w:tr w:rsidR="00F04EB7" w14:paraId="2185234F" w14:textId="77777777" w:rsidTr="00522938">
        <w:trPr>
          <w:jc w:val="center"/>
        </w:trPr>
        <w:tc>
          <w:tcPr>
            <w:tcW w:w="1271" w:type="dxa"/>
            <w:vAlign w:val="center"/>
          </w:tcPr>
          <w:p w14:paraId="4BBBFC32" w14:textId="574E8C57" w:rsidR="00F04EB7" w:rsidRDefault="00F04EB7" w:rsidP="008E4E4C">
            <w:r>
              <w:t>Fertilisant organique</w:t>
            </w:r>
          </w:p>
        </w:tc>
        <w:tc>
          <w:tcPr>
            <w:tcW w:w="2580" w:type="dxa"/>
            <w:vAlign w:val="center"/>
          </w:tcPr>
          <w:p w14:paraId="7318F2A9" w14:textId="77777777" w:rsidR="008E4E4C" w:rsidRDefault="00F04EB7" w:rsidP="00522938">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Favorise l’économie circulaire en utilisant les déchets organiques</w:t>
            </w:r>
          </w:p>
          <w:p w14:paraId="68D167EA" w14:textId="17B82491" w:rsidR="008E4E4C" w:rsidRPr="00E01239"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Son efficacité est limitée en saison</w:t>
            </w:r>
            <w:r>
              <w:rPr>
                <w:rFonts w:asciiTheme="minorHAnsi" w:hAnsiTheme="minorHAnsi" w:cstheme="minorHAnsi"/>
                <w:sz w:val="22"/>
                <w:szCs w:val="22"/>
                <w:lang w:bidi="fr-FR"/>
              </w:rPr>
              <w:t xml:space="preserve"> sèche</w:t>
            </w:r>
          </w:p>
          <w:p w14:paraId="5D55A216" w14:textId="77777777" w:rsidR="00F04EB7" w:rsidRDefault="00F04EB7" w:rsidP="008E4E4C">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 </w:t>
            </w:r>
            <w:r w:rsidR="008E4E4C" w:rsidRPr="00E01239">
              <w:rPr>
                <w:rFonts w:asciiTheme="minorHAnsi" w:hAnsiTheme="minorHAnsi" w:cstheme="minorHAnsi"/>
                <w:sz w:val="22"/>
                <w:szCs w:val="22"/>
                <w:lang w:bidi="fr-FR"/>
              </w:rPr>
              <w:t>Rythme de fertilisant très lent</w:t>
            </w:r>
          </w:p>
          <w:p w14:paraId="05C6DD43" w14:textId="68387A7F" w:rsidR="008E4E4C" w:rsidRPr="00522938"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Pr>
                <w:rFonts w:asciiTheme="minorHAnsi" w:hAnsiTheme="minorHAnsi" w:cstheme="minorHAnsi"/>
                <w:sz w:val="22"/>
                <w:szCs w:val="22"/>
                <w:lang w:bidi="fr-FR"/>
              </w:rPr>
              <w:t>Techniques peu maitrisées par les producteurs</w:t>
            </w:r>
          </w:p>
        </w:tc>
        <w:tc>
          <w:tcPr>
            <w:tcW w:w="1926" w:type="dxa"/>
            <w:vAlign w:val="center"/>
          </w:tcPr>
          <w:p w14:paraId="392317AD" w14:textId="4EE22D83" w:rsidR="00F04EB7" w:rsidRPr="00522938" w:rsidRDefault="00B84AC2" w:rsidP="00522938">
            <w:pPr>
              <w:pStyle w:val="Paragraphedeliste"/>
              <w:numPr>
                <w:ilvl w:val="0"/>
                <w:numId w:val="125"/>
              </w:numPr>
              <w:ind w:left="167" w:hanging="167"/>
              <w:jc w:val="both"/>
              <w:rPr>
                <w:rFonts w:asciiTheme="minorHAnsi" w:hAnsiTheme="minorHAnsi" w:cstheme="minorHAnsi"/>
                <w:sz w:val="22"/>
                <w:szCs w:val="22"/>
                <w:lang w:bidi="fr-FR"/>
              </w:rPr>
            </w:pPr>
            <w:r w:rsidRPr="00C75352">
              <w:rPr>
                <w:rFonts w:ascii="Calibri" w:hAnsi="Calibri" w:cs="Calibri"/>
                <w:sz w:val="22"/>
                <w:szCs w:val="22"/>
              </w:rPr>
              <w:t xml:space="preserve">Plus couteux </w:t>
            </w:r>
            <w:proofErr w:type="spellStart"/>
            <w:proofErr w:type="gramStart"/>
            <w:r w:rsidRPr="00C75352">
              <w:rPr>
                <w:rFonts w:ascii="Calibri" w:hAnsi="Calibri" w:cs="Calibri"/>
                <w:sz w:val="22"/>
                <w:szCs w:val="22"/>
              </w:rPr>
              <w:t>a</w:t>
            </w:r>
            <w:proofErr w:type="spellEnd"/>
            <w:proofErr w:type="gramEnd"/>
            <w:r w:rsidRPr="00C75352">
              <w:rPr>
                <w:rFonts w:ascii="Calibri" w:hAnsi="Calibri" w:cs="Calibri"/>
                <w:sz w:val="22"/>
                <w:szCs w:val="22"/>
              </w:rPr>
              <w:t xml:space="preserve"> court terme que les fertilisants chimiques mais </w:t>
            </w:r>
            <w:proofErr w:type="spellStart"/>
            <w:r w:rsidRPr="00C75352">
              <w:rPr>
                <w:rFonts w:ascii="Calibri" w:hAnsi="Calibri" w:cs="Calibri"/>
                <w:sz w:val="22"/>
                <w:szCs w:val="22"/>
              </w:rPr>
              <w:t>a</w:t>
            </w:r>
            <w:proofErr w:type="spellEnd"/>
            <w:r w:rsidRPr="00C75352">
              <w:rPr>
                <w:rFonts w:ascii="Calibri" w:hAnsi="Calibri" w:cs="Calibri"/>
                <w:sz w:val="22"/>
                <w:szCs w:val="22"/>
              </w:rPr>
              <w:t xml:space="preserve"> moyen et long terme am</w:t>
            </w:r>
            <w:r w:rsidR="00C75352">
              <w:rPr>
                <w:rFonts w:ascii="Calibri" w:hAnsi="Calibri" w:cs="Calibri"/>
                <w:sz w:val="22"/>
                <w:szCs w:val="22"/>
              </w:rPr>
              <w:t>é</w:t>
            </w:r>
            <w:r w:rsidRPr="00C75352">
              <w:rPr>
                <w:rFonts w:ascii="Calibri" w:hAnsi="Calibri" w:cs="Calibri"/>
                <w:sz w:val="22"/>
                <w:szCs w:val="22"/>
              </w:rPr>
              <w:t>liore les potentiels du sol</w:t>
            </w:r>
          </w:p>
        </w:tc>
        <w:tc>
          <w:tcPr>
            <w:tcW w:w="1926" w:type="dxa"/>
            <w:vAlign w:val="center"/>
          </w:tcPr>
          <w:p w14:paraId="06C274B4" w14:textId="3345BFCA" w:rsidR="00F04EB7" w:rsidRPr="00E01239" w:rsidRDefault="00F04EB7" w:rsidP="00522938">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Améliore la structure et les propriétés d</w:t>
            </w:r>
            <w:r w:rsidR="008E4E4C">
              <w:rPr>
                <w:rFonts w:asciiTheme="minorHAnsi" w:hAnsiTheme="minorHAnsi" w:cstheme="minorHAnsi"/>
                <w:sz w:val="22"/>
                <w:szCs w:val="22"/>
                <w:lang w:bidi="fr-FR"/>
              </w:rPr>
              <w:t>es</w:t>
            </w:r>
            <w:r w:rsidRPr="00E01239">
              <w:rPr>
                <w:rFonts w:asciiTheme="minorHAnsi" w:hAnsiTheme="minorHAnsi" w:cstheme="minorHAnsi"/>
                <w:sz w:val="22"/>
                <w:szCs w:val="22"/>
                <w:lang w:bidi="fr-FR"/>
              </w:rPr>
              <w:t xml:space="preserve"> sol</w:t>
            </w:r>
            <w:r w:rsidR="008E4E4C">
              <w:rPr>
                <w:rFonts w:asciiTheme="minorHAnsi" w:hAnsiTheme="minorHAnsi" w:cstheme="minorHAnsi"/>
                <w:sz w:val="22"/>
                <w:szCs w:val="22"/>
                <w:lang w:bidi="fr-FR"/>
              </w:rPr>
              <w:t>s</w:t>
            </w:r>
          </w:p>
          <w:p w14:paraId="24A13A54" w14:textId="3B52268C" w:rsidR="008E4E4C" w:rsidRPr="00E01239"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Pr>
                <w:rFonts w:asciiTheme="minorHAnsi" w:hAnsiTheme="minorHAnsi" w:cstheme="minorHAnsi"/>
                <w:sz w:val="22"/>
                <w:szCs w:val="22"/>
                <w:lang w:bidi="fr-FR"/>
              </w:rPr>
              <w:t>Présente un</w:t>
            </w:r>
            <w:r w:rsidRPr="00E01239">
              <w:rPr>
                <w:rFonts w:asciiTheme="minorHAnsi" w:hAnsiTheme="minorHAnsi" w:cstheme="minorHAnsi"/>
                <w:sz w:val="22"/>
                <w:szCs w:val="22"/>
                <w:lang w:bidi="fr-FR"/>
              </w:rPr>
              <w:t xml:space="preserve"> effet régulateur sur la température </w:t>
            </w:r>
            <w:r>
              <w:rPr>
                <w:rFonts w:asciiTheme="minorHAnsi" w:hAnsiTheme="minorHAnsi" w:cstheme="minorHAnsi"/>
                <w:sz w:val="22"/>
                <w:szCs w:val="22"/>
                <w:lang w:bidi="fr-FR"/>
              </w:rPr>
              <w:t>des</w:t>
            </w:r>
            <w:r w:rsidRPr="00E01239">
              <w:rPr>
                <w:rFonts w:asciiTheme="minorHAnsi" w:hAnsiTheme="minorHAnsi" w:cstheme="minorHAnsi"/>
                <w:sz w:val="22"/>
                <w:szCs w:val="22"/>
                <w:lang w:bidi="fr-FR"/>
              </w:rPr>
              <w:t xml:space="preserve"> sol</w:t>
            </w:r>
            <w:r>
              <w:rPr>
                <w:rFonts w:asciiTheme="minorHAnsi" w:hAnsiTheme="minorHAnsi" w:cstheme="minorHAnsi"/>
                <w:sz w:val="22"/>
                <w:szCs w:val="22"/>
                <w:lang w:bidi="fr-FR"/>
              </w:rPr>
              <w:t>s</w:t>
            </w:r>
          </w:p>
          <w:p w14:paraId="12501481" w14:textId="58476D60" w:rsidR="00F04EB7" w:rsidRPr="00522938"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Biodégradable et plus écologique</w:t>
            </w:r>
          </w:p>
        </w:tc>
        <w:tc>
          <w:tcPr>
            <w:tcW w:w="1926" w:type="dxa"/>
            <w:vAlign w:val="center"/>
          </w:tcPr>
          <w:p w14:paraId="252F455F" w14:textId="053C2E2B" w:rsidR="00F04EB7" w:rsidRPr="00522938" w:rsidRDefault="008E4E4C" w:rsidP="00522938">
            <w:pPr>
              <w:numPr>
                <w:ilvl w:val="0"/>
                <w:numId w:val="125"/>
              </w:numPr>
              <w:ind w:left="167" w:hanging="167"/>
              <w:contextualSpacing/>
              <w:jc w:val="both"/>
              <w:rPr>
                <w:rFonts w:asciiTheme="minorHAnsi" w:hAnsiTheme="minorHAnsi" w:cstheme="minorHAnsi"/>
                <w:sz w:val="22"/>
                <w:szCs w:val="22"/>
                <w:lang w:bidi="fr-FR"/>
              </w:rPr>
            </w:pPr>
            <w:r>
              <w:rPr>
                <w:rFonts w:asciiTheme="minorHAnsi" w:hAnsiTheme="minorHAnsi" w:cstheme="minorHAnsi"/>
                <w:sz w:val="22"/>
                <w:szCs w:val="22"/>
                <w:lang w:bidi="fr-FR"/>
              </w:rPr>
              <w:t>Aucun</w:t>
            </w:r>
          </w:p>
        </w:tc>
      </w:tr>
      <w:tr w:rsidR="00F04EB7" w14:paraId="55315790" w14:textId="77777777" w:rsidTr="00522938">
        <w:trPr>
          <w:jc w:val="center"/>
        </w:trPr>
        <w:tc>
          <w:tcPr>
            <w:tcW w:w="1271" w:type="dxa"/>
            <w:vAlign w:val="center"/>
          </w:tcPr>
          <w:p w14:paraId="0BA8405B" w14:textId="55F8C870" w:rsidR="00F04EB7" w:rsidRDefault="00F04EB7" w:rsidP="008E4E4C">
            <w:proofErr w:type="spellStart"/>
            <w:proofErr w:type="gramStart"/>
            <w:r>
              <w:t>ertilisation</w:t>
            </w:r>
            <w:proofErr w:type="spellEnd"/>
            <w:proofErr w:type="gramEnd"/>
            <w:r>
              <w:t xml:space="preserve"> chimique</w:t>
            </w:r>
          </w:p>
        </w:tc>
        <w:tc>
          <w:tcPr>
            <w:tcW w:w="2580" w:type="dxa"/>
            <w:vAlign w:val="center"/>
          </w:tcPr>
          <w:p w14:paraId="7C4E217F" w14:textId="47D87056" w:rsidR="008E4E4C" w:rsidRPr="00E01239"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Utilisation facile</w:t>
            </w:r>
          </w:p>
          <w:p w14:paraId="5C67F42E" w14:textId="35F06B91" w:rsidR="008E4E4C" w:rsidRPr="00E01239"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Pr>
                <w:rFonts w:asciiTheme="minorHAnsi" w:hAnsiTheme="minorHAnsi" w:cstheme="minorHAnsi"/>
                <w:sz w:val="22"/>
                <w:szCs w:val="22"/>
                <w:lang w:bidi="fr-FR"/>
              </w:rPr>
              <w:t>A</w:t>
            </w:r>
            <w:r w:rsidRPr="00E01239">
              <w:rPr>
                <w:rFonts w:asciiTheme="minorHAnsi" w:hAnsiTheme="minorHAnsi" w:cstheme="minorHAnsi"/>
                <w:sz w:val="22"/>
                <w:szCs w:val="22"/>
                <w:lang w:bidi="fr-FR"/>
              </w:rPr>
              <w:t>ction rapide,</w:t>
            </w:r>
          </w:p>
          <w:p w14:paraId="50B98E71" w14:textId="1B0F6A0C" w:rsidR="00F04EB7" w:rsidRPr="00522938"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des rendements</w:t>
            </w:r>
          </w:p>
        </w:tc>
        <w:tc>
          <w:tcPr>
            <w:tcW w:w="1926" w:type="dxa"/>
            <w:vAlign w:val="center"/>
          </w:tcPr>
          <w:p w14:paraId="799A6568" w14:textId="1F69E24D" w:rsidR="00F04EB7" w:rsidRPr="00522938" w:rsidRDefault="008E4E4C" w:rsidP="00522938">
            <w:pPr>
              <w:numPr>
                <w:ilvl w:val="0"/>
                <w:numId w:val="125"/>
              </w:numPr>
              <w:ind w:left="167" w:hanging="167"/>
              <w:contextualSpacing/>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Faible coût d’exploitation</w:t>
            </w:r>
            <w:r>
              <w:rPr>
                <w:rFonts w:asciiTheme="minorHAnsi" w:hAnsiTheme="minorHAnsi" w:cstheme="minorHAnsi"/>
                <w:sz w:val="22"/>
                <w:szCs w:val="22"/>
                <w:lang w:bidi="fr-FR"/>
              </w:rPr>
              <w:t xml:space="preserve"> par rapport aux fertilisants organiques</w:t>
            </w:r>
          </w:p>
        </w:tc>
        <w:tc>
          <w:tcPr>
            <w:tcW w:w="1926" w:type="dxa"/>
            <w:vAlign w:val="center"/>
          </w:tcPr>
          <w:p w14:paraId="33313740" w14:textId="77777777" w:rsidR="00F04EB7" w:rsidRPr="00522938" w:rsidRDefault="00F04EB7" w:rsidP="00522938">
            <w:pPr>
              <w:numPr>
                <w:ilvl w:val="0"/>
                <w:numId w:val="125"/>
              </w:numPr>
              <w:ind w:left="167" w:hanging="167"/>
              <w:contextualSpacing/>
              <w:jc w:val="both"/>
              <w:rPr>
                <w:rFonts w:asciiTheme="minorHAnsi" w:hAnsiTheme="minorHAnsi" w:cstheme="minorHAnsi"/>
                <w:sz w:val="22"/>
                <w:szCs w:val="22"/>
                <w:lang w:bidi="fr-FR"/>
              </w:rPr>
            </w:pPr>
          </w:p>
        </w:tc>
        <w:tc>
          <w:tcPr>
            <w:tcW w:w="1926" w:type="dxa"/>
            <w:vAlign w:val="center"/>
          </w:tcPr>
          <w:p w14:paraId="029348FB" w14:textId="77777777" w:rsidR="008E4E4C" w:rsidRPr="00E01239"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Modifie la stabilité des sols</w:t>
            </w:r>
          </w:p>
          <w:p w14:paraId="67637729" w14:textId="77777777" w:rsidR="008E4E4C" w:rsidRPr="00E01239"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Son utilisation intensive appauvri la terre </w:t>
            </w:r>
          </w:p>
          <w:p w14:paraId="6DDF3FA7" w14:textId="4E85E898" w:rsidR="008E4E4C" w:rsidRPr="00E01239"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Pollue les nappes phréatiques </w:t>
            </w:r>
          </w:p>
          <w:p w14:paraId="2899DFC2" w14:textId="0DCA4304" w:rsidR="008E4E4C" w:rsidRPr="00E01239"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Pr>
                <w:rFonts w:asciiTheme="minorHAnsi" w:hAnsiTheme="minorHAnsi" w:cstheme="minorHAnsi"/>
                <w:sz w:val="22"/>
                <w:szCs w:val="22"/>
                <w:lang w:bidi="fr-FR"/>
              </w:rPr>
              <w:t>Favorise</w:t>
            </w:r>
            <w:r w:rsidRPr="00E01239">
              <w:rPr>
                <w:rFonts w:asciiTheme="minorHAnsi" w:hAnsiTheme="minorHAnsi" w:cstheme="minorHAnsi"/>
                <w:sz w:val="22"/>
                <w:szCs w:val="22"/>
                <w:lang w:bidi="fr-FR"/>
              </w:rPr>
              <w:t xml:space="preserve"> l’eutrophisation des </w:t>
            </w:r>
            <w:r>
              <w:rPr>
                <w:rFonts w:asciiTheme="minorHAnsi" w:hAnsiTheme="minorHAnsi" w:cstheme="minorHAnsi"/>
                <w:sz w:val="22"/>
                <w:szCs w:val="22"/>
                <w:lang w:bidi="fr-FR"/>
              </w:rPr>
              <w:t>plans d’eau</w:t>
            </w:r>
            <w:r w:rsidRPr="00E01239">
              <w:rPr>
                <w:rFonts w:asciiTheme="minorHAnsi" w:hAnsiTheme="minorHAnsi" w:cstheme="minorHAnsi"/>
                <w:sz w:val="22"/>
                <w:szCs w:val="22"/>
                <w:lang w:bidi="fr-FR"/>
              </w:rPr>
              <w:t> </w:t>
            </w:r>
          </w:p>
          <w:p w14:paraId="19C59380" w14:textId="77777777" w:rsidR="00F04EB7" w:rsidRDefault="008E4E4C" w:rsidP="008E4E4C">
            <w:pPr>
              <w:pStyle w:val="Paragraphedeliste"/>
              <w:numPr>
                <w:ilvl w:val="0"/>
                <w:numId w:val="125"/>
              </w:numPr>
              <w:ind w:left="167" w:hanging="167"/>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Détruit la bactérie fixatrice d’azote</w:t>
            </w:r>
          </w:p>
          <w:p w14:paraId="02215E75" w14:textId="16B86831" w:rsidR="008E4E4C" w:rsidRPr="00522938" w:rsidRDefault="008E4E4C" w:rsidP="00522938">
            <w:pPr>
              <w:pStyle w:val="Paragraphedeliste"/>
              <w:numPr>
                <w:ilvl w:val="0"/>
                <w:numId w:val="125"/>
              </w:numPr>
              <w:ind w:left="167" w:hanging="167"/>
              <w:jc w:val="both"/>
              <w:rPr>
                <w:rFonts w:asciiTheme="minorHAnsi" w:hAnsiTheme="minorHAnsi" w:cstheme="minorHAnsi"/>
                <w:sz w:val="22"/>
                <w:szCs w:val="22"/>
                <w:lang w:bidi="fr-FR"/>
              </w:rPr>
            </w:pPr>
            <w:r>
              <w:rPr>
                <w:rFonts w:asciiTheme="minorHAnsi" w:hAnsiTheme="minorHAnsi" w:cstheme="minorHAnsi"/>
                <w:sz w:val="22"/>
                <w:szCs w:val="22"/>
                <w:lang w:bidi="fr-FR"/>
              </w:rPr>
              <w:t>Expose les producteurs et les populations des zones environnantes à des risques sanitaires</w:t>
            </w:r>
          </w:p>
        </w:tc>
      </w:tr>
    </w:tbl>
    <w:p w14:paraId="2E46F87E" w14:textId="77777777" w:rsidR="00F04EB7" w:rsidRDefault="00F04EB7" w:rsidP="008E4E4C"/>
    <w:p w14:paraId="0AA18EFF" w14:textId="77777777" w:rsidR="00F04EB7" w:rsidRPr="00522938" w:rsidRDefault="00F04EB7" w:rsidP="00522938">
      <w:pPr>
        <w:rPr>
          <w:b/>
          <w:bCs/>
        </w:rPr>
      </w:pPr>
    </w:p>
    <w:p w14:paraId="03B8388D" w14:textId="11CCB7DD" w:rsidR="00EB49B1" w:rsidRPr="00E01239" w:rsidRDefault="00EB49B1" w:rsidP="00263B8A">
      <w:pPr>
        <w:spacing w:before="120" w:line="280" w:lineRule="exact"/>
        <w:jc w:val="both"/>
        <w:rPr>
          <w:rFonts w:asciiTheme="minorHAnsi" w:hAnsiTheme="minorHAnsi" w:cstheme="minorHAnsi"/>
          <w:sz w:val="22"/>
          <w:szCs w:val="22"/>
          <w:lang w:eastAsia="x-none"/>
        </w:rPr>
      </w:pPr>
      <w:r w:rsidRPr="00E01239">
        <w:rPr>
          <w:rFonts w:asciiTheme="minorHAnsi" w:hAnsiTheme="minorHAnsi" w:cstheme="minorHAnsi"/>
          <w:sz w:val="22"/>
          <w:szCs w:val="22"/>
          <w:lang w:eastAsia="x-none"/>
        </w:rPr>
        <w:t>Une analyse comparative des fertilisants organiques et chimiques selon leurs avantages et inconvénients nous permet de ressortir ces quelques aspects. Dans le cadre du projet</w:t>
      </w:r>
      <w:r w:rsidR="00087784">
        <w:rPr>
          <w:rFonts w:asciiTheme="minorHAnsi" w:hAnsiTheme="minorHAnsi" w:cstheme="minorHAnsi"/>
          <w:sz w:val="22"/>
          <w:szCs w:val="22"/>
          <w:lang w:eastAsia="x-none"/>
        </w:rPr>
        <w:t>,</w:t>
      </w:r>
      <w:r w:rsidRPr="00E01239">
        <w:rPr>
          <w:rFonts w:asciiTheme="minorHAnsi" w:hAnsiTheme="minorHAnsi" w:cstheme="minorHAnsi"/>
          <w:sz w:val="22"/>
          <w:szCs w:val="22"/>
          <w:lang w:eastAsia="x-none"/>
        </w:rPr>
        <w:t xml:space="preserve"> la fertilisation chimique </w:t>
      </w:r>
      <w:r w:rsidR="00452768">
        <w:rPr>
          <w:rFonts w:asciiTheme="minorHAnsi" w:hAnsiTheme="minorHAnsi" w:cstheme="minorHAnsi"/>
          <w:sz w:val="22"/>
          <w:szCs w:val="22"/>
          <w:lang w:eastAsia="x-none"/>
        </w:rPr>
        <w:t>peut sembler plus</w:t>
      </w:r>
      <w:r w:rsidRPr="00E01239">
        <w:rPr>
          <w:rFonts w:asciiTheme="minorHAnsi" w:hAnsiTheme="minorHAnsi" w:cstheme="minorHAnsi"/>
          <w:sz w:val="22"/>
          <w:szCs w:val="22"/>
          <w:lang w:eastAsia="x-none"/>
        </w:rPr>
        <w:t xml:space="preserve"> adaptée du fait </w:t>
      </w:r>
      <w:r w:rsidR="002E7743" w:rsidRPr="00E01239">
        <w:rPr>
          <w:rFonts w:asciiTheme="minorHAnsi" w:hAnsiTheme="minorHAnsi" w:cstheme="minorHAnsi"/>
          <w:sz w:val="22"/>
          <w:szCs w:val="22"/>
          <w:lang w:eastAsia="x-none"/>
        </w:rPr>
        <w:t>de s</w:t>
      </w:r>
      <w:r w:rsidRPr="00E01239">
        <w:rPr>
          <w:rFonts w:asciiTheme="minorHAnsi" w:hAnsiTheme="minorHAnsi" w:cstheme="minorHAnsi"/>
          <w:sz w:val="22"/>
          <w:szCs w:val="22"/>
          <w:lang w:eastAsia="x-none"/>
        </w:rPr>
        <w:t xml:space="preserve">on action rapide dans le temps </w:t>
      </w:r>
      <w:r w:rsidR="002E7743" w:rsidRPr="00E01239">
        <w:rPr>
          <w:rFonts w:asciiTheme="minorHAnsi" w:hAnsiTheme="minorHAnsi" w:cstheme="minorHAnsi"/>
          <w:sz w:val="22"/>
          <w:szCs w:val="22"/>
          <w:lang w:eastAsia="x-none"/>
        </w:rPr>
        <w:t xml:space="preserve">qui </w:t>
      </w:r>
      <w:r w:rsidRPr="00E01239">
        <w:rPr>
          <w:rFonts w:asciiTheme="minorHAnsi" w:hAnsiTheme="minorHAnsi" w:cstheme="minorHAnsi"/>
          <w:sz w:val="22"/>
          <w:szCs w:val="22"/>
          <w:lang w:eastAsia="x-none"/>
        </w:rPr>
        <w:t xml:space="preserve">permet l’atteinte de ces objectifs par l’amélioration des rendements à des coûts </w:t>
      </w:r>
      <w:r w:rsidR="00452768">
        <w:rPr>
          <w:rFonts w:asciiTheme="minorHAnsi" w:hAnsiTheme="minorHAnsi" w:cstheme="minorHAnsi"/>
          <w:sz w:val="22"/>
          <w:szCs w:val="22"/>
          <w:lang w:eastAsia="x-none"/>
        </w:rPr>
        <w:t xml:space="preserve">qui étaient </w:t>
      </w:r>
      <w:r w:rsidRPr="00E01239">
        <w:rPr>
          <w:rFonts w:asciiTheme="minorHAnsi" w:hAnsiTheme="minorHAnsi" w:cstheme="minorHAnsi"/>
          <w:sz w:val="22"/>
          <w:szCs w:val="22"/>
          <w:lang w:eastAsia="x-none"/>
        </w:rPr>
        <w:t>faibles</w:t>
      </w:r>
      <w:r w:rsidR="00452768">
        <w:rPr>
          <w:rFonts w:asciiTheme="minorHAnsi" w:hAnsiTheme="minorHAnsi" w:cstheme="minorHAnsi"/>
          <w:sz w:val="22"/>
          <w:szCs w:val="22"/>
          <w:lang w:eastAsia="x-none"/>
        </w:rPr>
        <w:t xml:space="preserve"> mais ont considérablement augmenté</w:t>
      </w:r>
      <w:r w:rsidRPr="00E01239">
        <w:rPr>
          <w:rFonts w:asciiTheme="minorHAnsi" w:hAnsiTheme="minorHAnsi" w:cstheme="minorHAnsi"/>
          <w:sz w:val="22"/>
          <w:szCs w:val="22"/>
          <w:lang w:eastAsia="x-none"/>
        </w:rPr>
        <w:t>.</w:t>
      </w:r>
    </w:p>
    <w:p w14:paraId="4D5E30AB" w14:textId="75B6463D" w:rsidR="00EB49B1" w:rsidRPr="00E01239" w:rsidRDefault="00452768" w:rsidP="00263B8A">
      <w:pPr>
        <w:spacing w:before="120" w:line="280" w:lineRule="exact"/>
        <w:jc w:val="both"/>
        <w:rPr>
          <w:rFonts w:asciiTheme="minorHAnsi" w:hAnsiTheme="minorHAnsi" w:cstheme="minorHAnsi"/>
          <w:sz w:val="22"/>
          <w:szCs w:val="22"/>
          <w:lang w:eastAsia="x-none"/>
        </w:rPr>
      </w:pPr>
      <w:r>
        <w:rPr>
          <w:rFonts w:asciiTheme="minorHAnsi" w:hAnsiTheme="minorHAnsi" w:cstheme="minorHAnsi"/>
          <w:sz w:val="22"/>
          <w:szCs w:val="22"/>
          <w:lang w:eastAsia="x-none"/>
        </w:rPr>
        <w:t>De plus</w:t>
      </w:r>
      <w:r w:rsidRPr="00E01239">
        <w:rPr>
          <w:rFonts w:asciiTheme="minorHAnsi" w:hAnsiTheme="minorHAnsi" w:cstheme="minorHAnsi"/>
          <w:sz w:val="22"/>
          <w:szCs w:val="22"/>
          <w:lang w:eastAsia="x-none"/>
        </w:rPr>
        <w:t xml:space="preserve"> </w:t>
      </w:r>
      <w:r w:rsidR="00EB49B1" w:rsidRPr="00E01239">
        <w:rPr>
          <w:rFonts w:asciiTheme="minorHAnsi" w:hAnsiTheme="minorHAnsi" w:cstheme="minorHAnsi"/>
          <w:sz w:val="22"/>
          <w:szCs w:val="22"/>
          <w:lang w:eastAsia="x-none"/>
        </w:rPr>
        <w:t>cette méthode de fertilisation regorge d’énormes risques à savoir la déstabilisation du sol et des nappes phréatiques par la pollution de ces derniers. Du point de vue qualité de la production</w:t>
      </w:r>
      <w:r>
        <w:rPr>
          <w:rFonts w:asciiTheme="minorHAnsi" w:hAnsiTheme="minorHAnsi" w:cstheme="minorHAnsi"/>
          <w:sz w:val="22"/>
          <w:szCs w:val="22"/>
          <w:lang w:eastAsia="x-none"/>
        </w:rPr>
        <w:t xml:space="preserve"> et gestion durable des sols</w:t>
      </w:r>
      <w:r w:rsidR="00087784">
        <w:rPr>
          <w:rFonts w:asciiTheme="minorHAnsi" w:hAnsiTheme="minorHAnsi" w:cstheme="minorHAnsi"/>
          <w:sz w:val="22"/>
          <w:szCs w:val="22"/>
          <w:lang w:eastAsia="x-none"/>
        </w:rPr>
        <w:t>,</w:t>
      </w:r>
      <w:r w:rsidR="00EB49B1" w:rsidRPr="00E01239">
        <w:rPr>
          <w:rFonts w:asciiTheme="minorHAnsi" w:hAnsiTheme="minorHAnsi" w:cstheme="minorHAnsi"/>
          <w:sz w:val="22"/>
          <w:szCs w:val="22"/>
          <w:lang w:eastAsia="x-none"/>
        </w:rPr>
        <w:t xml:space="preserve"> la fertilisation organique est préconisée. Cette technique est plus propre et permet de faire une agriculture bio tout en respectant l’environnement.</w:t>
      </w:r>
    </w:p>
    <w:p w14:paraId="0EAA37B5" w14:textId="77777777" w:rsidR="00E264FA" w:rsidRPr="00E01239" w:rsidRDefault="00E264FA" w:rsidP="00202CE9">
      <w:pPr>
        <w:rPr>
          <w:rFonts w:asciiTheme="minorHAnsi" w:hAnsiTheme="minorHAnsi" w:cstheme="minorHAnsi"/>
        </w:rPr>
      </w:pPr>
    </w:p>
    <w:p w14:paraId="0366B6FB" w14:textId="77777777" w:rsidR="00E264FA" w:rsidRPr="00E01239" w:rsidRDefault="00E264FA" w:rsidP="00202CE9">
      <w:pPr>
        <w:rPr>
          <w:rFonts w:asciiTheme="minorHAnsi" w:hAnsiTheme="minorHAnsi" w:cstheme="minorHAnsi"/>
        </w:rPr>
      </w:pPr>
    </w:p>
    <w:p w14:paraId="562429D4" w14:textId="77777777" w:rsidR="00E264FA" w:rsidRPr="00E01239" w:rsidRDefault="00E264FA" w:rsidP="00202CE9">
      <w:pPr>
        <w:rPr>
          <w:rFonts w:asciiTheme="minorHAnsi" w:hAnsiTheme="minorHAnsi" w:cstheme="minorHAnsi"/>
        </w:rPr>
      </w:pPr>
    </w:p>
    <w:p w14:paraId="3649A1EF" w14:textId="77777777" w:rsidR="00E264FA" w:rsidRPr="00E01239" w:rsidRDefault="00E264FA" w:rsidP="00263B8A">
      <w:pPr>
        <w:spacing w:before="120" w:line="280" w:lineRule="exact"/>
        <w:jc w:val="both"/>
        <w:rPr>
          <w:rFonts w:asciiTheme="minorHAnsi" w:hAnsiTheme="minorHAnsi" w:cstheme="minorHAnsi"/>
          <w:sz w:val="22"/>
          <w:szCs w:val="22"/>
          <w:lang w:eastAsia="x-none"/>
        </w:rPr>
      </w:pPr>
    </w:p>
    <w:p w14:paraId="317DF9D9" w14:textId="77777777" w:rsidR="00EB49B1" w:rsidRPr="00E01239" w:rsidRDefault="00EB49B1" w:rsidP="00EB49B1">
      <w:pPr>
        <w:rPr>
          <w:rFonts w:asciiTheme="minorHAnsi" w:hAnsiTheme="minorHAnsi" w:cstheme="minorHAnsi"/>
          <w:sz w:val="22"/>
          <w:szCs w:val="22"/>
          <w:lang w:eastAsia="x-none"/>
        </w:rPr>
      </w:pPr>
    </w:p>
    <w:p w14:paraId="48E6B89F" w14:textId="77777777" w:rsidR="00EB49B1" w:rsidRPr="00E01239" w:rsidRDefault="00EB49B1" w:rsidP="00EB49B1">
      <w:pPr>
        <w:rPr>
          <w:rFonts w:asciiTheme="minorHAnsi" w:hAnsiTheme="minorHAnsi" w:cstheme="minorHAnsi"/>
          <w:sz w:val="22"/>
          <w:szCs w:val="22"/>
          <w:lang w:eastAsia="x-none"/>
        </w:rPr>
      </w:pPr>
    </w:p>
    <w:p w14:paraId="56458DD8" w14:textId="77777777" w:rsidR="00EB49B1" w:rsidRPr="00E01239" w:rsidRDefault="00EB49B1" w:rsidP="00EB49B1">
      <w:pPr>
        <w:rPr>
          <w:rFonts w:asciiTheme="minorHAnsi" w:hAnsiTheme="minorHAnsi" w:cstheme="minorHAnsi"/>
          <w:sz w:val="22"/>
          <w:szCs w:val="22"/>
          <w:lang w:eastAsia="x-none"/>
        </w:rPr>
        <w:sectPr w:rsidR="00EB49B1" w:rsidRPr="00E01239" w:rsidSect="004D34DB">
          <w:pgSz w:w="11907" w:h="16840" w:code="9"/>
          <w:pgMar w:top="1418" w:right="1134" w:bottom="1560" w:left="1134" w:header="709" w:footer="781" w:gutter="0"/>
          <w:pgBorders w:offsetFrom="page">
            <w:top w:val="none" w:sz="0" w:space="14" w:color="000000" w:shadow="1"/>
            <w:left w:val="none" w:sz="55" w:space="20" w:color="000030" w:shadow="1" w:frame="1"/>
            <w:bottom w:val="none" w:sz="55" w:space="13" w:color="000030" w:shadow="1" w:frame="1"/>
            <w:right w:val="none" w:sz="0" w:space="14" w:color="0000B4" w:shadow="1"/>
          </w:pgBorders>
          <w:cols w:space="708"/>
          <w:docGrid w:linePitch="360"/>
        </w:sectPr>
      </w:pPr>
    </w:p>
    <w:p w14:paraId="059ABBE5" w14:textId="77777777" w:rsidR="00B21E37" w:rsidRPr="00E01239" w:rsidRDefault="000E3ECE" w:rsidP="00112918">
      <w:pPr>
        <w:pStyle w:val="Titre1"/>
        <w:keepNext w:val="0"/>
        <w:keepLines w:val="0"/>
        <w:numPr>
          <w:ilvl w:val="0"/>
          <w:numId w:val="1"/>
        </w:numPr>
        <w:pBdr>
          <w:top w:val="single" w:sz="12" w:space="1" w:color="auto"/>
          <w:bottom w:val="single" w:sz="12" w:space="1" w:color="auto"/>
        </w:pBdr>
        <w:shd w:val="clear" w:color="auto" w:fill="000000" w:themeFill="text1"/>
        <w:tabs>
          <w:tab w:val="left" w:pos="284"/>
        </w:tabs>
        <w:spacing w:before="0"/>
        <w:ind w:left="-1418" w:right="-1418" w:firstLine="1418"/>
        <w:rPr>
          <w:rFonts w:asciiTheme="minorHAnsi" w:hAnsiTheme="minorHAnsi" w:cstheme="minorHAnsi"/>
          <w:bCs w:val="0"/>
          <w:color w:val="auto"/>
          <w:lang w:eastAsia="x-none"/>
        </w:rPr>
      </w:pPr>
      <w:bookmarkStart w:id="603" w:name="_Toc144654106"/>
      <w:r w:rsidRPr="00E01239">
        <w:rPr>
          <w:rFonts w:asciiTheme="minorHAnsi" w:hAnsiTheme="minorHAnsi" w:cstheme="minorHAnsi"/>
          <w:bCs w:val="0"/>
          <w:color w:val="auto"/>
          <w:lang w:eastAsia="x-none"/>
        </w:rPr>
        <w:lastRenderedPageBreak/>
        <w:t>IMPACTS/</w:t>
      </w:r>
      <w:r w:rsidR="00A4027D" w:rsidRPr="00E01239">
        <w:rPr>
          <w:rFonts w:asciiTheme="minorHAnsi" w:hAnsiTheme="minorHAnsi" w:cstheme="minorHAnsi"/>
          <w:bCs w:val="0"/>
          <w:color w:val="auto"/>
          <w:lang w:eastAsia="x-none"/>
        </w:rPr>
        <w:t>RISQUES</w:t>
      </w:r>
      <w:r w:rsidR="009C76C7" w:rsidRPr="00E01239">
        <w:rPr>
          <w:rFonts w:asciiTheme="minorHAnsi" w:hAnsiTheme="minorHAnsi" w:cstheme="minorHAnsi"/>
          <w:bCs w:val="0"/>
          <w:color w:val="auto"/>
          <w:lang w:eastAsia="x-none"/>
        </w:rPr>
        <w:t xml:space="preserve"> </w:t>
      </w:r>
      <w:bookmarkEnd w:id="581"/>
      <w:r w:rsidR="007E5627" w:rsidRPr="00E01239">
        <w:rPr>
          <w:rFonts w:asciiTheme="minorHAnsi" w:hAnsiTheme="minorHAnsi" w:cstheme="minorHAnsi"/>
          <w:bCs w:val="0"/>
          <w:color w:val="auto"/>
          <w:lang w:eastAsia="x-none"/>
        </w:rPr>
        <w:t>POTENTIELS</w:t>
      </w:r>
      <w:bookmarkEnd w:id="582"/>
      <w:bookmarkEnd w:id="583"/>
      <w:bookmarkEnd w:id="603"/>
      <w:r w:rsidR="007E5627" w:rsidRPr="00E01239">
        <w:rPr>
          <w:rFonts w:asciiTheme="minorHAnsi" w:hAnsiTheme="minorHAnsi" w:cstheme="minorHAnsi"/>
          <w:bCs w:val="0"/>
          <w:color w:val="auto"/>
          <w:lang w:eastAsia="x-none"/>
        </w:rPr>
        <w:t xml:space="preserve"> </w:t>
      </w:r>
      <w:bookmarkEnd w:id="584"/>
      <w:bookmarkEnd w:id="585"/>
    </w:p>
    <w:p w14:paraId="1C26EDE6" w14:textId="5CD68060" w:rsidR="00462169" w:rsidRPr="00E01239" w:rsidRDefault="008432BC" w:rsidP="00263B8A">
      <w:pPr>
        <w:spacing w:before="120" w:line="280" w:lineRule="exact"/>
        <w:jc w:val="both"/>
        <w:rPr>
          <w:rFonts w:asciiTheme="minorHAnsi" w:hAnsiTheme="minorHAnsi" w:cstheme="minorHAnsi"/>
          <w:sz w:val="22"/>
          <w:szCs w:val="22"/>
        </w:rPr>
      </w:pPr>
      <w:bookmarkStart w:id="604" w:name="_Toc440916136"/>
      <w:bookmarkStart w:id="605" w:name="_Toc288606266"/>
      <w:r w:rsidRPr="00E01239">
        <w:rPr>
          <w:rFonts w:asciiTheme="minorHAnsi" w:hAnsiTheme="minorHAnsi" w:cstheme="minorHAnsi"/>
          <w:sz w:val="22"/>
          <w:szCs w:val="22"/>
        </w:rPr>
        <w:t>Dans le présent chapitre, nous traiterons d</w:t>
      </w:r>
      <w:r w:rsidR="002A37D3" w:rsidRPr="00E01239">
        <w:rPr>
          <w:rFonts w:asciiTheme="minorHAnsi" w:hAnsiTheme="minorHAnsi" w:cstheme="minorHAnsi"/>
          <w:sz w:val="22"/>
          <w:szCs w:val="22"/>
        </w:rPr>
        <w:t>’une part, des enjeux environnementaux et sociaux stratégiques inhérents au programme de résilience des systèmes alimentaires au Sénégal et d’autre part, des effets ou</w:t>
      </w:r>
      <w:r w:rsidRPr="00E01239">
        <w:rPr>
          <w:rFonts w:asciiTheme="minorHAnsi" w:hAnsiTheme="minorHAnsi" w:cstheme="minorHAnsi"/>
          <w:sz w:val="22"/>
          <w:szCs w:val="22"/>
        </w:rPr>
        <w:t xml:space="preserve"> impacts </w:t>
      </w:r>
      <w:r w:rsidR="00BF6AAB" w:rsidRPr="00E01239">
        <w:rPr>
          <w:rFonts w:asciiTheme="minorHAnsi" w:hAnsiTheme="minorHAnsi" w:cstheme="minorHAnsi"/>
          <w:sz w:val="22"/>
          <w:szCs w:val="22"/>
        </w:rPr>
        <w:t xml:space="preserve">positifs </w:t>
      </w:r>
      <w:r w:rsidR="002A37D3" w:rsidRPr="00E01239">
        <w:rPr>
          <w:rFonts w:asciiTheme="minorHAnsi" w:hAnsiTheme="minorHAnsi" w:cstheme="minorHAnsi"/>
          <w:sz w:val="22"/>
          <w:szCs w:val="22"/>
        </w:rPr>
        <w:t xml:space="preserve">comme </w:t>
      </w:r>
      <w:r w:rsidR="00BF6AAB" w:rsidRPr="00E01239">
        <w:rPr>
          <w:rFonts w:asciiTheme="minorHAnsi" w:hAnsiTheme="minorHAnsi" w:cstheme="minorHAnsi"/>
          <w:sz w:val="22"/>
          <w:szCs w:val="22"/>
        </w:rPr>
        <w:t xml:space="preserve">négatifs </w:t>
      </w:r>
      <w:r w:rsidR="002A37D3" w:rsidRPr="00E01239">
        <w:rPr>
          <w:rFonts w:asciiTheme="minorHAnsi" w:hAnsiTheme="minorHAnsi" w:cstheme="minorHAnsi"/>
          <w:sz w:val="22"/>
          <w:szCs w:val="22"/>
        </w:rPr>
        <w:t>du FSRP-S</w:t>
      </w:r>
      <w:r w:rsidR="00E264FA" w:rsidRPr="00E01239">
        <w:rPr>
          <w:rFonts w:asciiTheme="minorHAnsi" w:hAnsiTheme="minorHAnsi" w:cstheme="minorHAnsi"/>
          <w:sz w:val="22"/>
          <w:szCs w:val="22"/>
        </w:rPr>
        <w:t xml:space="preserve">N </w:t>
      </w:r>
      <w:r w:rsidR="002A37D3" w:rsidRPr="00E01239">
        <w:rPr>
          <w:rFonts w:asciiTheme="minorHAnsi" w:hAnsiTheme="minorHAnsi" w:cstheme="minorHAnsi"/>
          <w:sz w:val="22"/>
          <w:szCs w:val="22"/>
        </w:rPr>
        <w:t>sur ces différents enjeux</w:t>
      </w:r>
      <w:r w:rsidRPr="00E01239">
        <w:rPr>
          <w:rFonts w:asciiTheme="minorHAnsi" w:hAnsiTheme="minorHAnsi" w:cstheme="minorHAnsi"/>
          <w:sz w:val="22"/>
          <w:szCs w:val="22"/>
        </w:rPr>
        <w:t xml:space="preserve">. </w:t>
      </w:r>
    </w:p>
    <w:p w14:paraId="1C8162C1" w14:textId="77777777" w:rsidR="00A103D2" w:rsidRPr="00E01239" w:rsidRDefault="00A103D2" w:rsidP="00582C4E">
      <w:pPr>
        <w:spacing w:before="120" w:line="360" w:lineRule="exact"/>
        <w:rPr>
          <w:rFonts w:asciiTheme="minorHAnsi" w:hAnsiTheme="minorHAnsi" w:cstheme="minorHAnsi"/>
          <w:b/>
          <w:sz w:val="22"/>
          <w:szCs w:val="22"/>
        </w:rPr>
      </w:pPr>
      <w:bookmarkStart w:id="606" w:name="_Hlk61974454"/>
    </w:p>
    <w:p w14:paraId="2AB6438E" w14:textId="334148A8" w:rsidR="00A103D2" w:rsidRPr="00E01239" w:rsidRDefault="00B85310" w:rsidP="0011733B">
      <w:pPr>
        <w:pStyle w:val="Titre2"/>
        <w:rPr>
          <w:rFonts w:asciiTheme="minorHAnsi" w:hAnsiTheme="minorHAnsi" w:cstheme="minorHAnsi"/>
          <w:color w:val="auto"/>
        </w:rPr>
      </w:pPr>
      <w:bookmarkStart w:id="607" w:name="_Toc144654107"/>
      <w:r w:rsidRPr="00E01239">
        <w:rPr>
          <w:rFonts w:asciiTheme="minorHAnsi" w:hAnsiTheme="minorHAnsi" w:cstheme="minorHAnsi"/>
          <w:color w:val="auto"/>
        </w:rPr>
        <w:t>IDENTIFICATION DES DIFFERENTS ENJEUX E&amp;S INHERENTS AU FSRP-S</w:t>
      </w:r>
      <w:r w:rsidR="007F5D6A" w:rsidRPr="00E01239">
        <w:rPr>
          <w:rFonts w:asciiTheme="minorHAnsi" w:hAnsiTheme="minorHAnsi" w:cstheme="minorHAnsi"/>
          <w:color w:val="auto"/>
        </w:rPr>
        <w:t>N</w:t>
      </w:r>
      <w:bookmarkEnd w:id="607"/>
    </w:p>
    <w:p w14:paraId="32E1709D" w14:textId="49E098C9" w:rsidR="007F5D6A" w:rsidRPr="00E01239" w:rsidRDefault="005E7F2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L’objectif du présent chapitre consiste à analyser les effets </w:t>
      </w:r>
      <w:r w:rsidR="00DA6218">
        <w:rPr>
          <w:rFonts w:asciiTheme="minorHAnsi" w:hAnsiTheme="minorHAnsi" w:cstheme="minorHAnsi"/>
          <w:sz w:val="22"/>
          <w:szCs w:val="22"/>
        </w:rPr>
        <w:t>potentiels</w:t>
      </w:r>
      <w:r w:rsidR="00DA6218" w:rsidRPr="00E01239">
        <w:rPr>
          <w:rFonts w:asciiTheme="minorHAnsi" w:hAnsiTheme="minorHAnsi" w:cstheme="minorHAnsi"/>
          <w:sz w:val="22"/>
          <w:szCs w:val="22"/>
        </w:rPr>
        <w:t xml:space="preserve"> </w:t>
      </w:r>
      <w:r w:rsidRPr="00E01239">
        <w:rPr>
          <w:rFonts w:asciiTheme="minorHAnsi" w:hAnsiTheme="minorHAnsi" w:cstheme="minorHAnsi"/>
          <w:sz w:val="22"/>
          <w:szCs w:val="22"/>
        </w:rPr>
        <w:t xml:space="preserve">de la mise en œuvre des activités du </w:t>
      </w:r>
      <w:r w:rsidR="007F5D6A" w:rsidRPr="00E01239">
        <w:rPr>
          <w:rFonts w:asciiTheme="minorHAnsi" w:hAnsiTheme="minorHAnsi" w:cstheme="minorHAnsi"/>
          <w:sz w:val="22"/>
          <w:szCs w:val="22"/>
        </w:rPr>
        <w:t>FSRP-SN</w:t>
      </w:r>
      <w:r w:rsidRPr="00E01239">
        <w:rPr>
          <w:rFonts w:asciiTheme="minorHAnsi" w:hAnsiTheme="minorHAnsi" w:cstheme="minorHAnsi"/>
          <w:sz w:val="22"/>
          <w:szCs w:val="22"/>
        </w:rPr>
        <w:t xml:space="preserve"> </w:t>
      </w:r>
      <w:r w:rsidR="007F5D6A" w:rsidRPr="00E01239">
        <w:rPr>
          <w:rFonts w:asciiTheme="minorHAnsi" w:hAnsiTheme="minorHAnsi" w:cstheme="minorHAnsi"/>
          <w:sz w:val="22"/>
          <w:szCs w:val="22"/>
        </w:rPr>
        <w:t xml:space="preserve">sur </w:t>
      </w:r>
      <w:r w:rsidR="001A3777">
        <w:rPr>
          <w:rFonts w:asciiTheme="minorHAnsi" w:hAnsiTheme="minorHAnsi" w:cstheme="minorHAnsi"/>
          <w:sz w:val="22"/>
          <w:szCs w:val="22"/>
        </w:rPr>
        <w:t xml:space="preserve">les </w:t>
      </w:r>
      <w:r w:rsidR="007F5D6A" w:rsidRPr="00E01239">
        <w:rPr>
          <w:rFonts w:asciiTheme="minorHAnsi" w:hAnsiTheme="minorHAnsi" w:cstheme="minorHAnsi"/>
          <w:sz w:val="22"/>
          <w:szCs w:val="22"/>
        </w:rPr>
        <w:t>composantes environnementales et sociales de la zone d’intervention dudit p</w:t>
      </w:r>
      <w:r w:rsidR="00E264FA" w:rsidRPr="00E01239">
        <w:rPr>
          <w:rFonts w:asciiTheme="minorHAnsi" w:hAnsiTheme="minorHAnsi" w:cstheme="minorHAnsi"/>
          <w:sz w:val="22"/>
          <w:szCs w:val="22"/>
        </w:rPr>
        <w:t>r</w:t>
      </w:r>
      <w:r w:rsidR="007F5D6A" w:rsidRPr="00E01239">
        <w:rPr>
          <w:rFonts w:asciiTheme="minorHAnsi" w:hAnsiTheme="minorHAnsi" w:cstheme="minorHAnsi"/>
          <w:sz w:val="22"/>
          <w:szCs w:val="22"/>
        </w:rPr>
        <w:t>ogramme</w:t>
      </w:r>
      <w:r w:rsidR="00806A39" w:rsidRPr="00E01239">
        <w:rPr>
          <w:rFonts w:asciiTheme="minorHAnsi" w:hAnsiTheme="minorHAnsi" w:cstheme="minorHAnsi"/>
          <w:sz w:val="22"/>
          <w:szCs w:val="22"/>
        </w:rPr>
        <w:t>, tout en tenant compte des enjeux E&amp;S discutés au chapitre IV du présent rapport.</w:t>
      </w:r>
    </w:p>
    <w:p w14:paraId="0DAA014B" w14:textId="609C5A2B" w:rsidR="007F5D6A" w:rsidRPr="00E01239" w:rsidRDefault="007F5D6A"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Ces effets sont évalués suivant les différentes phases du pr</w:t>
      </w:r>
      <w:r w:rsidR="00E264FA" w:rsidRPr="00E01239">
        <w:rPr>
          <w:rFonts w:asciiTheme="minorHAnsi" w:hAnsiTheme="minorHAnsi" w:cstheme="minorHAnsi"/>
          <w:sz w:val="22"/>
          <w:szCs w:val="22"/>
        </w:rPr>
        <w:t xml:space="preserve">ogramme </w:t>
      </w:r>
      <w:r w:rsidRPr="00E01239">
        <w:rPr>
          <w:rFonts w:asciiTheme="minorHAnsi" w:hAnsiTheme="minorHAnsi" w:cstheme="minorHAnsi"/>
          <w:sz w:val="22"/>
          <w:szCs w:val="22"/>
        </w:rPr>
        <w:t>et notamment : la phase de planification, la phase de mise en œuvre (aménagement/construction)</w:t>
      </w:r>
      <w:r w:rsidR="00DE2674">
        <w:rPr>
          <w:rFonts w:asciiTheme="minorHAnsi" w:hAnsiTheme="minorHAnsi" w:cstheme="minorHAnsi"/>
          <w:sz w:val="22"/>
          <w:szCs w:val="22"/>
        </w:rPr>
        <w:t>, la phase de repli de chantier</w:t>
      </w:r>
      <w:r w:rsidRPr="00E01239">
        <w:rPr>
          <w:rFonts w:asciiTheme="minorHAnsi" w:hAnsiTheme="minorHAnsi" w:cstheme="minorHAnsi"/>
          <w:sz w:val="22"/>
          <w:szCs w:val="22"/>
        </w:rPr>
        <w:t xml:space="preserve"> et la phase d’exploitation.</w:t>
      </w:r>
    </w:p>
    <w:p w14:paraId="51C50C7C" w14:textId="59F520CA" w:rsidR="007F5D6A" w:rsidRPr="00E01239" w:rsidRDefault="007F5D6A"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impacts et risques qui découlent de l'ensemble du FSRP-SN font l’objet d’un plan générique de gestion environnementale et sociale. Les évaluations environnementales et sociales spécifiques qui découleront des activités et sous projets du FSRP-SN en préciseront les impacts, les alternatives et les mesures d’évitement, d'atténuation et/ou de compensation</w:t>
      </w:r>
    </w:p>
    <w:p w14:paraId="0F93D1B8" w14:textId="6B6BC977" w:rsidR="00B67E16" w:rsidRPr="00E01239" w:rsidRDefault="00B67E16"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Par enjeu stratégique, nous entendons toutes </w:t>
      </w:r>
      <w:bookmarkStart w:id="608" w:name="_Hlk141182900"/>
      <w:r w:rsidRPr="00E01239">
        <w:rPr>
          <w:rFonts w:asciiTheme="minorHAnsi" w:hAnsiTheme="minorHAnsi" w:cstheme="minorHAnsi"/>
          <w:sz w:val="22"/>
          <w:szCs w:val="22"/>
        </w:rPr>
        <w:t>retombées et incidences environnementales et sociales positives ou négatives qui relèvent du niveau stratégique et susceptibles d’être induites par les activités du FSRP-S</w:t>
      </w:r>
      <w:r w:rsidR="007F5D6A" w:rsidRPr="00E01239">
        <w:rPr>
          <w:rFonts w:asciiTheme="minorHAnsi" w:hAnsiTheme="minorHAnsi" w:cstheme="minorHAnsi"/>
          <w:sz w:val="22"/>
          <w:szCs w:val="22"/>
        </w:rPr>
        <w:t>N</w:t>
      </w:r>
      <w:r w:rsidRPr="00E01239">
        <w:rPr>
          <w:rFonts w:asciiTheme="minorHAnsi" w:hAnsiTheme="minorHAnsi" w:cstheme="minorHAnsi"/>
          <w:sz w:val="22"/>
          <w:szCs w:val="22"/>
        </w:rPr>
        <w:t>.</w:t>
      </w:r>
    </w:p>
    <w:p w14:paraId="2CAD2D0B" w14:textId="67B216DA" w:rsidR="00B67E16" w:rsidRPr="00E01239" w:rsidRDefault="00B67E16"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tableau </w:t>
      </w:r>
      <w:r w:rsidR="00090A0A">
        <w:rPr>
          <w:rFonts w:asciiTheme="minorHAnsi" w:hAnsiTheme="minorHAnsi" w:cstheme="minorHAnsi"/>
          <w:sz w:val="22"/>
          <w:szCs w:val="22"/>
        </w:rPr>
        <w:t xml:space="preserve">14 </w:t>
      </w:r>
      <w:r w:rsidRPr="00E01239">
        <w:rPr>
          <w:rFonts w:asciiTheme="minorHAnsi" w:hAnsiTheme="minorHAnsi" w:cstheme="minorHAnsi"/>
          <w:sz w:val="22"/>
          <w:szCs w:val="22"/>
        </w:rPr>
        <w:t>suivant présente les différents enjeux environnementaux et sociaux identifiés dans le cadre du FSRP-</w:t>
      </w:r>
      <w:r w:rsidR="007F5D6A" w:rsidRPr="00E01239">
        <w:rPr>
          <w:rFonts w:asciiTheme="minorHAnsi" w:hAnsiTheme="minorHAnsi" w:cstheme="minorHAnsi"/>
          <w:sz w:val="22"/>
          <w:szCs w:val="22"/>
        </w:rPr>
        <w:t>SN</w:t>
      </w:r>
      <w:r w:rsidRPr="00E01239">
        <w:rPr>
          <w:rFonts w:asciiTheme="minorHAnsi" w:hAnsiTheme="minorHAnsi" w:cstheme="minorHAnsi"/>
          <w:sz w:val="22"/>
          <w:szCs w:val="22"/>
        </w:rPr>
        <w:t>.</w:t>
      </w:r>
      <w:r w:rsidR="00BC2F21" w:rsidRPr="00E01239">
        <w:rPr>
          <w:rFonts w:asciiTheme="minorHAnsi" w:hAnsiTheme="minorHAnsi" w:cstheme="minorHAnsi"/>
          <w:sz w:val="22"/>
          <w:szCs w:val="22"/>
        </w:rPr>
        <w:t xml:space="preserve"> Il n’intègre que les composantes et sous-composantes présentant des enjeux E&amp;S stratégiques.</w:t>
      </w:r>
    </w:p>
    <w:p w14:paraId="4822B8D9" w14:textId="09E24077" w:rsidR="00BC2F21" w:rsidRPr="00E01239" w:rsidRDefault="00BC2F21" w:rsidP="00B67E16">
      <w:pPr>
        <w:spacing w:before="120" w:line="360" w:lineRule="exact"/>
        <w:jc w:val="both"/>
        <w:rPr>
          <w:rFonts w:asciiTheme="minorHAnsi" w:hAnsiTheme="minorHAnsi" w:cstheme="minorHAnsi"/>
          <w:sz w:val="22"/>
          <w:szCs w:val="22"/>
        </w:rPr>
      </w:pPr>
    </w:p>
    <w:p w14:paraId="29C0344D" w14:textId="77777777" w:rsidR="00BC2F21" w:rsidRPr="00E01239" w:rsidRDefault="00BC2F21" w:rsidP="005F4179">
      <w:pPr>
        <w:pStyle w:val="Lgende"/>
        <w:jc w:val="center"/>
        <w:rPr>
          <w:rFonts w:asciiTheme="minorHAnsi" w:hAnsiTheme="minorHAnsi" w:cstheme="minorHAnsi"/>
          <w:sz w:val="22"/>
          <w:szCs w:val="22"/>
        </w:rPr>
        <w:sectPr w:rsidR="00BC2F21" w:rsidRPr="00E01239" w:rsidSect="00A304E9">
          <w:pgSz w:w="11907" w:h="16840" w:code="9"/>
          <w:pgMar w:top="1418" w:right="1418" w:bottom="1276" w:left="1418" w:header="720" w:footer="720" w:gutter="0"/>
          <w:cols w:space="720"/>
        </w:sectPr>
      </w:pPr>
    </w:p>
    <w:p w14:paraId="47CFD4D8" w14:textId="31F6D74F" w:rsidR="00BC2F21" w:rsidRPr="00E01239" w:rsidRDefault="00BC2F21" w:rsidP="00582C4E">
      <w:pPr>
        <w:pStyle w:val="Lgende"/>
        <w:jc w:val="center"/>
        <w:rPr>
          <w:rFonts w:asciiTheme="minorHAnsi" w:hAnsiTheme="minorHAnsi" w:cstheme="minorHAnsi"/>
          <w:b w:val="0"/>
          <w:bCs w:val="0"/>
          <w:sz w:val="22"/>
          <w:szCs w:val="22"/>
        </w:rPr>
      </w:pPr>
      <w:bookmarkStart w:id="609" w:name="_Toc142480963"/>
      <w:bookmarkStart w:id="610" w:name="_Toc144654194"/>
      <w:r w:rsidRPr="00E01239">
        <w:rPr>
          <w:rFonts w:asciiTheme="minorHAnsi" w:hAnsiTheme="minorHAnsi" w:cstheme="minorHAnsi"/>
          <w:sz w:val="22"/>
          <w:szCs w:val="22"/>
        </w:rPr>
        <w:lastRenderedPageBreak/>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14</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xml:space="preserve"> : </w:t>
      </w:r>
      <w:r w:rsidRPr="00E01239">
        <w:rPr>
          <w:rFonts w:asciiTheme="minorHAnsi" w:hAnsiTheme="minorHAnsi" w:cstheme="minorHAnsi"/>
          <w:b w:val="0"/>
          <w:bCs w:val="0"/>
          <w:sz w:val="22"/>
          <w:szCs w:val="22"/>
        </w:rPr>
        <w:t>Enjeux E&amp;S inhérents aux composantes et sous-composantes du FSRP-S</w:t>
      </w:r>
      <w:r w:rsidR="007F5D6A" w:rsidRPr="00E01239">
        <w:rPr>
          <w:rFonts w:asciiTheme="minorHAnsi" w:hAnsiTheme="minorHAnsi" w:cstheme="minorHAnsi"/>
          <w:b w:val="0"/>
          <w:bCs w:val="0"/>
          <w:sz w:val="22"/>
          <w:szCs w:val="22"/>
        </w:rPr>
        <w:t>N</w:t>
      </w:r>
      <w:bookmarkEnd w:id="609"/>
      <w:bookmarkEnd w:id="610"/>
    </w:p>
    <w:tbl>
      <w:tblPr>
        <w:tblStyle w:val="Grilledutableau"/>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39"/>
        <w:gridCol w:w="3544"/>
        <w:gridCol w:w="6911"/>
      </w:tblGrid>
      <w:tr w:rsidR="00BC2F21" w:rsidRPr="00E01239" w14:paraId="1FE6C78D" w14:textId="77777777" w:rsidTr="00582C4E">
        <w:trPr>
          <w:trHeight w:val="841"/>
          <w:tblHeader/>
          <w:jc w:val="center"/>
        </w:trPr>
        <w:tc>
          <w:tcPr>
            <w:tcW w:w="3539" w:type="dxa"/>
            <w:shd w:val="clear" w:color="auto" w:fill="1F4E79" w:themeFill="accent1" w:themeFillShade="80"/>
            <w:vAlign w:val="center"/>
          </w:tcPr>
          <w:bookmarkEnd w:id="608"/>
          <w:p w14:paraId="59604168" w14:textId="77777777" w:rsidR="00BC2F21" w:rsidRPr="00E01239" w:rsidRDefault="00BC2F21" w:rsidP="00814C48">
            <w:pPr>
              <w:jc w:val="center"/>
              <w:rPr>
                <w:rFonts w:asciiTheme="minorHAnsi" w:hAnsiTheme="minorHAnsi" w:cstheme="minorHAnsi"/>
                <w:color w:val="FFFFFF" w:themeColor="background1"/>
                <w:sz w:val="22"/>
                <w:szCs w:val="22"/>
              </w:rPr>
            </w:pPr>
            <w:r w:rsidRPr="00E01239">
              <w:rPr>
                <w:rFonts w:asciiTheme="minorHAnsi" w:hAnsiTheme="minorHAnsi" w:cstheme="minorHAnsi"/>
                <w:color w:val="FFFFFF" w:themeColor="background1"/>
                <w:sz w:val="22"/>
                <w:szCs w:val="22"/>
              </w:rPr>
              <w:t>Composantes</w:t>
            </w:r>
          </w:p>
        </w:tc>
        <w:tc>
          <w:tcPr>
            <w:tcW w:w="3544" w:type="dxa"/>
            <w:shd w:val="clear" w:color="auto" w:fill="1F4E79" w:themeFill="accent1" w:themeFillShade="80"/>
            <w:vAlign w:val="center"/>
          </w:tcPr>
          <w:p w14:paraId="5CBA2156" w14:textId="77777777" w:rsidR="00BC2F21" w:rsidRPr="00E01239" w:rsidRDefault="00BC2F21" w:rsidP="00263B8A">
            <w:pPr>
              <w:jc w:val="center"/>
              <w:rPr>
                <w:rFonts w:asciiTheme="minorHAnsi" w:hAnsiTheme="minorHAnsi" w:cstheme="minorHAnsi"/>
                <w:color w:val="FFFFFF" w:themeColor="background1"/>
                <w:sz w:val="22"/>
                <w:szCs w:val="22"/>
              </w:rPr>
            </w:pPr>
            <w:r w:rsidRPr="00E01239">
              <w:rPr>
                <w:rFonts w:asciiTheme="minorHAnsi" w:hAnsiTheme="minorHAnsi" w:cstheme="minorHAnsi"/>
                <w:color w:val="FFFFFF" w:themeColor="background1"/>
                <w:sz w:val="22"/>
                <w:szCs w:val="22"/>
              </w:rPr>
              <w:t>Sous-Composantes</w:t>
            </w:r>
          </w:p>
        </w:tc>
        <w:tc>
          <w:tcPr>
            <w:tcW w:w="6911" w:type="dxa"/>
            <w:shd w:val="clear" w:color="auto" w:fill="1F4E79" w:themeFill="accent1" w:themeFillShade="80"/>
            <w:vAlign w:val="center"/>
          </w:tcPr>
          <w:p w14:paraId="6B9DCDA3" w14:textId="293DC502" w:rsidR="00BC2F21" w:rsidRPr="00E01239" w:rsidRDefault="00BC2F21" w:rsidP="00263B8A">
            <w:pPr>
              <w:jc w:val="center"/>
              <w:rPr>
                <w:rFonts w:asciiTheme="minorHAnsi" w:hAnsiTheme="minorHAnsi" w:cstheme="minorHAnsi"/>
                <w:color w:val="FFFFFF" w:themeColor="background1"/>
                <w:sz w:val="22"/>
                <w:szCs w:val="22"/>
              </w:rPr>
            </w:pPr>
            <w:r w:rsidRPr="00E01239">
              <w:rPr>
                <w:rFonts w:asciiTheme="minorHAnsi" w:hAnsiTheme="minorHAnsi" w:cstheme="minorHAnsi"/>
                <w:color w:val="FFFFFF" w:themeColor="background1"/>
                <w:sz w:val="22"/>
                <w:szCs w:val="22"/>
              </w:rPr>
              <w:t xml:space="preserve">Enjeux Environnementaux et Sociaux </w:t>
            </w:r>
            <w:r w:rsidR="00BC1890" w:rsidRPr="00E01239">
              <w:rPr>
                <w:rFonts w:asciiTheme="minorHAnsi" w:hAnsiTheme="minorHAnsi" w:cstheme="minorHAnsi"/>
                <w:color w:val="FFFFFF" w:themeColor="background1"/>
                <w:sz w:val="22"/>
                <w:szCs w:val="22"/>
              </w:rPr>
              <w:t>Majeurs</w:t>
            </w:r>
          </w:p>
        </w:tc>
      </w:tr>
      <w:tr w:rsidR="005F4179" w:rsidRPr="00E01239" w14:paraId="1DA9D7C3" w14:textId="77777777" w:rsidTr="00263B8A">
        <w:trPr>
          <w:trHeight w:val="709"/>
          <w:jc w:val="center"/>
        </w:trPr>
        <w:tc>
          <w:tcPr>
            <w:tcW w:w="3539" w:type="dxa"/>
            <w:vMerge w:val="restart"/>
            <w:vAlign w:val="center"/>
          </w:tcPr>
          <w:p w14:paraId="73821DE6" w14:textId="77777777" w:rsidR="00BC2F21" w:rsidRPr="00E01239" w:rsidRDefault="00BC2F21" w:rsidP="00814C48">
            <w:pPr>
              <w:jc w:val="both"/>
              <w:rPr>
                <w:rFonts w:asciiTheme="minorHAnsi" w:hAnsiTheme="minorHAnsi" w:cstheme="minorHAnsi"/>
                <w:sz w:val="22"/>
                <w:szCs w:val="22"/>
              </w:rPr>
            </w:pPr>
            <w:r w:rsidRPr="00E01239">
              <w:rPr>
                <w:rFonts w:asciiTheme="minorHAnsi" w:hAnsiTheme="minorHAnsi" w:cstheme="minorHAnsi"/>
                <w:sz w:val="22"/>
                <w:szCs w:val="22"/>
              </w:rPr>
              <w:t xml:space="preserve">Composante 1 : Services de conseil numérique pour la prévention et la gestion des crises agricoles et alimentaires </w:t>
            </w:r>
          </w:p>
        </w:tc>
        <w:tc>
          <w:tcPr>
            <w:tcW w:w="3544" w:type="dxa"/>
            <w:vAlign w:val="center"/>
          </w:tcPr>
          <w:p w14:paraId="61C1EACD" w14:textId="77777777" w:rsidR="00BC2F21" w:rsidRPr="00E01239" w:rsidRDefault="00BC2F21" w:rsidP="00263B8A">
            <w:pPr>
              <w:jc w:val="both"/>
              <w:rPr>
                <w:rFonts w:asciiTheme="minorHAnsi" w:hAnsiTheme="minorHAnsi" w:cstheme="minorHAnsi"/>
                <w:sz w:val="22"/>
                <w:szCs w:val="22"/>
              </w:rPr>
            </w:pPr>
            <w:r w:rsidRPr="00E01239">
              <w:rPr>
                <w:rFonts w:asciiTheme="minorHAnsi" w:hAnsiTheme="minorHAnsi" w:cstheme="minorHAnsi"/>
                <w:sz w:val="22"/>
                <w:szCs w:val="22"/>
              </w:rPr>
              <w:t>Sous-composante 1.1 :</w:t>
            </w:r>
            <w:r w:rsidRPr="00E01239">
              <w:rPr>
                <w:rFonts w:asciiTheme="minorHAnsi" w:eastAsiaTheme="minorEastAsia" w:hAnsiTheme="minorHAnsi" w:cstheme="minorHAnsi"/>
                <w:color w:val="000000" w:themeColor="text1"/>
                <w:kern w:val="24"/>
                <w:sz w:val="22"/>
                <w:szCs w:val="22"/>
              </w:rPr>
              <w:t xml:space="preserve"> </w:t>
            </w:r>
            <w:r w:rsidRPr="00E01239">
              <w:rPr>
                <w:rFonts w:asciiTheme="minorHAnsi" w:hAnsiTheme="minorHAnsi" w:cstheme="minorHAnsi"/>
                <w:sz w:val="22"/>
                <w:szCs w:val="22"/>
              </w:rPr>
              <w:t>Améliorer les systèmes de prévention et de suivi des crises alimentaires</w:t>
            </w:r>
          </w:p>
        </w:tc>
        <w:tc>
          <w:tcPr>
            <w:tcW w:w="6911" w:type="dxa"/>
            <w:vAlign w:val="center"/>
          </w:tcPr>
          <w:p w14:paraId="6759AA30" w14:textId="2BF7C598" w:rsidR="00BC2F21" w:rsidRPr="00E01239"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Augmentation de la résilience des systèmes alimentaires (agriculture, élevage, pêche) aux effets </w:t>
            </w:r>
            <w:r w:rsidR="00954054" w:rsidRPr="00E01239">
              <w:rPr>
                <w:rFonts w:asciiTheme="minorHAnsi" w:hAnsiTheme="minorHAnsi" w:cstheme="minorHAnsi"/>
                <w:sz w:val="22"/>
                <w:szCs w:val="22"/>
              </w:rPr>
              <w:t>des changements climatiques</w:t>
            </w:r>
          </w:p>
          <w:p w14:paraId="75E2ECF8" w14:textId="77777777" w:rsidR="00BC2F21" w:rsidRPr="00E01239"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Exacerbation des pressions et concurrences autour des ressources fourragères et des ressources en eau</w:t>
            </w:r>
          </w:p>
        </w:tc>
      </w:tr>
      <w:tr w:rsidR="005F4179" w:rsidRPr="00E01239" w14:paraId="54B6AA5A" w14:textId="77777777" w:rsidTr="00263B8A">
        <w:trPr>
          <w:trHeight w:val="1333"/>
          <w:jc w:val="center"/>
        </w:trPr>
        <w:tc>
          <w:tcPr>
            <w:tcW w:w="3539" w:type="dxa"/>
            <w:vMerge/>
            <w:vAlign w:val="center"/>
          </w:tcPr>
          <w:p w14:paraId="17C71C73" w14:textId="77777777" w:rsidR="00BC2F21" w:rsidRPr="00E01239" w:rsidRDefault="00BC2F21" w:rsidP="00263B8A">
            <w:pPr>
              <w:rPr>
                <w:rFonts w:asciiTheme="minorHAnsi" w:hAnsiTheme="minorHAnsi" w:cstheme="minorHAnsi"/>
                <w:sz w:val="22"/>
                <w:szCs w:val="22"/>
              </w:rPr>
            </w:pPr>
          </w:p>
        </w:tc>
        <w:tc>
          <w:tcPr>
            <w:tcW w:w="3544" w:type="dxa"/>
            <w:vAlign w:val="center"/>
          </w:tcPr>
          <w:p w14:paraId="4C9B1BA1" w14:textId="77777777" w:rsidR="00BC2F21" w:rsidRPr="00E01239" w:rsidRDefault="00BC2F21" w:rsidP="00263B8A">
            <w:pPr>
              <w:jc w:val="both"/>
              <w:rPr>
                <w:rFonts w:asciiTheme="minorHAnsi" w:hAnsiTheme="minorHAnsi" w:cstheme="minorHAnsi"/>
                <w:sz w:val="22"/>
                <w:szCs w:val="22"/>
              </w:rPr>
            </w:pPr>
            <w:r w:rsidRPr="00E01239">
              <w:rPr>
                <w:rFonts w:asciiTheme="minorHAnsi" w:hAnsiTheme="minorHAnsi" w:cstheme="minorHAnsi"/>
                <w:sz w:val="22"/>
                <w:szCs w:val="22"/>
              </w:rPr>
              <w:t>Sous-composante 1.2 :</w:t>
            </w:r>
            <w:r w:rsidRPr="00E01239">
              <w:rPr>
                <w:rFonts w:asciiTheme="minorHAnsi" w:eastAsiaTheme="minorEastAsia" w:hAnsiTheme="minorHAnsi" w:cstheme="minorHAnsi"/>
                <w:color w:val="000000" w:themeColor="text1"/>
                <w:kern w:val="24"/>
                <w:sz w:val="22"/>
                <w:szCs w:val="22"/>
              </w:rPr>
              <w:t xml:space="preserve"> </w:t>
            </w:r>
            <w:r w:rsidRPr="00E01239">
              <w:rPr>
                <w:rFonts w:asciiTheme="minorHAnsi" w:hAnsiTheme="minorHAnsi" w:cstheme="minorHAnsi"/>
                <w:sz w:val="22"/>
                <w:szCs w:val="22"/>
              </w:rPr>
              <w:t>Renforcer les services numériques d'hydrométrie et le conseil agricole pour les agriculteurs</w:t>
            </w:r>
          </w:p>
        </w:tc>
        <w:tc>
          <w:tcPr>
            <w:tcW w:w="6911" w:type="dxa"/>
            <w:vAlign w:val="center"/>
          </w:tcPr>
          <w:p w14:paraId="757FBDA3" w14:textId="77777777" w:rsidR="00BC2F21" w:rsidRPr="00E01239"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Développement d’une gouvernance intégrée et digitale des systèmes alimentaires</w:t>
            </w:r>
          </w:p>
          <w:p w14:paraId="409B015D" w14:textId="5B641463" w:rsidR="00BC2F21" w:rsidRPr="00E01239" w:rsidRDefault="00954054"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Alphabétisation</w:t>
            </w:r>
            <w:r w:rsidR="00BC2F21" w:rsidRPr="00E01239">
              <w:rPr>
                <w:rFonts w:asciiTheme="minorHAnsi" w:hAnsiTheme="minorHAnsi" w:cstheme="minorHAnsi"/>
                <w:sz w:val="22"/>
                <w:szCs w:val="22"/>
              </w:rPr>
              <w:t xml:space="preserve"> des acteurs et faible couverture de certaines zones par le réseau internet</w:t>
            </w:r>
          </w:p>
          <w:p w14:paraId="15901D09" w14:textId="77777777" w:rsidR="00BC2F21" w:rsidRPr="00E01239"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Ancrage des pratiques et approches classiques en termes de gouvernance des systèmes alimentaires nationaux</w:t>
            </w:r>
          </w:p>
        </w:tc>
      </w:tr>
      <w:tr w:rsidR="005F4179" w:rsidRPr="00E01239" w14:paraId="3D7728ED" w14:textId="77777777" w:rsidTr="00263B8A">
        <w:trPr>
          <w:trHeight w:val="1130"/>
          <w:jc w:val="center"/>
        </w:trPr>
        <w:tc>
          <w:tcPr>
            <w:tcW w:w="3539" w:type="dxa"/>
            <w:vMerge w:val="restart"/>
            <w:vAlign w:val="center"/>
          </w:tcPr>
          <w:p w14:paraId="7EB20E7E" w14:textId="77777777" w:rsidR="00BC2F21" w:rsidRPr="00E01239" w:rsidRDefault="00BC2F21" w:rsidP="00814C48">
            <w:pPr>
              <w:rPr>
                <w:rFonts w:asciiTheme="minorHAnsi" w:hAnsiTheme="minorHAnsi" w:cstheme="minorHAnsi"/>
                <w:sz w:val="22"/>
                <w:szCs w:val="22"/>
              </w:rPr>
            </w:pPr>
            <w:r w:rsidRPr="00E01239">
              <w:rPr>
                <w:rFonts w:asciiTheme="minorHAnsi" w:hAnsiTheme="minorHAnsi" w:cstheme="minorHAnsi"/>
                <w:sz w:val="22"/>
                <w:szCs w:val="22"/>
              </w:rPr>
              <w:t>Composante 2.  Durabilité et capacité d'adaptation de la base productive du système alimentaire</w:t>
            </w:r>
          </w:p>
          <w:p w14:paraId="0FE2E2C6" w14:textId="77777777" w:rsidR="00BC2F21" w:rsidRPr="00E01239" w:rsidRDefault="00BC2F21" w:rsidP="00263B8A">
            <w:pPr>
              <w:rPr>
                <w:rFonts w:asciiTheme="minorHAnsi" w:hAnsiTheme="minorHAnsi" w:cstheme="minorHAnsi"/>
                <w:sz w:val="22"/>
                <w:szCs w:val="22"/>
              </w:rPr>
            </w:pPr>
          </w:p>
        </w:tc>
        <w:tc>
          <w:tcPr>
            <w:tcW w:w="3544" w:type="dxa"/>
            <w:vAlign w:val="center"/>
          </w:tcPr>
          <w:p w14:paraId="0E228818" w14:textId="77777777" w:rsidR="00BC2F21" w:rsidRPr="00E01239" w:rsidRDefault="00BC2F21" w:rsidP="00263B8A">
            <w:pPr>
              <w:jc w:val="both"/>
              <w:rPr>
                <w:rFonts w:asciiTheme="minorHAnsi" w:hAnsiTheme="minorHAnsi" w:cstheme="minorHAnsi"/>
                <w:sz w:val="22"/>
                <w:szCs w:val="22"/>
              </w:rPr>
            </w:pPr>
            <w:r w:rsidRPr="00E01239">
              <w:rPr>
                <w:rFonts w:asciiTheme="minorHAnsi" w:hAnsiTheme="minorHAnsi" w:cstheme="minorHAnsi"/>
                <w:sz w:val="22"/>
                <w:szCs w:val="22"/>
              </w:rPr>
              <w:t>Sous-composante 2.1 : Consolider le système régional d'innovation agricole</w:t>
            </w:r>
          </w:p>
        </w:tc>
        <w:tc>
          <w:tcPr>
            <w:tcW w:w="6911" w:type="dxa"/>
            <w:vAlign w:val="center"/>
          </w:tcPr>
          <w:p w14:paraId="5DCBC31B" w14:textId="77777777" w:rsidR="00BC2F21" w:rsidRPr="00E01239"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Augmentation de l’empreinte carbone des systèmes alimentaires du Sénégal</w:t>
            </w:r>
          </w:p>
          <w:p w14:paraId="6D08BA19" w14:textId="1383425E" w:rsidR="00BC2F21" w:rsidRPr="00E01239" w:rsidRDefault="000A36C3"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C</w:t>
            </w:r>
            <w:r w:rsidR="00BC2F21" w:rsidRPr="00E01239">
              <w:rPr>
                <w:rFonts w:asciiTheme="minorHAnsi" w:hAnsiTheme="minorHAnsi" w:cstheme="minorHAnsi"/>
                <w:sz w:val="22"/>
                <w:szCs w:val="22"/>
              </w:rPr>
              <w:t>hangements structurels dans les types et modes de production des territoires d’intervention à travers notamment le développement d’activités agro-</w:t>
            </w:r>
            <w:proofErr w:type="spellStart"/>
            <w:r w:rsidR="00BC2F21" w:rsidRPr="00E01239">
              <w:rPr>
                <w:rFonts w:asciiTheme="minorHAnsi" w:hAnsiTheme="minorHAnsi" w:cstheme="minorHAnsi"/>
                <w:sz w:val="22"/>
                <w:szCs w:val="22"/>
              </w:rPr>
              <w:t>sylvo</w:t>
            </w:r>
            <w:proofErr w:type="spellEnd"/>
            <w:r w:rsidR="00BC2F21" w:rsidRPr="00E01239">
              <w:rPr>
                <w:rFonts w:asciiTheme="minorHAnsi" w:hAnsiTheme="minorHAnsi" w:cstheme="minorHAnsi"/>
                <w:sz w:val="22"/>
                <w:szCs w:val="22"/>
              </w:rPr>
              <w:t>-pastorales et halieutiques</w:t>
            </w:r>
          </w:p>
          <w:p w14:paraId="7F9FAE30" w14:textId="48523FB2" w:rsidR="00BC2F21" w:rsidRPr="00522938"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color w:val="000000"/>
                <w:sz w:val="22"/>
                <w:szCs w:val="22"/>
              </w:rPr>
              <w:t>Amélioration de la gouvernance foncière inclusive et responsable consigné</w:t>
            </w:r>
            <w:r w:rsidR="00DE2674">
              <w:rPr>
                <w:rFonts w:asciiTheme="minorHAnsi" w:hAnsiTheme="minorHAnsi" w:cstheme="minorHAnsi"/>
                <w:color w:val="000000"/>
                <w:sz w:val="22"/>
                <w:szCs w:val="22"/>
              </w:rPr>
              <w:t>e</w:t>
            </w:r>
            <w:r w:rsidRPr="00E01239">
              <w:rPr>
                <w:rFonts w:asciiTheme="minorHAnsi" w:hAnsiTheme="minorHAnsi" w:cstheme="minorHAnsi"/>
                <w:color w:val="000000"/>
                <w:sz w:val="22"/>
                <w:szCs w:val="22"/>
              </w:rPr>
              <w:t xml:space="preserve"> dans les Plans de Développement Communaux (PDC) conformément aux recommandations et principes des Directives volontaires de la FAO</w:t>
            </w:r>
          </w:p>
          <w:p w14:paraId="02D84261" w14:textId="768847CD" w:rsidR="00DE2674" w:rsidRPr="00522938" w:rsidRDefault="00DE2674" w:rsidP="00DE2674">
            <w:pPr>
              <w:pStyle w:val="Paragraphedeliste"/>
              <w:numPr>
                <w:ilvl w:val="0"/>
                <w:numId w:val="111"/>
              </w:numPr>
              <w:ind w:left="320" w:hanging="284"/>
              <w:contextualSpacing w:val="0"/>
              <w:jc w:val="both"/>
              <w:rPr>
                <w:rFonts w:asciiTheme="minorHAnsi" w:hAnsiTheme="minorHAnsi" w:cstheme="minorHAnsi"/>
                <w:sz w:val="22"/>
                <w:szCs w:val="22"/>
              </w:rPr>
            </w:pPr>
            <w:r>
              <w:rPr>
                <w:rFonts w:asciiTheme="minorHAnsi" w:hAnsiTheme="minorHAnsi" w:cstheme="minorHAnsi"/>
                <w:sz w:val="22"/>
                <w:szCs w:val="22"/>
              </w:rPr>
              <w:t xml:space="preserve">Renforcement de la santé et du </w:t>
            </w:r>
            <w:proofErr w:type="spellStart"/>
            <w:r>
              <w:rPr>
                <w:rFonts w:asciiTheme="minorHAnsi" w:hAnsiTheme="minorHAnsi" w:cstheme="minorHAnsi"/>
                <w:sz w:val="22"/>
                <w:szCs w:val="22"/>
              </w:rPr>
              <w:t>bien être</w:t>
            </w:r>
            <w:proofErr w:type="spellEnd"/>
            <w:r>
              <w:rPr>
                <w:rFonts w:asciiTheme="minorHAnsi" w:hAnsiTheme="minorHAnsi" w:cstheme="minorHAnsi"/>
                <w:sz w:val="22"/>
                <w:szCs w:val="22"/>
              </w:rPr>
              <w:t xml:space="preserve"> des producteurs à la faveur de la promotion et de l’ancrage des pratiques de production écologique et durable </w:t>
            </w:r>
          </w:p>
        </w:tc>
      </w:tr>
      <w:tr w:rsidR="005F4179" w:rsidRPr="00E01239" w14:paraId="45FCF9B8" w14:textId="77777777" w:rsidTr="00263B8A">
        <w:trPr>
          <w:trHeight w:val="279"/>
          <w:jc w:val="center"/>
        </w:trPr>
        <w:tc>
          <w:tcPr>
            <w:tcW w:w="3539" w:type="dxa"/>
            <w:vMerge/>
            <w:vAlign w:val="center"/>
          </w:tcPr>
          <w:p w14:paraId="1F69F3F4" w14:textId="77777777" w:rsidR="00BC2F21" w:rsidRPr="00E01239" w:rsidRDefault="00BC2F21" w:rsidP="00263B8A">
            <w:pPr>
              <w:rPr>
                <w:rFonts w:asciiTheme="minorHAnsi" w:hAnsiTheme="minorHAnsi" w:cstheme="minorHAnsi"/>
                <w:sz w:val="22"/>
                <w:szCs w:val="22"/>
              </w:rPr>
            </w:pPr>
          </w:p>
        </w:tc>
        <w:tc>
          <w:tcPr>
            <w:tcW w:w="3544" w:type="dxa"/>
            <w:vAlign w:val="center"/>
          </w:tcPr>
          <w:p w14:paraId="3EC098AE" w14:textId="77777777" w:rsidR="00BC2F21" w:rsidRPr="00E01239" w:rsidRDefault="00BC2F21" w:rsidP="00263B8A">
            <w:pPr>
              <w:jc w:val="both"/>
              <w:rPr>
                <w:rFonts w:asciiTheme="minorHAnsi" w:hAnsiTheme="minorHAnsi" w:cstheme="minorHAnsi"/>
                <w:sz w:val="22"/>
                <w:szCs w:val="22"/>
              </w:rPr>
            </w:pPr>
            <w:r w:rsidRPr="00E01239">
              <w:rPr>
                <w:rFonts w:asciiTheme="minorHAnsi" w:hAnsiTheme="minorHAnsi" w:cstheme="minorHAnsi"/>
                <w:sz w:val="22"/>
                <w:szCs w:val="22"/>
              </w:rPr>
              <w:t>Sous-composante 2.2 :</w:t>
            </w:r>
            <w:r w:rsidRPr="00E01239">
              <w:rPr>
                <w:rFonts w:asciiTheme="minorHAnsi" w:eastAsiaTheme="minorEastAsia" w:hAnsiTheme="minorHAnsi" w:cstheme="minorHAnsi"/>
                <w:color w:val="000000" w:themeColor="text1"/>
                <w:kern w:val="24"/>
                <w:sz w:val="22"/>
                <w:szCs w:val="22"/>
              </w:rPr>
              <w:t xml:space="preserve"> </w:t>
            </w:r>
            <w:r w:rsidRPr="00E01239">
              <w:rPr>
                <w:rFonts w:asciiTheme="minorHAnsi" w:hAnsiTheme="minorHAnsi" w:cstheme="minorHAnsi"/>
                <w:sz w:val="22"/>
                <w:szCs w:val="22"/>
              </w:rPr>
              <w:t>Renforcer la sécurité alimentaire régionale par la gestion intégrée des paysages</w:t>
            </w:r>
          </w:p>
        </w:tc>
        <w:tc>
          <w:tcPr>
            <w:tcW w:w="6911" w:type="dxa"/>
            <w:vAlign w:val="center"/>
          </w:tcPr>
          <w:p w14:paraId="7DAE1829" w14:textId="77777777" w:rsidR="00BC2F21" w:rsidRPr="00522938"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color w:val="000000"/>
                <w:sz w:val="22"/>
                <w:szCs w:val="22"/>
              </w:rPr>
              <w:t>Intensification de l’élevage, l’intensification agricole et le recours à la mécanisation au détriment de pratiques actées par des consensus fonciers légitimés dans le temps</w:t>
            </w:r>
          </w:p>
          <w:p w14:paraId="5058B8B1" w14:textId="28E7D4BA" w:rsidR="00DE2674" w:rsidRDefault="00DE2674" w:rsidP="00027669">
            <w:pPr>
              <w:pStyle w:val="Paragraphedeliste"/>
              <w:numPr>
                <w:ilvl w:val="0"/>
                <w:numId w:val="111"/>
              </w:numPr>
              <w:ind w:left="320" w:hanging="284"/>
              <w:contextualSpacing w:val="0"/>
              <w:jc w:val="both"/>
              <w:rPr>
                <w:rFonts w:asciiTheme="minorHAnsi" w:hAnsiTheme="minorHAnsi" w:cstheme="minorHAnsi"/>
                <w:color w:val="000000"/>
                <w:sz w:val="22"/>
                <w:szCs w:val="22"/>
              </w:rPr>
            </w:pPr>
            <w:r>
              <w:rPr>
                <w:rFonts w:asciiTheme="minorHAnsi" w:hAnsiTheme="minorHAnsi" w:cstheme="minorHAnsi"/>
                <w:color w:val="000000"/>
                <w:sz w:val="22"/>
                <w:szCs w:val="22"/>
              </w:rPr>
              <w:t>Création de nouveaux types d’emplois dans le secteur agrosylvopastoral et renforcement des moyens de subsistance des producteurs</w:t>
            </w:r>
          </w:p>
          <w:p w14:paraId="4A2D0FE3" w14:textId="6E21E1CE" w:rsidR="00DE2674" w:rsidRDefault="00DE2674" w:rsidP="00DE2674">
            <w:pPr>
              <w:pStyle w:val="Paragraphedeliste"/>
              <w:numPr>
                <w:ilvl w:val="0"/>
                <w:numId w:val="111"/>
              </w:numPr>
              <w:ind w:left="320" w:hanging="284"/>
              <w:contextualSpacing w:val="0"/>
              <w:jc w:val="both"/>
              <w:rPr>
                <w:rFonts w:asciiTheme="minorHAnsi" w:hAnsiTheme="minorHAnsi" w:cstheme="minorHAnsi"/>
                <w:color w:val="000000"/>
                <w:sz w:val="22"/>
                <w:szCs w:val="22"/>
              </w:rPr>
            </w:pPr>
            <w:r>
              <w:rPr>
                <w:rFonts w:asciiTheme="minorHAnsi" w:hAnsiTheme="minorHAnsi" w:cstheme="minorHAnsi"/>
                <w:color w:val="000000"/>
                <w:sz w:val="22"/>
                <w:szCs w:val="22"/>
              </w:rPr>
              <w:t>Développement économique des zones bénéficiaires des activités du Projet</w:t>
            </w:r>
          </w:p>
          <w:p w14:paraId="3A40C162" w14:textId="41AD15AB" w:rsidR="00DE2674" w:rsidRPr="00522938" w:rsidRDefault="00DE2674" w:rsidP="00DE2674">
            <w:pPr>
              <w:pStyle w:val="Paragraphedeliste"/>
              <w:numPr>
                <w:ilvl w:val="0"/>
                <w:numId w:val="111"/>
              </w:numPr>
              <w:ind w:left="320" w:hanging="284"/>
              <w:contextualSpacing w:val="0"/>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Amélioration de l’employabilité et des capacités entrepreneuriales dans la zone du projet </w:t>
            </w:r>
          </w:p>
          <w:p w14:paraId="1AE1CBA4" w14:textId="77777777" w:rsidR="00BC2F21" w:rsidRPr="00E01239" w:rsidRDefault="00BC2F21" w:rsidP="00027669">
            <w:pPr>
              <w:pStyle w:val="Paragraphedeliste"/>
              <w:numPr>
                <w:ilvl w:val="0"/>
                <w:numId w:val="111"/>
              </w:numPr>
              <w:ind w:left="320" w:hanging="284"/>
              <w:contextualSpacing w:val="0"/>
              <w:jc w:val="both"/>
              <w:rPr>
                <w:rFonts w:asciiTheme="minorHAnsi" w:eastAsiaTheme="minorHAnsi" w:hAnsiTheme="minorHAnsi" w:cstheme="minorHAnsi"/>
                <w:sz w:val="22"/>
                <w:szCs w:val="22"/>
                <w:lang w:eastAsia="en-US"/>
              </w:rPr>
            </w:pPr>
            <w:r w:rsidRPr="00E01239">
              <w:rPr>
                <w:rFonts w:asciiTheme="minorHAnsi" w:hAnsiTheme="minorHAnsi" w:cstheme="minorHAnsi"/>
                <w:sz w:val="22"/>
                <w:szCs w:val="22"/>
              </w:rPr>
              <w:t>Développement anarchique des activités et des changements de vocation d’espaces non planifiés tels que le développement des activités agricoles dans des aires à vocation pastorale, le développement d’activités économiques dans des aires naturelles parfois même protégées avec des conséquences sur la biodiversité</w:t>
            </w:r>
          </w:p>
          <w:p w14:paraId="634E1809" w14:textId="77777777" w:rsidR="00BC2F21" w:rsidRPr="00E01239"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Augmentation des émissions de gaz à effet de serre induite par le renforcement des technologies d’irrigation basées sur des ressources thermiques</w:t>
            </w:r>
          </w:p>
        </w:tc>
      </w:tr>
      <w:tr w:rsidR="005F4179" w:rsidRPr="00E01239" w14:paraId="741A048D" w14:textId="77777777" w:rsidTr="00263B8A">
        <w:trPr>
          <w:trHeight w:val="1014"/>
          <w:jc w:val="center"/>
        </w:trPr>
        <w:tc>
          <w:tcPr>
            <w:tcW w:w="3539" w:type="dxa"/>
            <w:vAlign w:val="center"/>
          </w:tcPr>
          <w:p w14:paraId="1504E9A1" w14:textId="77777777" w:rsidR="00BC2F21" w:rsidRPr="00E01239" w:rsidRDefault="00BC2F21" w:rsidP="00814C48">
            <w:pPr>
              <w:jc w:val="both"/>
              <w:rPr>
                <w:rFonts w:asciiTheme="minorHAnsi" w:hAnsiTheme="minorHAnsi" w:cstheme="minorHAnsi"/>
                <w:sz w:val="22"/>
                <w:szCs w:val="22"/>
              </w:rPr>
            </w:pPr>
            <w:r w:rsidRPr="00E01239">
              <w:rPr>
                <w:rFonts w:asciiTheme="minorHAnsi" w:hAnsiTheme="minorHAnsi" w:cstheme="minorHAnsi"/>
                <w:sz w:val="22"/>
                <w:szCs w:val="22"/>
              </w:rPr>
              <w:lastRenderedPageBreak/>
              <w:t xml:space="preserve">Composante 3. Intégration régionale des marchés alimentaires </w:t>
            </w:r>
            <w:r w:rsidRPr="00E01239">
              <w:rPr>
                <w:rFonts w:asciiTheme="minorHAnsi" w:hAnsiTheme="minorHAnsi" w:cstheme="minorHAnsi"/>
                <w:sz w:val="22"/>
                <w:szCs w:val="22"/>
              </w:rPr>
              <w:br/>
              <w:t xml:space="preserve">&amp; du commerce  </w:t>
            </w:r>
          </w:p>
        </w:tc>
        <w:tc>
          <w:tcPr>
            <w:tcW w:w="3544" w:type="dxa"/>
            <w:vAlign w:val="center"/>
          </w:tcPr>
          <w:p w14:paraId="78837A89" w14:textId="77777777" w:rsidR="00BC2F21" w:rsidRPr="00E01239" w:rsidRDefault="00BC2F21" w:rsidP="00263B8A">
            <w:pPr>
              <w:jc w:val="both"/>
              <w:rPr>
                <w:rFonts w:asciiTheme="minorHAnsi" w:hAnsiTheme="minorHAnsi" w:cstheme="minorHAnsi"/>
                <w:sz w:val="22"/>
                <w:szCs w:val="22"/>
              </w:rPr>
            </w:pPr>
            <w:r w:rsidRPr="00E01239">
              <w:rPr>
                <w:rFonts w:asciiTheme="minorHAnsi" w:hAnsiTheme="minorHAnsi" w:cstheme="minorHAnsi"/>
                <w:sz w:val="22"/>
                <w:szCs w:val="22"/>
              </w:rPr>
              <w:t>Sous-composante 3.2 : Soutenir le développement des chaînes de valeur stratégiques et régionales</w:t>
            </w:r>
          </w:p>
        </w:tc>
        <w:tc>
          <w:tcPr>
            <w:tcW w:w="6911" w:type="dxa"/>
            <w:vAlign w:val="center"/>
          </w:tcPr>
          <w:p w14:paraId="6700CAAF" w14:textId="77777777" w:rsidR="00BC2F21" w:rsidRPr="00E01239"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Conflits d’usage et restrictions d’accès aux ressources naturelles induits par l’aménagement des aires de mis en défens</w:t>
            </w:r>
          </w:p>
          <w:p w14:paraId="246C9197" w14:textId="77777777" w:rsidR="00BC2F21" w:rsidRPr="00E01239" w:rsidRDefault="00BC2F21" w:rsidP="00027669">
            <w:pPr>
              <w:pStyle w:val="Paragraphedeliste"/>
              <w:numPr>
                <w:ilvl w:val="0"/>
                <w:numId w:val="111"/>
              </w:numPr>
              <w:ind w:left="320" w:hanging="284"/>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Augmentation de l’empreinte carbone des systèmes alimentaires induite par </w:t>
            </w:r>
            <w:r w:rsidRPr="00E01239">
              <w:rPr>
                <w:rFonts w:asciiTheme="minorHAnsi" w:hAnsiTheme="minorHAnsi" w:cstheme="minorHAnsi"/>
                <w:color w:val="000000"/>
                <w:sz w:val="22"/>
                <w:szCs w:val="22"/>
              </w:rPr>
              <w:t>la fermentation entérique des ruminants et les déjections des élevages sources de concentration des foyers de production de méthane</w:t>
            </w:r>
          </w:p>
        </w:tc>
      </w:tr>
    </w:tbl>
    <w:p w14:paraId="0B549042" w14:textId="77777777" w:rsidR="00BC2F21" w:rsidRPr="00E01239" w:rsidRDefault="00BC2F21" w:rsidP="0080252A">
      <w:pPr>
        <w:rPr>
          <w:rFonts w:asciiTheme="minorHAnsi" w:hAnsiTheme="minorHAnsi" w:cstheme="minorHAnsi"/>
          <w:sz w:val="22"/>
          <w:szCs w:val="22"/>
        </w:rPr>
        <w:sectPr w:rsidR="00BC2F21" w:rsidRPr="00E01239" w:rsidSect="00582C4E">
          <w:pgSz w:w="16840" w:h="11907" w:orient="landscape" w:code="9"/>
          <w:pgMar w:top="1418" w:right="1418" w:bottom="1418" w:left="1276" w:header="720" w:footer="720" w:gutter="0"/>
          <w:cols w:space="720"/>
        </w:sectPr>
      </w:pPr>
    </w:p>
    <w:p w14:paraId="091E60A8" w14:textId="277F9ECC" w:rsidR="00BF6AAB" w:rsidRPr="00E01239" w:rsidRDefault="005F4179" w:rsidP="0011733B">
      <w:pPr>
        <w:pStyle w:val="Titre2"/>
        <w:rPr>
          <w:rFonts w:asciiTheme="minorHAnsi" w:hAnsiTheme="minorHAnsi" w:cstheme="minorHAnsi"/>
          <w:color w:val="auto"/>
        </w:rPr>
      </w:pPr>
      <w:bookmarkStart w:id="611" w:name="_Toc142377791"/>
      <w:bookmarkStart w:id="612" w:name="_Toc142377792"/>
      <w:bookmarkStart w:id="613" w:name="_Toc142377793"/>
      <w:bookmarkStart w:id="614" w:name="_Toc142377794"/>
      <w:bookmarkStart w:id="615" w:name="_Toc142377795"/>
      <w:bookmarkStart w:id="616" w:name="_Toc142377796"/>
      <w:bookmarkStart w:id="617" w:name="_Toc142377797"/>
      <w:bookmarkStart w:id="618" w:name="_Toc142377798"/>
      <w:bookmarkStart w:id="619" w:name="_Toc142377817"/>
      <w:bookmarkStart w:id="620" w:name="_Toc130714083"/>
      <w:bookmarkStart w:id="621" w:name="_Toc142377818"/>
      <w:bookmarkStart w:id="622" w:name="_Toc144654108"/>
      <w:bookmarkStart w:id="623" w:name="_Toc70002942"/>
      <w:bookmarkEnd w:id="611"/>
      <w:bookmarkEnd w:id="612"/>
      <w:bookmarkEnd w:id="613"/>
      <w:bookmarkEnd w:id="614"/>
      <w:bookmarkEnd w:id="615"/>
      <w:bookmarkEnd w:id="616"/>
      <w:bookmarkEnd w:id="617"/>
      <w:bookmarkEnd w:id="618"/>
      <w:bookmarkEnd w:id="619"/>
      <w:r w:rsidRPr="00E01239">
        <w:rPr>
          <w:rFonts w:asciiTheme="minorHAnsi" w:hAnsiTheme="minorHAnsi" w:cstheme="minorHAnsi"/>
          <w:color w:val="auto"/>
        </w:rPr>
        <w:lastRenderedPageBreak/>
        <w:t>IMPACTS</w:t>
      </w:r>
      <w:r w:rsidR="00BF6AAB" w:rsidRPr="00E01239">
        <w:rPr>
          <w:rFonts w:asciiTheme="minorHAnsi" w:hAnsiTheme="minorHAnsi" w:cstheme="minorHAnsi"/>
          <w:color w:val="auto"/>
        </w:rPr>
        <w:t xml:space="preserve"> </w:t>
      </w:r>
      <w:r w:rsidR="009720C9" w:rsidRPr="00E01239">
        <w:rPr>
          <w:rFonts w:asciiTheme="minorHAnsi" w:hAnsiTheme="minorHAnsi" w:cstheme="minorHAnsi"/>
          <w:color w:val="auto"/>
        </w:rPr>
        <w:t xml:space="preserve">ENVIRONNEMENTAUX ET SOCIAUX </w:t>
      </w:r>
      <w:r w:rsidR="00BF6AAB" w:rsidRPr="00E01239">
        <w:rPr>
          <w:rFonts w:asciiTheme="minorHAnsi" w:hAnsiTheme="minorHAnsi" w:cstheme="minorHAnsi"/>
          <w:color w:val="auto"/>
        </w:rPr>
        <w:t>POSITIFS</w:t>
      </w:r>
      <w:bookmarkEnd w:id="620"/>
      <w:bookmarkEnd w:id="621"/>
      <w:bookmarkEnd w:id="622"/>
      <w:r w:rsidR="00BF6AAB" w:rsidRPr="00E01239">
        <w:rPr>
          <w:rFonts w:asciiTheme="minorHAnsi" w:hAnsiTheme="minorHAnsi" w:cstheme="minorHAnsi"/>
          <w:color w:val="auto"/>
        </w:rPr>
        <w:t xml:space="preserve"> </w:t>
      </w:r>
      <w:bookmarkEnd w:id="623"/>
    </w:p>
    <w:p w14:paraId="4D011475" w14:textId="41BB9E77" w:rsidR="005F4179" w:rsidRPr="00E01239" w:rsidRDefault="005F4179" w:rsidP="00263B8A">
      <w:pPr>
        <w:spacing w:before="120" w:line="280" w:lineRule="exact"/>
        <w:jc w:val="both"/>
        <w:rPr>
          <w:rFonts w:asciiTheme="minorHAnsi" w:hAnsiTheme="minorHAnsi" w:cstheme="minorHAnsi"/>
          <w:sz w:val="22"/>
          <w:szCs w:val="22"/>
        </w:rPr>
      </w:pPr>
      <w:bookmarkStart w:id="624" w:name="_Hlk130753769"/>
      <w:r w:rsidRPr="00E01239">
        <w:rPr>
          <w:rFonts w:asciiTheme="minorHAnsi" w:hAnsiTheme="minorHAnsi" w:cstheme="minorHAnsi"/>
          <w:sz w:val="22"/>
          <w:szCs w:val="22"/>
        </w:rPr>
        <w:t>A travers des différents enjeux environnementaux et sociaux identifiés dans la section précédente, plusieurs impacts/effets ou opportunités environnementaux et sociaux sont susceptibles d’être induits par les différentes activités prévues dans le cadre des composantes et sous-composantes du FSRP-S</w:t>
      </w:r>
      <w:r w:rsidR="007F5D6A" w:rsidRPr="00E01239">
        <w:rPr>
          <w:rFonts w:asciiTheme="minorHAnsi" w:hAnsiTheme="minorHAnsi" w:cstheme="minorHAnsi"/>
          <w:sz w:val="22"/>
          <w:szCs w:val="22"/>
        </w:rPr>
        <w:t>N</w:t>
      </w:r>
      <w:r w:rsidRPr="00E01239">
        <w:rPr>
          <w:rFonts w:asciiTheme="minorHAnsi" w:hAnsiTheme="minorHAnsi" w:cstheme="minorHAnsi"/>
          <w:sz w:val="22"/>
          <w:szCs w:val="22"/>
        </w:rPr>
        <w:t>.</w:t>
      </w:r>
    </w:p>
    <w:p w14:paraId="7B556E73" w14:textId="296EEE56" w:rsidR="005F4179" w:rsidRPr="00E01239" w:rsidRDefault="005F4179"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Ces impacts positifs sont présentés par composante et sous-composante dans le tableau n°</w:t>
      </w:r>
      <w:r w:rsidR="00A1305E" w:rsidRPr="00E01239">
        <w:rPr>
          <w:rFonts w:asciiTheme="minorHAnsi" w:hAnsiTheme="minorHAnsi" w:cstheme="minorHAnsi"/>
          <w:sz w:val="22"/>
          <w:szCs w:val="22"/>
        </w:rPr>
        <w:t>15</w:t>
      </w:r>
      <w:r w:rsidR="00E264FA" w:rsidRPr="00E01239">
        <w:rPr>
          <w:rFonts w:asciiTheme="minorHAnsi" w:hAnsiTheme="minorHAnsi" w:cstheme="minorHAnsi"/>
          <w:sz w:val="22"/>
          <w:szCs w:val="22"/>
        </w:rPr>
        <w:t xml:space="preserve"> </w:t>
      </w:r>
      <w:proofErr w:type="gramStart"/>
      <w:r w:rsidRPr="00E01239">
        <w:rPr>
          <w:rFonts w:asciiTheme="minorHAnsi" w:hAnsiTheme="minorHAnsi" w:cstheme="minorHAnsi"/>
          <w:sz w:val="22"/>
          <w:szCs w:val="22"/>
        </w:rPr>
        <w:t>suivant</w:t>
      </w:r>
      <w:proofErr w:type="gramEnd"/>
      <w:r w:rsidR="002E755E" w:rsidRPr="00E01239">
        <w:rPr>
          <w:rFonts w:asciiTheme="minorHAnsi" w:hAnsiTheme="minorHAnsi" w:cstheme="minorHAnsi"/>
          <w:sz w:val="22"/>
          <w:szCs w:val="22"/>
        </w:rPr>
        <w:t> :</w:t>
      </w:r>
    </w:p>
    <w:p w14:paraId="6E1C2633" w14:textId="77777777" w:rsidR="005F4179" w:rsidRPr="00E01239" w:rsidRDefault="005F4179" w:rsidP="00A1305E">
      <w:pPr>
        <w:jc w:val="both"/>
        <w:rPr>
          <w:rFonts w:asciiTheme="minorHAnsi" w:hAnsiTheme="minorHAnsi" w:cstheme="minorHAnsi"/>
          <w:sz w:val="22"/>
          <w:szCs w:val="22"/>
        </w:rPr>
      </w:pPr>
    </w:p>
    <w:p w14:paraId="0DCDA48D" w14:textId="7EDFD40B" w:rsidR="005F4179" w:rsidRPr="00E01239" w:rsidRDefault="00D100D8" w:rsidP="00582C4E">
      <w:pPr>
        <w:pStyle w:val="Lgende"/>
        <w:jc w:val="center"/>
        <w:rPr>
          <w:rFonts w:asciiTheme="minorHAnsi" w:hAnsiTheme="minorHAnsi" w:cstheme="minorHAnsi"/>
          <w:b w:val="0"/>
          <w:bCs w:val="0"/>
          <w:sz w:val="22"/>
          <w:szCs w:val="22"/>
        </w:rPr>
      </w:pPr>
      <w:bookmarkStart w:id="625" w:name="_Toc142480964"/>
      <w:bookmarkStart w:id="626" w:name="_Toc144654195"/>
      <w:r w:rsidRPr="00E01239">
        <w:rPr>
          <w:rFonts w:asciiTheme="minorHAnsi" w:hAnsiTheme="minorHAnsi" w:cstheme="minorHAnsi"/>
          <w:sz w:val="22"/>
          <w:szCs w:val="22"/>
        </w:rPr>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15</w:t>
      </w:r>
      <w:r w:rsidRPr="00E01239">
        <w:rPr>
          <w:rFonts w:asciiTheme="minorHAnsi" w:hAnsiTheme="minorHAnsi" w:cstheme="minorHAnsi"/>
          <w:sz w:val="22"/>
          <w:szCs w:val="22"/>
        </w:rPr>
        <w:fldChar w:fldCharType="end"/>
      </w:r>
      <w:r w:rsidRPr="00E01239">
        <w:rPr>
          <w:rFonts w:asciiTheme="minorHAnsi" w:hAnsiTheme="minorHAnsi" w:cstheme="minorHAnsi"/>
          <w:b w:val="0"/>
          <w:bCs w:val="0"/>
          <w:sz w:val="22"/>
          <w:szCs w:val="22"/>
        </w:rPr>
        <w:t xml:space="preserve"> : </w:t>
      </w:r>
      <w:r w:rsidR="005F4179" w:rsidRPr="00E01239">
        <w:rPr>
          <w:rFonts w:asciiTheme="minorHAnsi" w:hAnsiTheme="minorHAnsi" w:cstheme="minorHAnsi"/>
          <w:b w:val="0"/>
          <w:bCs w:val="0"/>
          <w:sz w:val="22"/>
          <w:szCs w:val="22"/>
        </w:rPr>
        <w:t>Principaux Impacts et/ou Opportunités induits par les activités du FSRP-</w:t>
      </w:r>
      <w:r w:rsidR="007F5D6A" w:rsidRPr="00E01239">
        <w:rPr>
          <w:rFonts w:asciiTheme="minorHAnsi" w:hAnsiTheme="minorHAnsi" w:cstheme="minorHAnsi"/>
          <w:b w:val="0"/>
          <w:bCs w:val="0"/>
          <w:sz w:val="22"/>
          <w:szCs w:val="22"/>
        </w:rPr>
        <w:t>SN</w:t>
      </w:r>
      <w:bookmarkEnd w:id="625"/>
      <w:bookmarkEnd w:id="626"/>
    </w:p>
    <w:tbl>
      <w:tblPr>
        <w:tblStyle w:val="Grilledutableau"/>
        <w:tblW w:w="5000" w:type="pct"/>
        <w:jc w:val="center"/>
        <w:tblBorders>
          <w:top w:val="single" w:sz="4" w:space="0" w:color="808080" w:themeColor="background1" w:themeShade="80"/>
          <w:left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1"/>
        <w:gridCol w:w="7080"/>
      </w:tblGrid>
      <w:tr w:rsidR="005B183E" w:rsidRPr="00E01239" w14:paraId="39CFA031" w14:textId="77777777" w:rsidTr="00582C4E">
        <w:trPr>
          <w:trHeight w:val="400"/>
          <w:jc w:val="center"/>
        </w:trPr>
        <w:tc>
          <w:tcPr>
            <w:tcW w:w="1093" w:type="pct"/>
            <w:shd w:val="clear" w:color="auto" w:fill="1F4E79" w:themeFill="accent1" w:themeFillShade="80"/>
            <w:vAlign w:val="center"/>
          </w:tcPr>
          <w:p w14:paraId="18ED894E" w14:textId="77777777" w:rsidR="005B183E" w:rsidRPr="00E01239" w:rsidRDefault="005B183E" w:rsidP="00814C48">
            <w:pPr>
              <w:jc w:val="center"/>
              <w:rPr>
                <w:rFonts w:asciiTheme="minorHAnsi" w:hAnsiTheme="minorHAnsi" w:cstheme="minorHAnsi"/>
                <w:color w:val="FFFFFF" w:themeColor="background1"/>
                <w:sz w:val="22"/>
                <w:szCs w:val="22"/>
              </w:rPr>
            </w:pPr>
            <w:bookmarkStart w:id="627" w:name="_Hlk147559914"/>
            <w:r w:rsidRPr="00E01239">
              <w:rPr>
                <w:rFonts w:asciiTheme="minorHAnsi" w:hAnsiTheme="minorHAnsi" w:cstheme="minorHAnsi"/>
                <w:color w:val="FFFFFF" w:themeColor="background1"/>
                <w:sz w:val="22"/>
                <w:szCs w:val="22"/>
              </w:rPr>
              <w:t>Composantes</w:t>
            </w:r>
          </w:p>
        </w:tc>
        <w:tc>
          <w:tcPr>
            <w:tcW w:w="3907" w:type="pct"/>
            <w:shd w:val="clear" w:color="auto" w:fill="1F4E79" w:themeFill="accent1" w:themeFillShade="80"/>
            <w:vAlign w:val="center"/>
          </w:tcPr>
          <w:p w14:paraId="6BB92BBB" w14:textId="77777777" w:rsidR="005B183E" w:rsidRPr="00E01239" w:rsidRDefault="005B183E" w:rsidP="00263B8A">
            <w:pPr>
              <w:jc w:val="center"/>
              <w:rPr>
                <w:rFonts w:asciiTheme="minorHAnsi" w:hAnsiTheme="minorHAnsi" w:cstheme="minorHAnsi"/>
                <w:color w:val="FFFFFF" w:themeColor="background1"/>
                <w:sz w:val="22"/>
                <w:szCs w:val="22"/>
              </w:rPr>
            </w:pPr>
            <w:r w:rsidRPr="00E01239">
              <w:rPr>
                <w:rFonts w:asciiTheme="minorHAnsi" w:hAnsiTheme="minorHAnsi" w:cstheme="minorHAnsi"/>
                <w:color w:val="FFFFFF" w:themeColor="background1"/>
                <w:sz w:val="22"/>
                <w:szCs w:val="22"/>
              </w:rPr>
              <w:t xml:space="preserve">Principaux Impacts Positifs </w:t>
            </w:r>
          </w:p>
        </w:tc>
      </w:tr>
      <w:tr w:rsidR="00855E54" w:rsidRPr="00E01239" w14:paraId="2CDF6D13" w14:textId="77777777" w:rsidTr="00582C4E">
        <w:trPr>
          <w:trHeight w:val="1706"/>
          <w:jc w:val="center"/>
        </w:trPr>
        <w:tc>
          <w:tcPr>
            <w:tcW w:w="1093" w:type="pct"/>
            <w:vAlign w:val="center"/>
          </w:tcPr>
          <w:p w14:paraId="6D4149FF" w14:textId="77777777" w:rsidR="005B183E" w:rsidRPr="00E01239" w:rsidRDefault="005B183E" w:rsidP="00814C48">
            <w:pPr>
              <w:rPr>
                <w:rFonts w:asciiTheme="minorHAnsi" w:hAnsiTheme="minorHAnsi" w:cstheme="minorHAnsi"/>
                <w:sz w:val="22"/>
                <w:szCs w:val="22"/>
              </w:rPr>
            </w:pPr>
            <w:r w:rsidRPr="00E01239">
              <w:rPr>
                <w:rFonts w:asciiTheme="minorHAnsi" w:hAnsiTheme="minorHAnsi" w:cstheme="minorHAnsi"/>
                <w:b/>
                <w:bCs/>
                <w:sz w:val="22"/>
                <w:szCs w:val="22"/>
              </w:rPr>
              <w:t>Composante 1</w:t>
            </w:r>
            <w:r w:rsidRPr="00E01239">
              <w:rPr>
                <w:rFonts w:asciiTheme="minorHAnsi" w:hAnsiTheme="minorHAnsi" w:cstheme="minorHAnsi"/>
                <w:sz w:val="22"/>
                <w:szCs w:val="22"/>
              </w:rPr>
              <w:t xml:space="preserve"> : Services de conseil numérique pour la prévention et la gestion des crises agricoles et alimentaires </w:t>
            </w:r>
          </w:p>
        </w:tc>
        <w:tc>
          <w:tcPr>
            <w:tcW w:w="3907" w:type="pct"/>
            <w:vAlign w:val="center"/>
          </w:tcPr>
          <w:p w14:paraId="7CC09F70"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 la résilience des systèmes productifs face aux aléas climatiques tels que la sécheresse, les pauses pluviométriques et les inondations</w:t>
            </w:r>
          </w:p>
          <w:p w14:paraId="04B189CC"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de la gouvernance des dispositifs relatifs au suivi de la sécurité alimentaire</w:t>
            </w:r>
          </w:p>
          <w:p w14:paraId="29FFFF33"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Limitation des probabilités d’occurrence des feux de brousse par la mise en place d’un dispositif d’alerte précoce</w:t>
            </w:r>
          </w:p>
          <w:p w14:paraId="5CEE01D2"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Gestion rationnelle et optimisée des ressources fourragères et en eau</w:t>
            </w:r>
          </w:p>
          <w:p w14:paraId="31C8BB45"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du système de surveillance et d'alerte précoce des nuisibles des cultures</w:t>
            </w:r>
          </w:p>
          <w:p w14:paraId="7CC501B5"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de la gouvernance des systèmes alimentaires</w:t>
            </w:r>
          </w:p>
        </w:tc>
      </w:tr>
      <w:tr w:rsidR="00855E54" w:rsidRPr="00E01239" w14:paraId="5A52A360" w14:textId="77777777" w:rsidTr="00582C4E">
        <w:trPr>
          <w:trHeight w:val="1687"/>
          <w:jc w:val="center"/>
        </w:trPr>
        <w:tc>
          <w:tcPr>
            <w:tcW w:w="1093" w:type="pct"/>
            <w:vAlign w:val="center"/>
          </w:tcPr>
          <w:p w14:paraId="1268302C" w14:textId="77777777" w:rsidR="005B183E" w:rsidRPr="00E01239" w:rsidRDefault="005B183E" w:rsidP="00814C48">
            <w:pPr>
              <w:rPr>
                <w:rFonts w:asciiTheme="minorHAnsi" w:hAnsiTheme="minorHAnsi" w:cstheme="minorHAnsi"/>
                <w:sz w:val="22"/>
                <w:szCs w:val="22"/>
              </w:rPr>
            </w:pPr>
            <w:r w:rsidRPr="00E01239">
              <w:rPr>
                <w:rFonts w:asciiTheme="minorHAnsi" w:hAnsiTheme="minorHAnsi" w:cstheme="minorHAnsi"/>
                <w:b/>
                <w:bCs/>
                <w:sz w:val="22"/>
                <w:szCs w:val="22"/>
              </w:rPr>
              <w:t>Composante 2 :</w:t>
            </w:r>
            <w:r w:rsidRPr="00E01239">
              <w:rPr>
                <w:rFonts w:asciiTheme="minorHAnsi" w:hAnsiTheme="minorHAnsi" w:cstheme="minorHAnsi"/>
                <w:sz w:val="22"/>
                <w:szCs w:val="22"/>
              </w:rPr>
              <w:t xml:space="preserve">  Durabilité et capacité d'adaptation de la base productive du système alimentaire</w:t>
            </w:r>
          </w:p>
          <w:p w14:paraId="420CB94A" w14:textId="77777777" w:rsidR="005B183E" w:rsidRPr="00E01239" w:rsidRDefault="005B183E" w:rsidP="00263B8A">
            <w:pPr>
              <w:jc w:val="both"/>
              <w:rPr>
                <w:rFonts w:asciiTheme="minorHAnsi" w:hAnsiTheme="minorHAnsi" w:cstheme="minorHAnsi"/>
                <w:sz w:val="22"/>
                <w:szCs w:val="22"/>
              </w:rPr>
            </w:pPr>
          </w:p>
        </w:tc>
        <w:tc>
          <w:tcPr>
            <w:tcW w:w="3907" w:type="pct"/>
            <w:vAlign w:val="center"/>
          </w:tcPr>
          <w:p w14:paraId="7D2D1349"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génétique du cheptel</w:t>
            </w:r>
          </w:p>
          <w:p w14:paraId="4549DBB1"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Intensification de l’élevage bovin et des petits ruminants</w:t>
            </w:r>
          </w:p>
          <w:p w14:paraId="3D7DFF06" w14:textId="57093BF5"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Accroissement durable</w:t>
            </w:r>
            <w:r w:rsidR="00F24918">
              <w:rPr>
                <w:rFonts w:asciiTheme="minorHAnsi" w:hAnsiTheme="minorHAnsi" w:cstheme="minorHAnsi"/>
                <w:sz w:val="22"/>
                <w:szCs w:val="22"/>
                <w:lang w:bidi="fr-FR"/>
              </w:rPr>
              <w:t xml:space="preserve"> de</w:t>
            </w:r>
            <w:r w:rsidRPr="00E01239">
              <w:rPr>
                <w:rFonts w:asciiTheme="minorHAnsi" w:hAnsiTheme="minorHAnsi" w:cstheme="minorHAnsi"/>
                <w:sz w:val="22"/>
                <w:szCs w:val="22"/>
                <w:lang w:bidi="fr-FR"/>
              </w:rPr>
              <w:t xml:space="preserve"> la productivité et </w:t>
            </w:r>
            <w:r w:rsidR="00E56EEC">
              <w:rPr>
                <w:rFonts w:asciiTheme="minorHAnsi" w:hAnsiTheme="minorHAnsi" w:cstheme="minorHAnsi"/>
                <w:sz w:val="22"/>
                <w:szCs w:val="22"/>
                <w:lang w:bidi="fr-FR"/>
              </w:rPr>
              <w:t>d</w:t>
            </w:r>
            <w:r w:rsidRPr="00E01239">
              <w:rPr>
                <w:rFonts w:asciiTheme="minorHAnsi" w:hAnsiTheme="minorHAnsi" w:cstheme="minorHAnsi"/>
                <w:sz w:val="22"/>
                <w:szCs w:val="22"/>
                <w:lang w:bidi="fr-FR"/>
              </w:rPr>
              <w:t>es productions des élevages</w:t>
            </w:r>
          </w:p>
          <w:p w14:paraId="25AD6E56"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Modernisation des services nationaux de conseil et de vulgarisation agricole</w:t>
            </w:r>
          </w:p>
          <w:p w14:paraId="096E94F7"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des outils de planification locale avec la détermination des zones de vocation</w:t>
            </w:r>
          </w:p>
          <w:p w14:paraId="72557249"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de la résilience des écosystèmes et des systèmes alimentaires par l’augmentation des périmètres aménagés</w:t>
            </w:r>
          </w:p>
          <w:p w14:paraId="69B83192" w14:textId="00E629C4"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Développement d’outils de quantification des émissions </w:t>
            </w:r>
            <w:r w:rsidR="00840A7E">
              <w:rPr>
                <w:rFonts w:asciiTheme="minorHAnsi" w:hAnsiTheme="minorHAnsi" w:cstheme="minorHAnsi"/>
                <w:sz w:val="22"/>
                <w:szCs w:val="22"/>
                <w:lang w:bidi="fr-FR"/>
              </w:rPr>
              <w:t xml:space="preserve">de </w:t>
            </w:r>
            <w:r w:rsidRPr="00E01239">
              <w:rPr>
                <w:rFonts w:asciiTheme="minorHAnsi" w:hAnsiTheme="minorHAnsi" w:cstheme="minorHAnsi"/>
                <w:sz w:val="22"/>
                <w:szCs w:val="22"/>
                <w:lang w:bidi="fr-FR"/>
              </w:rPr>
              <w:t>GES des systèmes alimentaire dans le but d’évaluer la contribution du secteur de l’agriculture et de l’élevage dans le cadre de la CDN</w:t>
            </w:r>
          </w:p>
        </w:tc>
      </w:tr>
      <w:tr w:rsidR="00855E54" w:rsidRPr="00E01239" w14:paraId="1C0F40D9" w14:textId="77777777" w:rsidTr="00582C4E">
        <w:trPr>
          <w:trHeight w:val="713"/>
          <w:jc w:val="center"/>
        </w:trPr>
        <w:tc>
          <w:tcPr>
            <w:tcW w:w="1093" w:type="pct"/>
            <w:vAlign w:val="center"/>
          </w:tcPr>
          <w:p w14:paraId="2F5284F3" w14:textId="77777777" w:rsidR="005B183E" w:rsidRPr="00E01239" w:rsidRDefault="005B183E" w:rsidP="00814C48">
            <w:pPr>
              <w:rPr>
                <w:rFonts w:asciiTheme="minorHAnsi" w:hAnsiTheme="minorHAnsi" w:cstheme="minorHAnsi"/>
                <w:sz w:val="22"/>
                <w:szCs w:val="22"/>
              </w:rPr>
            </w:pPr>
            <w:r w:rsidRPr="00E01239">
              <w:rPr>
                <w:rFonts w:asciiTheme="minorHAnsi" w:hAnsiTheme="minorHAnsi" w:cstheme="minorHAnsi"/>
                <w:b/>
                <w:bCs/>
                <w:sz w:val="22"/>
                <w:szCs w:val="22"/>
              </w:rPr>
              <w:t>Composante 3</w:t>
            </w:r>
            <w:r w:rsidRPr="00E01239">
              <w:rPr>
                <w:rFonts w:asciiTheme="minorHAnsi" w:hAnsiTheme="minorHAnsi" w:cstheme="minorHAnsi"/>
                <w:sz w:val="22"/>
                <w:szCs w:val="22"/>
              </w:rPr>
              <w:t xml:space="preserve"> : Intégration régionale des marchés alimentaires </w:t>
            </w:r>
            <w:r w:rsidRPr="00E01239">
              <w:rPr>
                <w:rFonts w:asciiTheme="minorHAnsi" w:hAnsiTheme="minorHAnsi" w:cstheme="minorHAnsi"/>
                <w:sz w:val="22"/>
                <w:szCs w:val="22"/>
              </w:rPr>
              <w:br/>
              <w:t xml:space="preserve">&amp; du commerce  </w:t>
            </w:r>
          </w:p>
        </w:tc>
        <w:tc>
          <w:tcPr>
            <w:tcW w:w="3907" w:type="pct"/>
            <w:vAlign w:val="center"/>
          </w:tcPr>
          <w:p w14:paraId="0BC32769"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 la production horticole</w:t>
            </w:r>
          </w:p>
          <w:p w14:paraId="58CBA569"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Inclusion sociale et renforcement de l’employabilité des jeunes et des femmes dans le cadre de financement de sous-projets économiques dans les différents maillons des chaines de valeur animales</w:t>
            </w:r>
          </w:p>
          <w:p w14:paraId="179584D0"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des capacités techniques des acteurs des filières de l’élevage</w:t>
            </w:r>
          </w:p>
          <w:p w14:paraId="5E14E6F8"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 la fourniture de services de vaccination (MEPA)</w:t>
            </w:r>
          </w:p>
          <w:p w14:paraId="62ED95E7"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Mise aux normes de qualité et de biosécurité des locaux de production de vaccins</w:t>
            </w:r>
          </w:p>
          <w:p w14:paraId="4F9CA8A4"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Création d’aires de mise en défens </w:t>
            </w:r>
          </w:p>
          <w:p w14:paraId="47FE80BB"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Intensification de l’élevage bovin et des petits ruminants</w:t>
            </w:r>
          </w:p>
          <w:p w14:paraId="099D6805"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du Système National de Surveillance Epidémiologique (SNSE)</w:t>
            </w:r>
          </w:p>
          <w:p w14:paraId="76AC325F"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du fonctionnement des laboratoires régionaux</w:t>
            </w:r>
          </w:p>
          <w:p w14:paraId="47156D4F" w14:textId="77777777" w:rsidR="005B183E" w:rsidRPr="00E01239" w:rsidRDefault="005B183E" w:rsidP="00027669">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Réduction de la prévalence à certaines maladies animales telles que la maladie de Newcastle et la variole aviaire</w:t>
            </w:r>
          </w:p>
        </w:tc>
      </w:tr>
      <w:bookmarkEnd w:id="627"/>
    </w:tbl>
    <w:p w14:paraId="04A18DF0" w14:textId="44CEF486" w:rsidR="002A37D3" w:rsidRPr="00E01239" w:rsidRDefault="002A37D3" w:rsidP="000228D9">
      <w:pPr>
        <w:spacing w:before="120" w:line="360" w:lineRule="exact"/>
        <w:jc w:val="both"/>
        <w:rPr>
          <w:rFonts w:asciiTheme="minorHAnsi" w:hAnsiTheme="minorHAnsi" w:cstheme="minorHAnsi"/>
          <w:sz w:val="22"/>
          <w:szCs w:val="22"/>
        </w:rPr>
      </w:pPr>
    </w:p>
    <w:p w14:paraId="3620895E" w14:textId="77777777" w:rsidR="00A03F33" w:rsidRPr="00E01239" w:rsidRDefault="00A03F33" w:rsidP="000228D9">
      <w:pPr>
        <w:spacing w:before="120" w:line="360" w:lineRule="exact"/>
        <w:jc w:val="both"/>
        <w:rPr>
          <w:rFonts w:asciiTheme="minorHAnsi" w:hAnsiTheme="minorHAnsi" w:cstheme="minorHAnsi"/>
          <w:sz w:val="22"/>
          <w:szCs w:val="22"/>
        </w:rPr>
        <w:sectPr w:rsidR="00A03F33" w:rsidRPr="00E01239" w:rsidSect="00A1252E">
          <w:pgSz w:w="11907" w:h="16840" w:code="9"/>
          <w:pgMar w:top="1418" w:right="1418" w:bottom="1276" w:left="1418" w:header="720" w:footer="720" w:gutter="0"/>
          <w:cols w:space="720"/>
        </w:sectPr>
      </w:pPr>
    </w:p>
    <w:p w14:paraId="5315DF34" w14:textId="3118531F" w:rsidR="00BF6AAB" w:rsidRPr="00E01239" w:rsidRDefault="001915E2" w:rsidP="0011733B">
      <w:pPr>
        <w:pStyle w:val="Titre2"/>
        <w:rPr>
          <w:rFonts w:asciiTheme="minorHAnsi" w:hAnsiTheme="minorHAnsi" w:cstheme="minorHAnsi"/>
          <w:color w:val="auto"/>
        </w:rPr>
      </w:pPr>
      <w:bookmarkStart w:id="628" w:name="_Toc70002943"/>
      <w:bookmarkStart w:id="629" w:name="_Toc130714084"/>
      <w:bookmarkStart w:id="630" w:name="_Toc142377819"/>
      <w:bookmarkStart w:id="631" w:name="_Toc144654109"/>
      <w:bookmarkEnd w:id="624"/>
      <w:r w:rsidRPr="00E01239">
        <w:rPr>
          <w:rFonts w:asciiTheme="minorHAnsi" w:hAnsiTheme="minorHAnsi" w:cstheme="minorHAnsi"/>
          <w:color w:val="auto"/>
        </w:rPr>
        <w:lastRenderedPageBreak/>
        <w:t xml:space="preserve">IMPACTS </w:t>
      </w:r>
      <w:r w:rsidR="005F4179" w:rsidRPr="00E01239">
        <w:rPr>
          <w:rFonts w:asciiTheme="minorHAnsi" w:hAnsiTheme="minorHAnsi" w:cstheme="minorHAnsi"/>
          <w:color w:val="auto"/>
        </w:rPr>
        <w:t xml:space="preserve">ENVIRONNEMENTAUX ET SOCIAUX </w:t>
      </w:r>
      <w:r w:rsidRPr="00E01239">
        <w:rPr>
          <w:rFonts w:asciiTheme="minorHAnsi" w:hAnsiTheme="minorHAnsi" w:cstheme="minorHAnsi"/>
          <w:color w:val="auto"/>
        </w:rPr>
        <w:t>NEGATIFS</w:t>
      </w:r>
      <w:bookmarkEnd w:id="628"/>
      <w:bookmarkEnd w:id="629"/>
      <w:bookmarkEnd w:id="630"/>
      <w:bookmarkEnd w:id="631"/>
    </w:p>
    <w:p w14:paraId="4FB449B9" w14:textId="04C8295A" w:rsidR="0080252A" w:rsidRPr="00E01239" w:rsidRDefault="008D04BB"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Dans la présente section, nous traiterons de deux sous-sections importantes pour une bonne identification des impacts négatifs susceptibles d’être générés par la mise en œuvre des composantes et sous-composantes du FSRP-S</w:t>
      </w:r>
      <w:r w:rsidR="007F5D6A" w:rsidRPr="00E01239">
        <w:rPr>
          <w:rFonts w:asciiTheme="minorHAnsi" w:hAnsiTheme="minorHAnsi" w:cstheme="minorHAnsi"/>
          <w:sz w:val="22"/>
          <w:szCs w:val="22"/>
        </w:rPr>
        <w:t>N</w:t>
      </w:r>
      <w:r w:rsidRPr="00E01239">
        <w:rPr>
          <w:rFonts w:asciiTheme="minorHAnsi" w:hAnsiTheme="minorHAnsi" w:cstheme="minorHAnsi"/>
          <w:sz w:val="22"/>
          <w:szCs w:val="22"/>
        </w:rPr>
        <w:t>. Nous déterminerons dans un premier temps les différentes activités sources d’impacts E&amp;S et dans un second temps nous analyserons les effets négatifs induits par ces activités sur les différents enjeux E&amp;S pré-identifiés.</w:t>
      </w:r>
    </w:p>
    <w:p w14:paraId="0DCB47C2" w14:textId="77777777" w:rsidR="008D04BB" w:rsidRPr="00E01239" w:rsidRDefault="008D04BB" w:rsidP="00582C4E">
      <w:pPr>
        <w:jc w:val="both"/>
        <w:rPr>
          <w:rFonts w:asciiTheme="minorHAnsi" w:hAnsiTheme="minorHAnsi" w:cstheme="minorHAnsi"/>
          <w:sz w:val="22"/>
          <w:szCs w:val="22"/>
        </w:rPr>
      </w:pPr>
    </w:p>
    <w:p w14:paraId="3ACCC9F0" w14:textId="77777777" w:rsidR="0080252A" w:rsidRPr="00E01239" w:rsidRDefault="0080252A" w:rsidP="0080252A">
      <w:pPr>
        <w:rPr>
          <w:rFonts w:asciiTheme="minorHAnsi" w:hAnsiTheme="minorHAnsi" w:cstheme="minorHAnsi"/>
          <w:sz w:val="22"/>
          <w:szCs w:val="22"/>
        </w:rPr>
      </w:pPr>
    </w:p>
    <w:p w14:paraId="29F6348D" w14:textId="305876F8" w:rsidR="00962EC9" w:rsidRPr="00E01239" w:rsidRDefault="00962EC9" w:rsidP="0011733B">
      <w:pPr>
        <w:pStyle w:val="Titre3"/>
        <w:ind w:left="1276"/>
        <w:rPr>
          <w:rFonts w:asciiTheme="minorHAnsi" w:hAnsiTheme="minorHAnsi" w:cstheme="minorHAnsi"/>
        </w:rPr>
      </w:pPr>
      <w:bookmarkStart w:id="632" w:name="_Toc144654110"/>
      <w:r w:rsidRPr="00E01239">
        <w:rPr>
          <w:rFonts w:asciiTheme="minorHAnsi" w:hAnsiTheme="minorHAnsi" w:cstheme="minorHAnsi"/>
        </w:rPr>
        <w:t>Identification des activités sources d’impacts</w:t>
      </w:r>
      <w:bookmarkEnd w:id="632"/>
    </w:p>
    <w:p w14:paraId="71AC480B" w14:textId="08AF5E05" w:rsidR="00962EC9" w:rsidRPr="00E01239" w:rsidRDefault="1B59D946" w:rsidP="7CB1727A">
      <w:pPr>
        <w:spacing w:before="120" w:line="280" w:lineRule="exact"/>
        <w:jc w:val="both"/>
        <w:rPr>
          <w:rFonts w:asciiTheme="minorHAnsi" w:hAnsiTheme="minorHAnsi" w:cstheme="minorBidi"/>
          <w:sz w:val="22"/>
          <w:szCs w:val="22"/>
        </w:rPr>
      </w:pPr>
      <w:r w:rsidRPr="00E01239">
        <w:rPr>
          <w:rFonts w:asciiTheme="minorHAnsi" w:hAnsiTheme="minorHAnsi" w:cstheme="minorBidi"/>
          <w:sz w:val="22"/>
          <w:szCs w:val="22"/>
        </w:rPr>
        <w:t>Le tableau n°</w:t>
      </w:r>
      <w:r w:rsidR="24DF52B3" w:rsidRPr="00E01239">
        <w:rPr>
          <w:rFonts w:asciiTheme="minorHAnsi" w:hAnsiTheme="minorHAnsi" w:cstheme="minorBidi"/>
          <w:sz w:val="22"/>
          <w:szCs w:val="22"/>
        </w:rPr>
        <w:t>16</w:t>
      </w:r>
      <w:r w:rsidR="09E95A80" w:rsidRPr="00E01239">
        <w:rPr>
          <w:rFonts w:asciiTheme="minorHAnsi" w:hAnsiTheme="minorHAnsi" w:cstheme="minorBidi"/>
          <w:sz w:val="22"/>
          <w:szCs w:val="22"/>
        </w:rPr>
        <w:t xml:space="preserve"> </w:t>
      </w:r>
      <w:bookmarkStart w:id="633" w:name="_Int_01nMv0ru"/>
      <w:proofErr w:type="gramStart"/>
      <w:r w:rsidRPr="00E01239">
        <w:rPr>
          <w:rFonts w:asciiTheme="minorHAnsi" w:hAnsiTheme="minorHAnsi" w:cstheme="minorBidi"/>
          <w:sz w:val="22"/>
          <w:szCs w:val="22"/>
        </w:rPr>
        <w:t>suivant</w:t>
      </w:r>
      <w:bookmarkEnd w:id="633"/>
      <w:proofErr w:type="gramEnd"/>
      <w:r w:rsidRPr="00E01239">
        <w:rPr>
          <w:rFonts w:asciiTheme="minorHAnsi" w:hAnsiTheme="minorHAnsi" w:cstheme="minorBidi"/>
          <w:sz w:val="22"/>
          <w:szCs w:val="22"/>
        </w:rPr>
        <w:t xml:space="preserve"> présente les différentes activités du FSRP-S</w:t>
      </w:r>
      <w:r w:rsidR="1E890439" w:rsidRPr="00E01239">
        <w:rPr>
          <w:rFonts w:asciiTheme="minorHAnsi" w:hAnsiTheme="minorHAnsi" w:cstheme="minorBidi"/>
          <w:sz w:val="22"/>
          <w:szCs w:val="22"/>
        </w:rPr>
        <w:t>N</w:t>
      </w:r>
      <w:r w:rsidRPr="00E01239">
        <w:rPr>
          <w:rFonts w:asciiTheme="minorHAnsi" w:hAnsiTheme="minorHAnsi" w:cstheme="minorBidi"/>
          <w:sz w:val="22"/>
          <w:szCs w:val="22"/>
        </w:rPr>
        <w:t xml:space="preserve"> qui sont sources d’impacts E&amp;S par composante et sous-composante</w:t>
      </w:r>
      <w:r w:rsidR="34E1E41E" w:rsidRPr="00E01239">
        <w:rPr>
          <w:rFonts w:asciiTheme="minorHAnsi" w:hAnsiTheme="minorHAnsi" w:cstheme="minorBidi"/>
          <w:sz w:val="22"/>
          <w:szCs w:val="22"/>
        </w:rPr>
        <w:t>.</w:t>
      </w:r>
    </w:p>
    <w:p w14:paraId="4B6E8A32" w14:textId="6AB8797A" w:rsidR="00AF036D" w:rsidRPr="00E01239" w:rsidRDefault="00AF036D" w:rsidP="00F15129">
      <w:pPr>
        <w:spacing w:before="120" w:line="360" w:lineRule="exact"/>
        <w:jc w:val="both"/>
        <w:rPr>
          <w:rFonts w:asciiTheme="minorHAnsi" w:hAnsiTheme="minorHAnsi" w:cstheme="minorHAnsi"/>
          <w:b/>
          <w:bCs/>
          <w:sz w:val="22"/>
          <w:szCs w:val="22"/>
        </w:rPr>
      </w:pPr>
    </w:p>
    <w:p w14:paraId="22A2BE65" w14:textId="77777777" w:rsidR="00AF036D" w:rsidRPr="00E01239" w:rsidRDefault="00AF036D" w:rsidP="00F15129">
      <w:pPr>
        <w:pStyle w:val="Lgende"/>
        <w:jc w:val="center"/>
        <w:rPr>
          <w:rFonts w:asciiTheme="minorHAnsi" w:hAnsiTheme="minorHAnsi" w:cstheme="minorHAnsi"/>
          <w:sz w:val="22"/>
          <w:szCs w:val="22"/>
        </w:rPr>
        <w:sectPr w:rsidR="00AF036D" w:rsidRPr="00E01239" w:rsidSect="00A304E9">
          <w:pgSz w:w="11907" w:h="16840" w:code="9"/>
          <w:pgMar w:top="1418" w:right="1418" w:bottom="1276" w:left="1418" w:header="720" w:footer="720" w:gutter="0"/>
          <w:cols w:space="720"/>
        </w:sectPr>
      </w:pPr>
    </w:p>
    <w:p w14:paraId="42192AF1" w14:textId="1914EDED" w:rsidR="00AF036D" w:rsidRPr="00E01239" w:rsidRDefault="00AF036D" w:rsidP="00582C4E">
      <w:pPr>
        <w:pStyle w:val="Lgende"/>
        <w:jc w:val="center"/>
        <w:rPr>
          <w:rFonts w:asciiTheme="minorHAnsi" w:hAnsiTheme="minorHAnsi" w:cstheme="minorHAnsi"/>
          <w:b w:val="0"/>
          <w:bCs w:val="0"/>
          <w:sz w:val="22"/>
          <w:szCs w:val="22"/>
        </w:rPr>
      </w:pPr>
      <w:bookmarkStart w:id="634" w:name="_Toc144654196"/>
      <w:r w:rsidRPr="00E01239">
        <w:rPr>
          <w:rFonts w:asciiTheme="minorHAnsi" w:hAnsiTheme="minorHAnsi" w:cstheme="minorHAnsi"/>
          <w:sz w:val="22"/>
          <w:szCs w:val="22"/>
        </w:rPr>
        <w:lastRenderedPageBreak/>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16</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w:t>
      </w:r>
      <w:r w:rsidRPr="00E01239">
        <w:rPr>
          <w:rFonts w:asciiTheme="minorHAnsi" w:hAnsiTheme="minorHAnsi" w:cstheme="minorHAnsi"/>
          <w:b w:val="0"/>
          <w:bCs w:val="0"/>
          <w:sz w:val="22"/>
          <w:szCs w:val="22"/>
        </w:rPr>
        <w:t xml:space="preserve"> Principales Activités du FSRP-S</w:t>
      </w:r>
      <w:r w:rsidR="00806A39" w:rsidRPr="00E01239">
        <w:rPr>
          <w:rFonts w:asciiTheme="minorHAnsi" w:hAnsiTheme="minorHAnsi" w:cstheme="minorHAnsi"/>
          <w:b w:val="0"/>
          <w:bCs w:val="0"/>
          <w:sz w:val="22"/>
          <w:szCs w:val="22"/>
        </w:rPr>
        <w:t xml:space="preserve">N, </w:t>
      </w:r>
      <w:r w:rsidRPr="00E01239">
        <w:rPr>
          <w:rFonts w:asciiTheme="minorHAnsi" w:hAnsiTheme="minorHAnsi" w:cstheme="minorHAnsi"/>
          <w:b w:val="0"/>
          <w:bCs w:val="0"/>
          <w:sz w:val="22"/>
          <w:szCs w:val="22"/>
        </w:rPr>
        <w:t>sources d’impacts E&amp;S</w:t>
      </w:r>
      <w:bookmarkEnd w:id="634"/>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14"/>
        <w:gridCol w:w="3203"/>
        <w:gridCol w:w="8219"/>
      </w:tblGrid>
      <w:tr w:rsidR="00F15129" w:rsidRPr="00E01239" w14:paraId="433DB168" w14:textId="77777777" w:rsidTr="00582C4E">
        <w:trPr>
          <w:trHeight w:val="410"/>
          <w:tblHeader/>
          <w:jc w:val="center"/>
        </w:trPr>
        <w:tc>
          <w:tcPr>
            <w:tcW w:w="960" w:type="pct"/>
            <w:shd w:val="clear" w:color="auto" w:fill="1F4E79" w:themeFill="accent1" w:themeFillShade="80"/>
            <w:vAlign w:val="center"/>
          </w:tcPr>
          <w:p w14:paraId="642D9E59" w14:textId="77777777" w:rsidR="00F15129" w:rsidRPr="00E01239" w:rsidRDefault="00F15129" w:rsidP="00582C4E">
            <w:pPr>
              <w:jc w:val="center"/>
              <w:rPr>
                <w:rFonts w:asciiTheme="minorHAnsi" w:hAnsiTheme="minorHAnsi" w:cstheme="minorHAnsi"/>
                <w:b/>
                <w:bCs/>
                <w:color w:val="FFFFFF" w:themeColor="background1"/>
                <w:sz w:val="22"/>
                <w:szCs w:val="22"/>
              </w:rPr>
            </w:pPr>
            <w:bookmarkStart w:id="635" w:name="_Hlk142489594"/>
            <w:r w:rsidRPr="00E01239">
              <w:rPr>
                <w:rFonts w:asciiTheme="minorHAnsi" w:hAnsiTheme="minorHAnsi" w:cstheme="minorHAnsi"/>
                <w:b/>
                <w:bCs/>
                <w:color w:val="FFFFFF" w:themeColor="background1"/>
                <w:sz w:val="22"/>
                <w:szCs w:val="22"/>
              </w:rPr>
              <w:t>Composantes</w:t>
            </w:r>
          </w:p>
        </w:tc>
        <w:tc>
          <w:tcPr>
            <w:tcW w:w="1133" w:type="pct"/>
            <w:shd w:val="clear" w:color="auto" w:fill="1F4E79" w:themeFill="accent1" w:themeFillShade="80"/>
            <w:vAlign w:val="center"/>
          </w:tcPr>
          <w:p w14:paraId="45209A4B" w14:textId="77777777" w:rsidR="00F15129" w:rsidRPr="00E01239" w:rsidRDefault="00F15129" w:rsidP="00582C4E">
            <w:pPr>
              <w:jc w:val="center"/>
              <w:rPr>
                <w:rFonts w:asciiTheme="minorHAnsi" w:hAnsiTheme="minorHAnsi" w:cstheme="minorHAnsi"/>
                <w:b/>
                <w:bCs/>
                <w:color w:val="FFFFFF" w:themeColor="background1"/>
                <w:sz w:val="22"/>
                <w:szCs w:val="22"/>
              </w:rPr>
            </w:pPr>
            <w:r w:rsidRPr="00E01239">
              <w:rPr>
                <w:rFonts w:asciiTheme="minorHAnsi" w:hAnsiTheme="minorHAnsi" w:cstheme="minorHAnsi"/>
                <w:b/>
                <w:bCs/>
                <w:color w:val="FFFFFF" w:themeColor="background1"/>
                <w:sz w:val="22"/>
                <w:szCs w:val="22"/>
              </w:rPr>
              <w:t>Sous-Composantes</w:t>
            </w:r>
          </w:p>
        </w:tc>
        <w:tc>
          <w:tcPr>
            <w:tcW w:w="2907" w:type="pct"/>
            <w:shd w:val="clear" w:color="auto" w:fill="1F4E79" w:themeFill="accent1" w:themeFillShade="80"/>
            <w:vAlign w:val="center"/>
          </w:tcPr>
          <w:p w14:paraId="0ECC008C" w14:textId="066BBAE9" w:rsidR="00F15129" w:rsidRPr="00E01239" w:rsidRDefault="00F15129" w:rsidP="00582C4E">
            <w:pPr>
              <w:jc w:val="center"/>
              <w:rPr>
                <w:rFonts w:asciiTheme="minorHAnsi" w:hAnsiTheme="minorHAnsi" w:cstheme="minorHAnsi"/>
                <w:b/>
                <w:bCs/>
                <w:color w:val="FFFFFF" w:themeColor="background1"/>
                <w:sz w:val="22"/>
                <w:szCs w:val="22"/>
              </w:rPr>
            </w:pPr>
            <w:r w:rsidRPr="00E01239">
              <w:rPr>
                <w:rFonts w:asciiTheme="minorHAnsi" w:hAnsiTheme="minorHAnsi" w:cstheme="minorHAnsi"/>
                <w:b/>
                <w:bCs/>
                <w:color w:val="FFFFFF" w:themeColor="background1"/>
                <w:sz w:val="22"/>
                <w:szCs w:val="22"/>
              </w:rPr>
              <w:t>Activités</w:t>
            </w:r>
          </w:p>
        </w:tc>
      </w:tr>
      <w:tr w:rsidR="00F15129" w:rsidRPr="00E01239" w14:paraId="6C56BB09" w14:textId="77777777" w:rsidTr="00F15129">
        <w:trPr>
          <w:trHeight w:val="454"/>
          <w:jc w:val="center"/>
        </w:trPr>
        <w:tc>
          <w:tcPr>
            <w:tcW w:w="960" w:type="pct"/>
            <w:vAlign w:val="center"/>
          </w:tcPr>
          <w:p w14:paraId="30CBC59D" w14:textId="77777777" w:rsidR="00F15129" w:rsidRPr="00E01239" w:rsidRDefault="00F15129" w:rsidP="000C38B8">
            <w:pPr>
              <w:rPr>
                <w:rFonts w:asciiTheme="minorHAnsi" w:hAnsiTheme="minorHAnsi" w:cstheme="minorHAnsi"/>
                <w:sz w:val="22"/>
                <w:szCs w:val="22"/>
              </w:rPr>
            </w:pPr>
            <w:r w:rsidRPr="00E01239">
              <w:rPr>
                <w:rFonts w:asciiTheme="minorHAnsi" w:hAnsiTheme="minorHAnsi" w:cstheme="minorHAnsi"/>
                <w:sz w:val="22"/>
                <w:szCs w:val="22"/>
              </w:rPr>
              <w:t xml:space="preserve">Composante 1 : Services de conseil numérique pour la prévention et la gestion des crises agricoles et alimentaires </w:t>
            </w:r>
          </w:p>
        </w:tc>
        <w:tc>
          <w:tcPr>
            <w:tcW w:w="1133" w:type="pct"/>
            <w:vAlign w:val="center"/>
          </w:tcPr>
          <w:p w14:paraId="1468E1EB" w14:textId="77777777" w:rsidR="00F15129" w:rsidRPr="00E01239" w:rsidRDefault="00F15129" w:rsidP="000C38B8">
            <w:pPr>
              <w:rPr>
                <w:rFonts w:asciiTheme="minorHAnsi" w:hAnsiTheme="minorHAnsi" w:cstheme="minorHAnsi"/>
                <w:sz w:val="22"/>
                <w:szCs w:val="22"/>
              </w:rPr>
            </w:pPr>
            <w:r w:rsidRPr="00E01239">
              <w:rPr>
                <w:rFonts w:asciiTheme="minorHAnsi" w:hAnsiTheme="minorHAnsi" w:cstheme="minorHAnsi"/>
                <w:sz w:val="22"/>
                <w:szCs w:val="22"/>
              </w:rPr>
              <w:t>Sous-composante 1.1 :</w:t>
            </w:r>
            <w:r w:rsidRPr="00E01239">
              <w:rPr>
                <w:rFonts w:asciiTheme="minorHAnsi" w:eastAsiaTheme="minorEastAsia" w:hAnsiTheme="minorHAnsi" w:cstheme="minorHAnsi"/>
                <w:color w:val="000000" w:themeColor="text1"/>
                <w:kern w:val="24"/>
                <w:sz w:val="22"/>
                <w:szCs w:val="22"/>
              </w:rPr>
              <w:t xml:space="preserve"> </w:t>
            </w:r>
            <w:r w:rsidRPr="00E01239">
              <w:rPr>
                <w:rFonts w:asciiTheme="minorHAnsi" w:hAnsiTheme="minorHAnsi" w:cstheme="minorHAnsi"/>
                <w:sz w:val="22"/>
                <w:szCs w:val="22"/>
              </w:rPr>
              <w:t>Améliorer les systèmes de prévention et de suivi des crises alimentaires</w:t>
            </w:r>
          </w:p>
        </w:tc>
        <w:tc>
          <w:tcPr>
            <w:tcW w:w="2907" w:type="pct"/>
            <w:vAlign w:val="center"/>
          </w:tcPr>
          <w:p w14:paraId="16AFAB99" w14:textId="77777777" w:rsidR="00F15129" w:rsidRPr="00E01239" w:rsidRDefault="00F15129" w:rsidP="00027669">
            <w:pPr>
              <w:pStyle w:val="Paragraphedeliste"/>
              <w:numPr>
                <w:ilvl w:val="1"/>
                <w:numId w:val="109"/>
              </w:numPr>
              <w:ind w:left="314" w:hanging="284"/>
              <w:jc w:val="both"/>
              <w:rPr>
                <w:rFonts w:asciiTheme="minorHAnsi" w:hAnsiTheme="minorHAnsi" w:cstheme="minorHAnsi"/>
                <w:iCs/>
                <w:sz w:val="22"/>
                <w:szCs w:val="22"/>
              </w:rPr>
            </w:pPr>
            <w:r w:rsidRPr="00E01239">
              <w:rPr>
                <w:rFonts w:asciiTheme="minorHAnsi" w:hAnsiTheme="minorHAnsi" w:cstheme="minorHAnsi"/>
                <w:iCs/>
                <w:sz w:val="22"/>
                <w:szCs w:val="22"/>
              </w:rPr>
              <w:t>Renforcement du système de surveillance et d'alerte précoce des nuisibles des cultures par la réhabilitation de neuf (9) bases de surveillance et la construction de 02 nouvelles bases de surveillance pour la direction de la protection des végétaux</w:t>
            </w:r>
          </w:p>
        </w:tc>
      </w:tr>
      <w:tr w:rsidR="002F5380" w:rsidRPr="00E01239" w14:paraId="1DFB301D" w14:textId="77777777" w:rsidTr="00F15129">
        <w:trPr>
          <w:jc w:val="center"/>
        </w:trPr>
        <w:tc>
          <w:tcPr>
            <w:tcW w:w="960" w:type="pct"/>
            <w:vMerge w:val="restart"/>
            <w:vAlign w:val="center"/>
          </w:tcPr>
          <w:p w14:paraId="565239C9" w14:textId="77777777" w:rsidR="00F15129" w:rsidRPr="00E01239" w:rsidRDefault="00F15129" w:rsidP="000C38B8">
            <w:pPr>
              <w:rPr>
                <w:rFonts w:asciiTheme="minorHAnsi" w:hAnsiTheme="minorHAnsi" w:cstheme="minorHAnsi"/>
                <w:sz w:val="22"/>
                <w:szCs w:val="22"/>
              </w:rPr>
            </w:pPr>
            <w:r w:rsidRPr="00E01239">
              <w:rPr>
                <w:rFonts w:asciiTheme="minorHAnsi" w:hAnsiTheme="minorHAnsi" w:cstheme="minorHAnsi"/>
                <w:sz w:val="22"/>
                <w:szCs w:val="22"/>
              </w:rPr>
              <w:t>Composante 2.  Durabilité et capacité d'adaptation de la base productive du système alimentaire</w:t>
            </w:r>
          </w:p>
        </w:tc>
        <w:tc>
          <w:tcPr>
            <w:tcW w:w="1133" w:type="pct"/>
            <w:vMerge w:val="restart"/>
            <w:vAlign w:val="center"/>
          </w:tcPr>
          <w:p w14:paraId="2B7FB50E" w14:textId="77777777" w:rsidR="00F15129" w:rsidRPr="00E01239" w:rsidRDefault="00F15129" w:rsidP="000C38B8">
            <w:pPr>
              <w:rPr>
                <w:rFonts w:asciiTheme="minorHAnsi" w:hAnsiTheme="minorHAnsi" w:cstheme="minorHAnsi"/>
                <w:sz w:val="22"/>
                <w:szCs w:val="22"/>
              </w:rPr>
            </w:pPr>
            <w:r w:rsidRPr="00E01239">
              <w:rPr>
                <w:rFonts w:asciiTheme="minorHAnsi" w:hAnsiTheme="minorHAnsi" w:cstheme="minorHAnsi"/>
                <w:sz w:val="22"/>
                <w:szCs w:val="22"/>
              </w:rPr>
              <w:t>Sous-composante 2.1 : Consolider le système régional d'innovation agricole</w:t>
            </w:r>
          </w:p>
        </w:tc>
        <w:tc>
          <w:tcPr>
            <w:tcW w:w="2907" w:type="pct"/>
            <w:vAlign w:val="center"/>
          </w:tcPr>
          <w:p w14:paraId="5D51962D" w14:textId="77777777" w:rsidR="00F15129" w:rsidRPr="00E01239" w:rsidRDefault="00F15129" w:rsidP="00027669">
            <w:pPr>
              <w:pStyle w:val="Paragraphedeliste"/>
              <w:numPr>
                <w:ilvl w:val="1"/>
                <w:numId w:val="109"/>
              </w:numPr>
              <w:ind w:left="314" w:hanging="284"/>
              <w:jc w:val="both"/>
              <w:rPr>
                <w:rFonts w:asciiTheme="minorHAnsi" w:hAnsiTheme="minorHAnsi" w:cstheme="minorHAnsi"/>
                <w:iCs/>
                <w:sz w:val="22"/>
                <w:szCs w:val="22"/>
              </w:rPr>
            </w:pPr>
            <w:r w:rsidRPr="00E01239">
              <w:rPr>
                <w:rFonts w:asciiTheme="minorHAnsi" w:hAnsiTheme="minorHAnsi" w:cstheme="minorHAnsi"/>
                <w:iCs/>
                <w:sz w:val="22"/>
                <w:szCs w:val="22"/>
              </w:rPr>
              <w:t>Appui au Centre régional d'excellence sur les céréales sèches par la réhabilitation des neuf (9) infrastructures   et la construction et l’équipement du Campus d'Excellence "</w:t>
            </w:r>
            <w:proofErr w:type="spellStart"/>
            <w:r w:rsidRPr="00E01239">
              <w:rPr>
                <w:rFonts w:asciiTheme="minorHAnsi" w:hAnsiTheme="minorHAnsi" w:cstheme="minorHAnsi"/>
                <w:iCs/>
                <w:sz w:val="22"/>
                <w:szCs w:val="22"/>
              </w:rPr>
              <w:t>Mbollo</w:t>
            </w:r>
            <w:proofErr w:type="spellEnd"/>
            <w:r w:rsidRPr="00E01239">
              <w:rPr>
                <w:rFonts w:asciiTheme="minorHAnsi" w:hAnsiTheme="minorHAnsi" w:cstheme="minorHAnsi"/>
                <w:iCs/>
                <w:sz w:val="22"/>
                <w:szCs w:val="22"/>
              </w:rPr>
              <w:t>"</w:t>
            </w:r>
          </w:p>
        </w:tc>
      </w:tr>
      <w:tr w:rsidR="002F5380" w:rsidRPr="00E01239" w14:paraId="73A1D18E" w14:textId="77777777" w:rsidTr="00F15129">
        <w:trPr>
          <w:trHeight w:val="340"/>
          <w:jc w:val="center"/>
        </w:trPr>
        <w:tc>
          <w:tcPr>
            <w:tcW w:w="960" w:type="pct"/>
            <w:vMerge/>
            <w:vAlign w:val="center"/>
          </w:tcPr>
          <w:p w14:paraId="4871945D" w14:textId="77777777" w:rsidR="00F15129" w:rsidRPr="00E01239" w:rsidRDefault="00F15129" w:rsidP="000C38B8">
            <w:pPr>
              <w:rPr>
                <w:rFonts w:asciiTheme="minorHAnsi" w:hAnsiTheme="minorHAnsi" w:cstheme="minorHAnsi"/>
                <w:sz w:val="22"/>
                <w:szCs w:val="22"/>
              </w:rPr>
            </w:pPr>
          </w:p>
        </w:tc>
        <w:tc>
          <w:tcPr>
            <w:tcW w:w="1133" w:type="pct"/>
            <w:vMerge/>
            <w:vAlign w:val="center"/>
          </w:tcPr>
          <w:p w14:paraId="485586BB" w14:textId="77777777" w:rsidR="00F15129" w:rsidRPr="00E01239" w:rsidRDefault="00F15129" w:rsidP="000C38B8">
            <w:pPr>
              <w:rPr>
                <w:rFonts w:asciiTheme="minorHAnsi" w:hAnsiTheme="minorHAnsi" w:cstheme="minorHAnsi"/>
                <w:sz w:val="22"/>
                <w:szCs w:val="22"/>
              </w:rPr>
            </w:pPr>
          </w:p>
        </w:tc>
        <w:tc>
          <w:tcPr>
            <w:tcW w:w="2907" w:type="pct"/>
            <w:vAlign w:val="center"/>
          </w:tcPr>
          <w:p w14:paraId="141E90B3" w14:textId="77777777" w:rsidR="00F15129" w:rsidRPr="00E01239" w:rsidRDefault="00F15129" w:rsidP="00027669">
            <w:pPr>
              <w:pStyle w:val="Paragraphedeliste"/>
              <w:numPr>
                <w:ilvl w:val="1"/>
                <w:numId w:val="109"/>
              </w:numPr>
              <w:ind w:left="314" w:hanging="284"/>
              <w:jc w:val="both"/>
              <w:rPr>
                <w:rFonts w:asciiTheme="minorHAnsi" w:hAnsiTheme="minorHAnsi" w:cstheme="minorHAnsi"/>
                <w:iCs/>
                <w:sz w:val="22"/>
                <w:szCs w:val="22"/>
              </w:rPr>
            </w:pPr>
            <w:r w:rsidRPr="00E01239">
              <w:rPr>
                <w:rFonts w:asciiTheme="minorHAnsi" w:hAnsiTheme="minorHAnsi" w:cstheme="minorHAnsi"/>
                <w:iCs/>
                <w:sz w:val="22"/>
                <w:szCs w:val="22"/>
              </w:rPr>
              <w:t>Appui au renforcement du Département des Productions animales de l'ENSA par la réfection du Centre d’Application des Techniques d’Elevage (CATE) et l’acquisition d’animaux à haut potentiel génétique (Bovins, Ovins, volailles)</w:t>
            </w:r>
          </w:p>
        </w:tc>
      </w:tr>
      <w:tr w:rsidR="002F5380" w:rsidRPr="00E01239" w14:paraId="17EACEAA" w14:textId="77777777" w:rsidTr="00F15129">
        <w:trPr>
          <w:trHeight w:val="397"/>
          <w:jc w:val="center"/>
        </w:trPr>
        <w:tc>
          <w:tcPr>
            <w:tcW w:w="960" w:type="pct"/>
            <w:vMerge/>
            <w:vAlign w:val="center"/>
          </w:tcPr>
          <w:p w14:paraId="21F12D13" w14:textId="77777777" w:rsidR="00F15129" w:rsidRPr="00E01239" w:rsidRDefault="00F15129" w:rsidP="000C38B8">
            <w:pPr>
              <w:rPr>
                <w:rFonts w:asciiTheme="minorHAnsi" w:hAnsiTheme="minorHAnsi" w:cstheme="minorHAnsi"/>
                <w:sz w:val="22"/>
                <w:szCs w:val="22"/>
              </w:rPr>
            </w:pPr>
          </w:p>
        </w:tc>
        <w:tc>
          <w:tcPr>
            <w:tcW w:w="1133" w:type="pct"/>
            <w:vMerge/>
            <w:vAlign w:val="center"/>
          </w:tcPr>
          <w:p w14:paraId="3C5AE860" w14:textId="77777777" w:rsidR="00F15129" w:rsidRPr="00E01239" w:rsidRDefault="00F15129" w:rsidP="000C38B8">
            <w:pPr>
              <w:rPr>
                <w:rFonts w:asciiTheme="minorHAnsi" w:hAnsiTheme="minorHAnsi" w:cstheme="minorHAnsi"/>
                <w:sz w:val="22"/>
                <w:szCs w:val="22"/>
              </w:rPr>
            </w:pPr>
          </w:p>
        </w:tc>
        <w:tc>
          <w:tcPr>
            <w:tcW w:w="2907" w:type="pct"/>
            <w:vAlign w:val="center"/>
          </w:tcPr>
          <w:p w14:paraId="069186BE" w14:textId="428EDD99" w:rsidR="00F15129" w:rsidRPr="00E01239" w:rsidRDefault="00F15129" w:rsidP="00027669">
            <w:pPr>
              <w:pStyle w:val="Paragraphedeliste"/>
              <w:numPr>
                <w:ilvl w:val="1"/>
                <w:numId w:val="109"/>
              </w:numPr>
              <w:ind w:left="314" w:hanging="284"/>
              <w:jc w:val="both"/>
              <w:rPr>
                <w:rFonts w:asciiTheme="minorHAnsi" w:hAnsiTheme="minorHAnsi" w:cstheme="minorHAnsi"/>
                <w:iCs/>
                <w:sz w:val="22"/>
                <w:szCs w:val="22"/>
              </w:rPr>
            </w:pPr>
            <w:r w:rsidRPr="00E01239">
              <w:rPr>
                <w:rFonts w:asciiTheme="minorHAnsi" w:hAnsiTheme="minorHAnsi" w:cstheme="minorHAnsi"/>
                <w:iCs/>
                <w:sz w:val="22"/>
                <w:szCs w:val="22"/>
              </w:rPr>
              <w:t>Appui au renforcement de l'EISMV par la Réhabilitation/Construction de locaux (Protéines alternatives, Centre d'Insémination artificielle Ovine de Dakar (CIOAD)</w:t>
            </w:r>
          </w:p>
        </w:tc>
      </w:tr>
      <w:tr w:rsidR="00F15129" w:rsidRPr="00E01239" w14:paraId="1DB5450C" w14:textId="77777777" w:rsidTr="00582C4E">
        <w:trPr>
          <w:trHeight w:val="284"/>
          <w:jc w:val="center"/>
        </w:trPr>
        <w:tc>
          <w:tcPr>
            <w:tcW w:w="960" w:type="pct"/>
            <w:vMerge/>
            <w:tcBorders>
              <w:bottom w:val="single" w:sz="4" w:space="0" w:color="808080" w:themeColor="background1" w:themeShade="80"/>
            </w:tcBorders>
            <w:vAlign w:val="center"/>
          </w:tcPr>
          <w:p w14:paraId="2607069B" w14:textId="77777777" w:rsidR="00F15129" w:rsidRPr="00E01239" w:rsidRDefault="00F15129" w:rsidP="000C38B8">
            <w:pPr>
              <w:rPr>
                <w:rFonts w:asciiTheme="minorHAnsi" w:hAnsiTheme="minorHAnsi" w:cstheme="minorHAnsi"/>
                <w:sz w:val="22"/>
                <w:szCs w:val="22"/>
              </w:rPr>
            </w:pPr>
          </w:p>
        </w:tc>
        <w:tc>
          <w:tcPr>
            <w:tcW w:w="1133" w:type="pct"/>
            <w:vMerge/>
            <w:tcBorders>
              <w:bottom w:val="single" w:sz="4" w:space="0" w:color="808080" w:themeColor="background1" w:themeShade="80"/>
            </w:tcBorders>
            <w:vAlign w:val="center"/>
          </w:tcPr>
          <w:p w14:paraId="769540A5" w14:textId="77777777" w:rsidR="00F15129" w:rsidRPr="00E01239" w:rsidRDefault="00F15129" w:rsidP="000C38B8">
            <w:pPr>
              <w:rPr>
                <w:rFonts w:asciiTheme="minorHAnsi" w:hAnsiTheme="minorHAnsi" w:cstheme="minorHAnsi"/>
                <w:sz w:val="22"/>
                <w:szCs w:val="22"/>
              </w:rPr>
            </w:pPr>
          </w:p>
        </w:tc>
        <w:tc>
          <w:tcPr>
            <w:tcW w:w="2907" w:type="pct"/>
            <w:tcBorders>
              <w:bottom w:val="single" w:sz="4" w:space="0" w:color="808080" w:themeColor="background1" w:themeShade="80"/>
            </w:tcBorders>
            <w:vAlign w:val="center"/>
          </w:tcPr>
          <w:p w14:paraId="56DE0010" w14:textId="011E3A73" w:rsidR="00F15129" w:rsidRPr="00E01239" w:rsidRDefault="00F15129" w:rsidP="00027669">
            <w:pPr>
              <w:pStyle w:val="Paragraphedeliste"/>
              <w:numPr>
                <w:ilvl w:val="1"/>
                <w:numId w:val="109"/>
              </w:numPr>
              <w:ind w:left="314" w:hanging="284"/>
              <w:jc w:val="both"/>
              <w:rPr>
                <w:rFonts w:asciiTheme="minorHAnsi" w:hAnsiTheme="minorHAnsi" w:cstheme="minorHAnsi"/>
                <w:iCs/>
                <w:sz w:val="22"/>
                <w:szCs w:val="22"/>
              </w:rPr>
            </w:pPr>
            <w:r w:rsidRPr="00E01239">
              <w:rPr>
                <w:rFonts w:asciiTheme="minorHAnsi" w:hAnsiTheme="minorHAnsi" w:cstheme="minorHAnsi"/>
                <w:iCs/>
                <w:sz w:val="22"/>
                <w:szCs w:val="22"/>
              </w:rPr>
              <w:t xml:space="preserve">Modernisation des services nationaux de conseil et de vulgarisation agricole par la mise en place d'un centre d'excellence de conseil agricole et rural incluant </w:t>
            </w:r>
            <w:r w:rsidR="000E0442">
              <w:rPr>
                <w:rFonts w:asciiTheme="minorHAnsi" w:hAnsiTheme="minorHAnsi" w:cstheme="minorHAnsi"/>
                <w:iCs/>
                <w:sz w:val="22"/>
                <w:szCs w:val="22"/>
              </w:rPr>
              <w:t xml:space="preserve">un </w:t>
            </w:r>
            <w:r w:rsidRPr="00E01239">
              <w:rPr>
                <w:rFonts w:asciiTheme="minorHAnsi" w:hAnsiTheme="minorHAnsi" w:cstheme="minorHAnsi"/>
                <w:iCs/>
                <w:sz w:val="22"/>
                <w:szCs w:val="22"/>
              </w:rPr>
              <w:t>siège ANCAR, un centre de formation continue/recyclage et un hub de e-conseil et la rénovation / construction, équipement et</w:t>
            </w:r>
            <w:r w:rsidR="00D153C3" w:rsidRPr="00E01239">
              <w:rPr>
                <w:rFonts w:asciiTheme="minorHAnsi" w:hAnsiTheme="minorHAnsi" w:cstheme="minorHAnsi"/>
                <w:iCs/>
                <w:sz w:val="22"/>
                <w:szCs w:val="22"/>
              </w:rPr>
              <w:t xml:space="preserve"> </w:t>
            </w:r>
            <w:r w:rsidRPr="00E01239">
              <w:rPr>
                <w:rFonts w:asciiTheme="minorHAnsi" w:hAnsiTheme="minorHAnsi" w:cstheme="minorHAnsi"/>
                <w:iCs/>
                <w:sz w:val="22"/>
                <w:szCs w:val="22"/>
              </w:rPr>
              <w:t>Mise en place de stations de démonstration adaptées dans les 7 directions des zones (zone agroécologiques)</w:t>
            </w:r>
          </w:p>
        </w:tc>
      </w:tr>
      <w:tr w:rsidR="00F15129" w:rsidRPr="00E01239" w14:paraId="48A5567E" w14:textId="77777777" w:rsidTr="00582C4E">
        <w:trPr>
          <w:trHeight w:val="558"/>
          <w:jc w:val="center"/>
        </w:trPr>
        <w:tc>
          <w:tcPr>
            <w:tcW w:w="960" w:type="pct"/>
            <w:vMerge/>
            <w:tcBorders>
              <w:bottom w:val="single" w:sz="4" w:space="0" w:color="808080" w:themeColor="background1" w:themeShade="80"/>
            </w:tcBorders>
            <w:vAlign w:val="center"/>
          </w:tcPr>
          <w:p w14:paraId="4E26B207" w14:textId="77777777" w:rsidR="00F15129" w:rsidRPr="00E01239" w:rsidRDefault="00F15129" w:rsidP="000C38B8">
            <w:pPr>
              <w:rPr>
                <w:rFonts w:asciiTheme="minorHAnsi" w:hAnsiTheme="minorHAnsi" w:cstheme="minorHAnsi"/>
                <w:sz w:val="22"/>
                <w:szCs w:val="22"/>
              </w:rPr>
            </w:pPr>
          </w:p>
        </w:tc>
        <w:tc>
          <w:tcPr>
            <w:tcW w:w="1133" w:type="pct"/>
            <w:vAlign w:val="center"/>
          </w:tcPr>
          <w:p w14:paraId="3D889A20" w14:textId="77777777" w:rsidR="00F15129" w:rsidRPr="00E01239" w:rsidRDefault="00F15129" w:rsidP="000C38B8">
            <w:pPr>
              <w:rPr>
                <w:rFonts w:asciiTheme="minorHAnsi" w:hAnsiTheme="minorHAnsi" w:cstheme="minorHAnsi"/>
                <w:sz w:val="22"/>
                <w:szCs w:val="22"/>
              </w:rPr>
            </w:pPr>
            <w:r w:rsidRPr="00E01239">
              <w:rPr>
                <w:rFonts w:asciiTheme="minorHAnsi" w:hAnsiTheme="minorHAnsi" w:cstheme="minorHAnsi"/>
                <w:sz w:val="22"/>
                <w:szCs w:val="22"/>
              </w:rPr>
              <w:t>Sous-composante 2.2 :</w:t>
            </w:r>
            <w:r w:rsidRPr="00E01239">
              <w:rPr>
                <w:rFonts w:asciiTheme="minorHAnsi" w:eastAsiaTheme="minorEastAsia" w:hAnsiTheme="minorHAnsi" w:cstheme="minorHAnsi"/>
                <w:color w:val="000000" w:themeColor="text1"/>
                <w:kern w:val="24"/>
                <w:sz w:val="22"/>
                <w:szCs w:val="22"/>
              </w:rPr>
              <w:t xml:space="preserve"> </w:t>
            </w:r>
            <w:r w:rsidRPr="00E01239">
              <w:rPr>
                <w:rFonts w:asciiTheme="minorHAnsi" w:hAnsiTheme="minorHAnsi" w:cstheme="minorHAnsi"/>
                <w:sz w:val="22"/>
                <w:szCs w:val="22"/>
              </w:rPr>
              <w:t xml:space="preserve">Renforcer la sécurité alimentaire régionale par la gestion intégrée des paysages </w:t>
            </w:r>
          </w:p>
        </w:tc>
        <w:tc>
          <w:tcPr>
            <w:tcW w:w="2907" w:type="pct"/>
            <w:tcBorders>
              <w:bottom w:val="single" w:sz="4" w:space="0" w:color="808080" w:themeColor="background1" w:themeShade="80"/>
            </w:tcBorders>
            <w:vAlign w:val="center"/>
          </w:tcPr>
          <w:p w14:paraId="3C8D8076" w14:textId="77777777" w:rsidR="00F15129" w:rsidRPr="00E01239" w:rsidRDefault="00F15129" w:rsidP="00027669">
            <w:pPr>
              <w:pStyle w:val="Paragraphedeliste"/>
              <w:numPr>
                <w:ilvl w:val="0"/>
                <w:numId w:val="110"/>
              </w:numPr>
              <w:ind w:left="357" w:hanging="357"/>
              <w:contextualSpacing w:val="0"/>
              <w:rPr>
                <w:rFonts w:asciiTheme="minorHAnsi" w:hAnsiTheme="minorHAnsi" w:cstheme="minorHAnsi"/>
                <w:iCs/>
                <w:sz w:val="22"/>
                <w:szCs w:val="22"/>
              </w:rPr>
            </w:pPr>
            <w:r w:rsidRPr="00E01239">
              <w:rPr>
                <w:rFonts w:asciiTheme="minorHAnsi" w:hAnsiTheme="minorHAnsi" w:cstheme="minorHAnsi"/>
                <w:iCs/>
                <w:sz w:val="22"/>
                <w:szCs w:val="22"/>
              </w:rPr>
              <w:t xml:space="preserve">Amélioration de la résilience des écosystèmes et des systèmes alimentaires </w:t>
            </w:r>
          </w:p>
          <w:p w14:paraId="1B86099C"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Aménagement du bassin de </w:t>
            </w:r>
            <w:proofErr w:type="spellStart"/>
            <w:r w:rsidRPr="00E01239">
              <w:rPr>
                <w:rFonts w:asciiTheme="minorHAnsi" w:hAnsiTheme="minorHAnsi" w:cstheme="minorHAnsi"/>
                <w:iCs/>
                <w:sz w:val="22"/>
                <w:szCs w:val="22"/>
              </w:rPr>
              <w:t>Dioulol</w:t>
            </w:r>
            <w:proofErr w:type="spellEnd"/>
            <w:r w:rsidRPr="00E01239">
              <w:rPr>
                <w:rFonts w:asciiTheme="minorHAnsi" w:hAnsiTheme="minorHAnsi" w:cstheme="minorHAnsi"/>
                <w:iCs/>
                <w:sz w:val="22"/>
                <w:szCs w:val="22"/>
              </w:rPr>
              <w:t xml:space="preserve"> (Délégation SAED de Matam)</w:t>
            </w:r>
          </w:p>
          <w:p w14:paraId="002B57E1" w14:textId="184E180C"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Aménagement du site pilote de Bushra</w:t>
            </w:r>
          </w:p>
          <w:p w14:paraId="19D6FAAD"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Réfection périmètre maraicher du CPFP de </w:t>
            </w:r>
            <w:proofErr w:type="spellStart"/>
            <w:r w:rsidRPr="00E01239">
              <w:rPr>
                <w:rFonts w:asciiTheme="minorHAnsi" w:hAnsiTheme="minorHAnsi" w:cstheme="minorHAnsi"/>
                <w:iCs/>
                <w:sz w:val="22"/>
                <w:szCs w:val="22"/>
              </w:rPr>
              <w:t>Koussanar</w:t>
            </w:r>
            <w:proofErr w:type="spellEnd"/>
          </w:p>
          <w:p w14:paraId="675B9191"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Remembrement de la vallée de </w:t>
            </w:r>
            <w:proofErr w:type="spellStart"/>
            <w:r w:rsidRPr="00E01239">
              <w:rPr>
                <w:rFonts w:asciiTheme="minorHAnsi" w:hAnsiTheme="minorHAnsi" w:cstheme="minorHAnsi"/>
                <w:iCs/>
                <w:sz w:val="22"/>
                <w:szCs w:val="22"/>
              </w:rPr>
              <w:t>Diatock</w:t>
            </w:r>
            <w:proofErr w:type="spellEnd"/>
            <w:r w:rsidRPr="00E01239">
              <w:rPr>
                <w:rFonts w:asciiTheme="minorHAnsi" w:hAnsiTheme="minorHAnsi" w:cstheme="minorHAnsi"/>
                <w:iCs/>
                <w:sz w:val="22"/>
                <w:szCs w:val="22"/>
              </w:rPr>
              <w:t xml:space="preserve"> </w:t>
            </w:r>
          </w:p>
          <w:p w14:paraId="3EEC6443"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Revalorisation de la vallée de </w:t>
            </w:r>
            <w:proofErr w:type="spellStart"/>
            <w:r w:rsidRPr="00E01239">
              <w:rPr>
                <w:rFonts w:asciiTheme="minorHAnsi" w:hAnsiTheme="minorHAnsi" w:cstheme="minorHAnsi"/>
                <w:iCs/>
                <w:sz w:val="22"/>
                <w:szCs w:val="22"/>
              </w:rPr>
              <w:t>Djilacounda</w:t>
            </w:r>
            <w:proofErr w:type="spellEnd"/>
          </w:p>
          <w:p w14:paraId="0DCF42AC"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Réhabilitation de la Vallée de </w:t>
            </w:r>
            <w:proofErr w:type="spellStart"/>
            <w:r w:rsidRPr="00E01239">
              <w:rPr>
                <w:rFonts w:asciiTheme="minorHAnsi" w:hAnsiTheme="minorHAnsi" w:cstheme="minorHAnsi"/>
                <w:iCs/>
                <w:sz w:val="22"/>
                <w:szCs w:val="22"/>
              </w:rPr>
              <w:t>Simal</w:t>
            </w:r>
            <w:proofErr w:type="spellEnd"/>
          </w:p>
          <w:p w14:paraId="633D7C46"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Amendement organique et minéral des sols de Keur Moussa et </w:t>
            </w:r>
            <w:proofErr w:type="spellStart"/>
            <w:r w:rsidRPr="00E01239">
              <w:rPr>
                <w:rFonts w:asciiTheme="minorHAnsi" w:hAnsiTheme="minorHAnsi" w:cstheme="minorHAnsi"/>
                <w:iCs/>
                <w:sz w:val="22"/>
                <w:szCs w:val="22"/>
              </w:rPr>
              <w:t>Djender</w:t>
            </w:r>
            <w:proofErr w:type="spellEnd"/>
          </w:p>
          <w:p w14:paraId="48D587AF"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DRS/CES bas fons </w:t>
            </w:r>
            <w:proofErr w:type="spellStart"/>
            <w:r w:rsidRPr="00E01239">
              <w:rPr>
                <w:rFonts w:asciiTheme="minorHAnsi" w:hAnsiTheme="minorHAnsi" w:cstheme="minorHAnsi"/>
                <w:iCs/>
                <w:sz w:val="22"/>
                <w:szCs w:val="22"/>
              </w:rPr>
              <w:t>Notto</w:t>
            </w:r>
            <w:proofErr w:type="spellEnd"/>
            <w:r w:rsidRPr="00E01239">
              <w:rPr>
                <w:rFonts w:asciiTheme="minorHAnsi" w:hAnsiTheme="minorHAnsi" w:cstheme="minorHAnsi"/>
                <w:iCs/>
                <w:sz w:val="22"/>
                <w:szCs w:val="22"/>
              </w:rPr>
              <w:t xml:space="preserve"> </w:t>
            </w:r>
            <w:proofErr w:type="spellStart"/>
            <w:r w:rsidRPr="00E01239">
              <w:rPr>
                <w:rFonts w:asciiTheme="minorHAnsi" w:hAnsiTheme="minorHAnsi" w:cstheme="minorHAnsi"/>
                <w:iCs/>
                <w:sz w:val="22"/>
                <w:szCs w:val="22"/>
              </w:rPr>
              <w:t>Diobass</w:t>
            </w:r>
            <w:proofErr w:type="spellEnd"/>
            <w:r w:rsidRPr="00E01239">
              <w:rPr>
                <w:rFonts w:asciiTheme="minorHAnsi" w:hAnsiTheme="minorHAnsi" w:cstheme="minorHAnsi"/>
                <w:iCs/>
                <w:sz w:val="22"/>
                <w:szCs w:val="22"/>
              </w:rPr>
              <w:t xml:space="preserve"> et </w:t>
            </w:r>
            <w:proofErr w:type="spellStart"/>
            <w:r w:rsidRPr="00E01239">
              <w:rPr>
                <w:rFonts w:asciiTheme="minorHAnsi" w:hAnsiTheme="minorHAnsi" w:cstheme="minorHAnsi"/>
                <w:iCs/>
                <w:sz w:val="22"/>
                <w:szCs w:val="22"/>
              </w:rPr>
              <w:t>Toubatoul</w:t>
            </w:r>
            <w:proofErr w:type="spellEnd"/>
          </w:p>
          <w:p w14:paraId="42C320E3"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Réhabilitation de 2000 ha périmètres irrigués villageois dans la vallée du fleuve Sénégal</w:t>
            </w:r>
          </w:p>
          <w:p w14:paraId="52D175E9" w14:textId="06387CA2"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lastRenderedPageBreak/>
              <w:t xml:space="preserve">Réhabilitation et extension de 2 700 ha </w:t>
            </w:r>
            <w:r w:rsidR="004C66ED">
              <w:rPr>
                <w:rFonts w:asciiTheme="minorHAnsi" w:hAnsiTheme="minorHAnsi" w:cstheme="minorHAnsi"/>
                <w:iCs/>
                <w:sz w:val="22"/>
                <w:szCs w:val="22"/>
              </w:rPr>
              <w:t xml:space="preserve">de </w:t>
            </w:r>
            <w:r w:rsidRPr="00E01239">
              <w:rPr>
                <w:rFonts w:asciiTheme="minorHAnsi" w:hAnsiTheme="minorHAnsi" w:cstheme="minorHAnsi"/>
                <w:iCs/>
                <w:sz w:val="22"/>
                <w:szCs w:val="22"/>
              </w:rPr>
              <w:t>périmètres irrigués et renouvellement de système de pompage de casiers et PIV dans la vallée du fleuve Sénégal.</w:t>
            </w:r>
          </w:p>
        </w:tc>
      </w:tr>
      <w:tr w:rsidR="00F15129" w:rsidRPr="00E01239" w14:paraId="5DB8B2E2" w14:textId="77777777" w:rsidTr="00582C4E">
        <w:trPr>
          <w:trHeight w:val="2117"/>
          <w:jc w:val="center"/>
        </w:trPr>
        <w:tc>
          <w:tcPr>
            <w:tcW w:w="960" w:type="pct"/>
            <w:vMerge w:val="restart"/>
            <w:tcBorders>
              <w:bottom w:val="single" w:sz="4" w:space="0" w:color="808080" w:themeColor="background1" w:themeShade="80"/>
            </w:tcBorders>
            <w:vAlign w:val="center"/>
          </w:tcPr>
          <w:p w14:paraId="09F3FA5E" w14:textId="77777777" w:rsidR="00F15129" w:rsidRPr="00E01239" w:rsidRDefault="00F15129" w:rsidP="000C38B8">
            <w:pPr>
              <w:rPr>
                <w:rFonts w:asciiTheme="minorHAnsi" w:hAnsiTheme="minorHAnsi" w:cstheme="minorHAnsi"/>
                <w:sz w:val="22"/>
                <w:szCs w:val="22"/>
              </w:rPr>
            </w:pPr>
            <w:r w:rsidRPr="00E01239">
              <w:rPr>
                <w:rFonts w:asciiTheme="minorHAnsi" w:hAnsiTheme="minorHAnsi" w:cstheme="minorHAnsi"/>
                <w:sz w:val="22"/>
                <w:szCs w:val="22"/>
              </w:rPr>
              <w:lastRenderedPageBreak/>
              <w:t xml:space="preserve">Composante 3. Intégration régionale des marchés alimentaires </w:t>
            </w:r>
            <w:r w:rsidRPr="00E01239">
              <w:rPr>
                <w:rFonts w:asciiTheme="minorHAnsi" w:hAnsiTheme="minorHAnsi" w:cstheme="minorHAnsi"/>
                <w:sz w:val="22"/>
                <w:szCs w:val="22"/>
              </w:rPr>
              <w:br/>
              <w:t xml:space="preserve">&amp; du commerce  </w:t>
            </w:r>
          </w:p>
        </w:tc>
        <w:tc>
          <w:tcPr>
            <w:tcW w:w="1133" w:type="pct"/>
            <w:vMerge w:val="restart"/>
            <w:vAlign w:val="center"/>
          </w:tcPr>
          <w:p w14:paraId="6FD88C69" w14:textId="77777777" w:rsidR="00F15129" w:rsidRPr="00E01239" w:rsidRDefault="00F15129" w:rsidP="000C38B8">
            <w:pPr>
              <w:rPr>
                <w:rFonts w:asciiTheme="minorHAnsi" w:hAnsiTheme="minorHAnsi" w:cstheme="minorHAnsi"/>
                <w:sz w:val="22"/>
                <w:szCs w:val="22"/>
              </w:rPr>
            </w:pPr>
            <w:r w:rsidRPr="00E01239">
              <w:rPr>
                <w:rFonts w:asciiTheme="minorHAnsi" w:hAnsiTheme="minorHAnsi" w:cstheme="minorHAnsi"/>
                <w:sz w:val="22"/>
                <w:szCs w:val="22"/>
              </w:rPr>
              <w:t>Sous-composante 3.2 : Soutenir le développement des chaînes de valeur stratégiques et régionales</w:t>
            </w:r>
          </w:p>
        </w:tc>
        <w:tc>
          <w:tcPr>
            <w:tcW w:w="2907" w:type="pct"/>
            <w:vAlign w:val="center"/>
          </w:tcPr>
          <w:p w14:paraId="618F950C" w14:textId="77777777" w:rsidR="00F15129" w:rsidRPr="00E01239" w:rsidRDefault="00F15129" w:rsidP="00027669">
            <w:pPr>
              <w:pStyle w:val="Paragraphedeliste"/>
              <w:numPr>
                <w:ilvl w:val="0"/>
                <w:numId w:val="108"/>
              </w:numPr>
              <w:rPr>
                <w:rFonts w:asciiTheme="minorHAnsi" w:hAnsiTheme="minorHAnsi" w:cstheme="minorHAnsi"/>
                <w:iCs/>
                <w:sz w:val="22"/>
                <w:szCs w:val="22"/>
              </w:rPr>
            </w:pPr>
            <w:r w:rsidRPr="00E01239">
              <w:rPr>
                <w:rFonts w:asciiTheme="minorHAnsi" w:hAnsiTheme="minorHAnsi" w:cstheme="minorHAnsi"/>
                <w:iCs/>
                <w:sz w:val="22"/>
                <w:szCs w:val="22"/>
              </w:rPr>
              <w:t>Mise à niveau des laboratoires de certification</w:t>
            </w:r>
          </w:p>
          <w:p w14:paraId="5C55E5C5"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Construction (ou réfection) de 5 laboratoires régionaux de contrôle des semences (différentes localités à préciser).</w:t>
            </w:r>
          </w:p>
          <w:p w14:paraId="665C8C6F"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Construction (ou réfection) de 2 CTS modernes (Kaffrine et Fatick).</w:t>
            </w:r>
          </w:p>
          <w:p w14:paraId="07845E50"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Mise en place d'une unité de production d'étiquettes de certification des semences (dans la région de Dakar sur le site de la Direction de l’Agriculture).</w:t>
            </w:r>
          </w:p>
          <w:p w14:paraId="7C22CA52"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Réfection et équipement du laboratoire national (situé dans la région de Dakar sur le site de la Direction de l’Agriculture)</w:t>
            </w:r>
          </w:p>
        </w:tc>
      </w:tr>
      <w:tr w:rsidR="00F15129" w:rsidRPr="00E01239" w14:paraId="2FA699EA" w14:textId="77777777" w:rsidTr="00582C4E">
        <w:trPr>
          <w:trHeight w:val="397"/>
          <w:jc w:val="center"/>
        </w:trPr>
        <w:tc>
          <w:tcPr>
            <w:tcW w:w="960" w:type="pct"/>
            <w:vMerge/>
            <w:vAlign w:val="center"/>
          </w:tcPr>
          <w:p w14:paraId="11B37520" w14:textId="77777777" w:rsidR="00F15129" w:rsidRPr="00E01239" w:rsidRDefault="00F15129" w:rsidP="000C38B8">
            <w:pPr>
              <w:rPr>
                <w:rFonts w:asciiTheme="minorHAnsi" w:hAnsiTheme="minorHAnsi" w:cstheme="minorHAnsi"/>
                <w:sz w:val="22"/>
                <w:szCs w:val="22"/>
              </w:rPr>
            </w:pPr>
          </w:p>
        </w:tc>
        <w:tc>
          <w:tcPr>
            <w:tcW w:w="1133" w:type="pct"/>
            <w:vMerge/>
            <w:vAlign w:val="center"/>
          </w:tcPr>
          <w:p w14:paraId="2CA10B1E" w14:textId="77777777" w:rsidR="00F15129" w:rsidRPr="00E01239" w:rsidRDefault="00F15129" w:rsidP="000C38B8">
            <w:pPr>
              <w:rPr>
                <w:rFonts w:asciiTheme="minorHAnsi" w:hAnsiTheme="minorHAnsi" w:cstheme="minorHAnsi"/>
                <w:sz w:val="22"/>
                <w:szCs w:val="22"/>
              </w:rPr>
            </w:pPr>
          </w:p>
        </w:tc>
        <w:tc>
          <w:tcPr>
            <w:tcW w:w="2907" w:type="pct"/>
            <w:vAlign w:val="center"/>
          </w:tcPr>
          <w:p w14:paraId="3934441B" w14:textId="77777777" w:rsidR="00F15129" w:rsidRPr="00E01239" w:rsidRDefault="00F15129" w:rsidP="00027669">
            <w:pPr>
              <w:pStyle w:val="Paragraphedeliste"/>
              <w:numPr>
                <w:ilvl w:val="0"/>
                <w:numId w:val="108"/>
              </w:numPr>
              <w:rPr>
                <w:rFonts w:asciiTheme="minorHAnsi" w:hAnsiTheme="minorHAnsi" w:cstheme="minorHAnsi"/>
                <w:iCs/>
                <w:sz w:val="22"/>
                <w:szCs w:val="22"/>
              </w:rPr>
            </w:pPr>
            <w:r w:rsidRPr="00E01239">
              <w:rPr>
                <w:rFonts w:asciiTheme="minorHAnsi" w:hAnsiTheme="minorHAnsi" w:cstheme="minorHAnsi"/>
                <w:iCs/>
                <w:sz w:val="22"/>
                <w:szCs w:val="22"/>
              </w:rPr>
              <w:t>Renforcement de la fourniture de services de vaccination (MEPA)</w:t>
            </w:r>
          </w:p>
          <w:p w14:paraId="2525A138" w14:textId="77777777" w:rsidR="00F15129" w:rsidRPr="00E01239" w:rsidRDefault="00F15129" w:rsidP="00027669">
            <w:pPr>
              <w:pStyle w:val="Paragraphedeliste"/>
              <w:numPr>
                <w:ilvl w:val="1"/>
                <w:numId w:val="109"/>
              </w:numPr>
              <w:rPr>
                <w:rFonts w:asciiTheme="minorHAnsi" w:hAnsiTheme="minorHAnsi" w:cstheme="minorHAnsi"/>
                <w:iCs/>
                <w:color w:val="0070C0"/>
                <w:sz w:val="22"/>
                <w:szCs w:val="22"/>
              </w:rPr>
            </w:pPr>
            <w:r w:rsidRPr="00E01239">
              <w:rPr>
                <w:rFonts w:asciiTheme="minorHAnsi" w:hAnsiTheme="minorHAnsi" w:cstheme="minorHAnsi"/>
                <w:iCs/>
                <w:sz w:val="22"/>
                <w:szCs w:val="22"/>
              </w:rPr>
              <w:t>Construction de 100 parcs à vaccination dans différentes localités à préciser ultérieurement.</w:t>
            </w:r>
          </w:p>
        </w:tc>
      </w:tr>
      <w:tr w:rsidR="00F15129" w:rsidRPr="00E01239" w14:paraId="1A80B310" w14:textId="77777777" w:rsidTr="00582C4E">
        <w:trPr>
          <w:trHeight w:val="1357"/>
          <w:jc w:val="center"/>
        </w:trPr>
        <w:tc>
          <w:tcPr>
            <w:tcW w:w="960" w:type="pct"/>
            <w:vMerge/>
            <w:vAlign w:val="center"/>
          </w:tcPr>
          <w:p w14:paraId="256B852B" w14:textId="77777777" w:rsidR="00F15129" w:rsidRPr="00E01239" w:rsidRDefault="00F15129" w:rsidP="000C38B8">
            <w:pPr>
              <w:rPr>
                <w:rFonts w:asciiTheme="minorHAnsi" w:hAnsiTheme="minorHAnsi" w:cstheme="minorHAnsi"/>
                <w:sz w:val="22"/>
                <w:szCs w:val="22"/>
              </w:rPr>
            </w:pPr>
          </w:p>
        </w:tc>
        <w:tc>
          <w:tcPr>
            <w:tcW w:w="1133" w:type="pct"/>
            <w:vMerge/>
            <w:vAlign w:val="center"/>
          </w:tcPr>
          <w:p w14:paraId="28E09053" w14:textId="77777777" w:rsidR="00F15129" w:rsidRPr="00E01239" w:rsidRDefault="00F15129" w:rsidP="000C38B8">
            <w:pPr>
              <w:rPr>
                <w:rFonts w:asciiTheme="minorHAnsi" w:hAnsiTheme="minorHAnsi" w:cstheme="minorHAnsi"/>
                <w:sz w:val="22"/>
                <w:szCs w:val="22"/>
              </w:rPr>
            </w:pPr>
          </w:p>
        </w:tc>
        <w:tc>
          <w:tcPr>
            <w:tcW w:w="2907" w:type="pct"/>
            <w:vAlign w:val="center"/>
          </w:tcPr>
          <w:p w14:paraId="4A0D817D" w14:textId="77777777" w:rsidR="00F15129" w:rsidRPr="00E01239" w:rsidRDefault="00F15129" w:rsidP="00027669">
            <w:pPr>
              <w:pStyle w:val="Paragraphedeliste"/>
              <w:numPr>
                <w:ilvl w:val="0"/>
                <w:numId w:val="108"/>
              </w:numPr>
              <w:rPr>
                <w:rFonts w:asciiTheme="minorHAnsi" w:hAnsiTheme="minorHAnsi" w:cstheme="minorHAnsi"/>
                <w:iCs/>
                <w:sz w:val="22"/>
                <w:szCs w:val="22"/>
              </w:rPr>
            </w:pPr>
            <w:r w:rsidRPr="00E01239">
              <w:rPr>
                <w:rFonts w:asciiTheme="minorHAnsi" w:hAnsiTheme="minorHAnsi" w:cstheme="minorHAnsi"/>
                <w:iCs/>
                <w:sz w:val="22"/>
                <w:szCs w:val="22"/>
              </w:rPr>
              <w:t>Mise aux normes de qualité et de biosécurité des locaux de production de vaccins (MEPA)</w:t>
            </w:r>
          </w:p>
          <w:p w14:paraId="032D813D"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Installation d'une salle blanche de 30 m2</w:t>
            </w:r>
          </w:p>
          <w:p w14:paraId="03C3B910"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Travaux de réaménagement des locaux</w:t>
            </w:r>
          </w:p>
          <w:p w14:paraId="069F3B43"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Installation d'une unité de contrôle de qualité interne des vaccins </w:t>
            </w:r>
          </w:p>
          <w:p w14:paraId="25B13666"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Unité de conditionnement de vaccins</w:t>
            </w:r>
          </w:p>
        </w:tc>
      </w:tr>
      <w:tr w:rsidR="00F15129" w:rsidRPr="00E01239" w14:paraId="3EF0CF54" w14:textId="77777777" w:rsidTr="00582C4E">
        <w:trPr>
          <w:trHeight w:val="651"/>
          <w:jc w:val="center"/>
        </w:trPr>
        <w:tc>
          <w:tcPr>
            <w:tcW w:w="960" w:type="pct"/>
            <w:vMerge/>
            <w:vAlign w:val="center"/>
          </w:tcPr>
          <w:p w14:paraId="56622EC0" w14:textId="77777777" w:rsidR="00F15129" w:rsidRPr="00E01239" w:rsidRDefault="00F15129" w:rsidP="000C38B8">
            <w:pPr>
              <w:rPr>
                <w:rFonts w:asciiTheme="minorHAnsi" w:hAnsiTheme="minorHAnsi" w:cstheme="minorHAnsi"/>
                <w:sz w:val="22"/>
                <w:szCs w:val="22"/>
              </w:rPr>
            </w:pPr>
          </w:p>
        </w:tc>
        <w:tc>
          <w:tcPr>
            <w:tcW w:w="1133" w:type="pct"/>
            <w:vMerge/>
            <w:vAlign w:val="center"/>
          </w:tcPr>
          <w:p w14:paraId="0FA84F99" w14:textId="77777777" w:rsidR="00F15129" w:rsidRPr="00E01239" w:rsidRDefault="00F15129" w:rsidP="000C38B8">
            <w:pPr>
              <w:rPr>
                <w:rFonts w:asciiTheme="minorHAnsi" w:hAnsiTheme="minorHAnsi" w:cstheme="minorHAnsi"/>
                <w:sz w:val="22"/>
                <w:szCs w:val="22"/>
              </w:rPr>
            </w:pPr>
          </w:p>
        </w:tc>
        <w:tc>
          <w:tcPr>
            <w:tcW w:w="2907" w:type="pct"/>
            <w:vAlign w:val="center"/>
          </w:tcPr>
          <w:p w14:paraId="47025DE0" w14:textId="77777777" w:rsidR="00F15129" w:rsidRPr="00E01239" w:rsidRDefault="00F15129" w:rsidP="00027669">
            <w:pPr>
              <w:pStyle w:val="Paragraphedeliste"/>
              <w:numPr>
                <w:ilvl w:val="0"/>
                <w:numId w:val="108"/>
              </w:numPr>
              <w:rPr>
                <w:rFonts w:asciiTheme="minorHAnsi" w:hAnsiTheme="minorHAnsi" w:cstheme="minorHAnsi"/>
                <w:iCs/>
                <w:sz w:val="22"/>
                <w:szCs w:val="22"/>
              </w:rPr>
            </w:pPr>
            <w:r w:rsidRPr="00E01239">
              <w:rPr>
                <w:rFonts w:asciiTheme="minorHAnsi" w:hAnsiTheme="minorHAnsi" w:cstheme="minorHAnsi"/>
                <w:iCs/>
                <w:sz w:val="22"/>
                <w:szCs w:val="22"/>
              </w:rPr>
              <w:t>Aménagement et restauration des territoires pastoraux (MEPA)</w:t>
            </w:r>
          </w:p>
          <w:p w14:paraId="40D8242E"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Création d’aires de mise en défens (2000 ha) dans les départements de Podor, Linguère, Koumpentoum.</w:t>
            </w:r>
          </w:p>
        </w:tc>
      </w:tr>
      <w:tr w:rsidR="00F15129" w:rsidRPr="00E01239" w14:paraId="63908DCB" w14:textId="77777777" w:rsidTr="00582C4E">
        <w:trPr>
          <w:jc w:val="center"/>
        </w:trPr>
        <w:tc>
          <w:tcPr>
            <w:tcW w:w="960" w:type="pct"/>
            <w:vMerge/>
            <w:vAlign w:val="center"/>
          </w:tcPr>
          <w:p w14:paraId="374EA275" w14:textId="77777777" w:rsidR="00F15129" w:rsidRPr="00E01239" w:rsidRDefault="00F15129" w:rsidP="000C38B8">
            <w:pPr>
              <w:rPr>
                <w:rFonts w:asciiTheme="minorHAnsi" w:hAnsiTheme="minorHAnsi" w:cstheme="minorHAnsi"/>
                <w:sz w:val="22"/>
                <w:szCs w:val="22"/>
              </w:rPr>
            </w:pPr>
          </w:p>
        </w:tc>
        <w:tc>
          <w:tcPr>
            <w:tcW w:w="1133" w:type="pct"/>
            <w:vMerge/>
            <w:vAlign w:val="center"/>
          </w:tcPr>
          <w:p w14:paraId="5EBB2D48" w14:textId="77777777" w:rsidR="00F15129" w:rsidRPr="00E01239" w:rsidRDefault="00F15129" w:rsidP="000C38B8">
            <w:pPr>
              <w:rPr>
                <w:rFonts w:asciiTheme="minorHAnsi" w:hAnsiTheme="minorHAnsi" w:cstheme="minorHAnsi"/>
                <w:sz w:val="22"/>
                <w:szCs w:val="22"/>
              </w:rPr>
            </w:pPr>
          </w:p>
        </w:tc>
        <w:tc>
          <w:tcPr>
            <w:tcW w:w="2907" w:type="pct"/>
            <w:vAlign w:val="center"/>
          </w:tcPr>
          <w:p w14:paraId="4DC507A2" w14:textId="77777777" w:rsidR="00F15129" w:rsidRPr="00E01239" w:rsidRDefault="00F15129" w:rsidP="00027669">
            <w:pPr>
              <w:pStyle w:val="Paragraphedeliste"/>
              <w:numPr>
                <w:ilvl w:val="0"/>
                <w:numId w:val="108"/>
              </w:numPr>
              <w:rPr>
                <w:rFonts w:asciiTheme="minorHAnsi" w:hAnsiTheme="minorHAnsi" w:cstheme="minorHAnsi"/>
                <w:iCs/>
                <w:sz w:val="22"/>
                <w:szCs w:val="22"/>
              </w:rPr>
            </w:pPr>
            <w:r w:rsidRPr="00E01239">
              <w:rPr>
                <w:rFonts w:asciiTheme="minorHAnsi" w:hAnsiTheme="minorHAnsi" w:cstheme="minorHAnsi"/>
                <w:iCs/>
                <w:sz w:val="22"/>
                <w:szCs w:val="22"/>
              </w:rPr>
              <w:t xml:space="preserve">Construction de deux (2) plateformes d’engraissement intensif de bovins dans </w:t>
            </w:r>
            <w:r w:rsidRPr="00E01239">
              <w:rPr>
                <w:rFonts w:asciiTheme="minorHAnsi" w:hAnsiTheme="minorHAnsi" w:cstheme="minorHAnsi"/>
                <w:sz w:val="22"/>
                <w:szCs w:val="22"/>
              </w:rPr>
              <w:t xml:space="preserve">les localités de Diourbel et </w:t>
            </w:r>
            <w:proofErr w:type="spellStart"/>
            <w:r w:rsidRPr="00E01239">
              <w:rPr>
                <w:rFonts w:asciiTheme="minorHAnsi" w:hAnsiTheme="minorHAnsi" w:cstheme="minorHAnsi"/>
                <w:sz w:val="22"/>
                <w:szCs w:val="22"/>
              </w:rPr>
              <w:t>Mékhé</w:t>
            </w:r>
            <w:proofErr w:type="spellEnd"/>
            <w:r w:rsidRPr="00E01239">
              <w:rPr>
                <w:rFonts w:asciiTheme="minorHAnsi" w:hAnsiTheme="minorHAnsi" w:cstheme="minorHAnsi"/>
                <w:sz w:val="22"/>
                <w:szCs w:val="22"/>
              </w:rPr>
              <w:t> </w:t>
            </w:r>
            <w:r w:rsidRPr="00E01239">
              <w:rPr>
                <w:rFonts w:asciiTheme="minorHAnsi" w:hAnsiTheme="minorHAnsi" w:cstheme="minorHAnsi"/>
                <w:iCs/>
                <w:sz w:val="22"/>
                <w:szCs w:val="22"/>
              </w:rPr>
              <w:t>(MEPA</w:t>
            </w:r>
            <w:proofErr w:type="gramStart"/>
            <w:r w:rsidRPr="00E01239">
              <w:rPr>
                <w:rFonts w:asciiTheme="minorHAnsi" w:hAnsiTheme="minorHAnsi" w:cstheme="minorHAnsi"/>
                <w:iCs/>
                <w:sz w:val="22"/>
                <w:szCs w:val="22"/>
              </w:rPr>
              <w:t>)</w:t>
            </w:r>
            <w:r w:rsidRPr="00E01239">
              <w:rPr>
                <w:rFonts w:asciiTheme="minorHAnsi" w:hAnsiTheme="minorHAnsi" w:cstheme="minorHAnsi"/>
                <w:sz w:val="22"/>
                <w:szCs w:val="22"/>
              </w:rPr>
              <w:t>:</w:t>
            </w:r>
            <w:proofErr w:type="gramEnd"/>
          </w:p>
          <w:p w14:paraId="1AC2C1F2"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Aménagement et clôture du site (1 ha)</w:t>
            </w:r>
          </w:p>
          <w:p w14:paraId="3C973090"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Construction d'étables, de magasin, de hangar et de locaux de service et gardiennage </w:t>
            </w:r>
          </w:p>
          <w:p w14:paraId="0F2EE160"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Equipement d'exploitation</w:t>
            </w:r>
          </w:p>
          <w:p w14:paraId="1488EA48"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Construction de mini-forage</w:t>
            </w:r>
          </w:p>
        </w:tc>
      </w:tr>
      <w:tr w:rsidR="00F15129" w:rsidRPr="00E01239" w14:paraId="4D0C9E70" w14:textId="77777777" w:rsidTr="00582C4E">
        <w:trPr>
          <w:jc w:val="center"/>
        </w:trPr>
        <w:tc>
          <w:tcPr>
            <w:tcW w:w="960" w:type="pct"/>
            <w:vMerge/>
            <w:vAlign w:val="center"/>
          </w:tcPr>
          <w:p w14:paraId="3B9C8315" w14:textId="77777777" w:rsidR="00F15129" w:rsidRPr="00E01239" w:rsidRDefault="00F15129" w:rsidP="000C38B8">
            <w:pPr>
              <w:rPr>
                <w:rFonts w:asciiTheme="minorHAnsi" w:hAnsiTheme="minorHAnsi" w:cstheme="minorHAnsi"/>
                <w:sz w:val="22"/>
                <w:szCs w:val="22"/>
              </w:rPr>
            </w:pPr>
          </w:p>
        </w:tc>
        <w:tc>
          <w:tcPr>
            <w:tcW w:w="1133" w:type="pct"/>
            <w:vMerge/>
            <w:vAlign w:val="center"/>
          </w:tcPr>
          <w:p w14:paraId="7E5D8A67" w14:textId="77777777" w:rsidR="00F15129" w:rsidRPr="00E01239" w:rsidRDefault="00F15129" w:rsidP="000C38B8">
            <w:pPr>
              <w:rPr>
                <w:rFonts w:asciiTheme="minorHAnsi" w:hAnsiTheme="minorHAnsi" w:cstheme="minorHAnsi"/>
                <w:sz w:val="22"/>
                <w:szCs w:val="22"/>
              </w:rPr>
            </w:pPr>
          </w:p>
        </w:tc>
        <w:tc>
          <w:tcPr>
            <w:tcW w:w="2907" w:type="pct"/>
            <w:vAlign w:val="center"/>
          </w:tcPr>
          <w:p w14:paraId="65938016" w14:textId="77777777" w:rsidR="00F15129" w:rsidRPr="00E01239" w:rsidRDefault="00F15129" w:rsidP="00027669">
            <w:pPr>
              <w:pStyle w:val="Paragraphedeliste"/>
              <w:numPr>
                <w:ilvl w:val="0"/>
                <w:numId w:val="108"/>
              </w:numPr>
              <w:rPr>
                <w:rFonts w:asciiTheme="minorHAnsi" w:hAnsiTheme="minorHAnsi" w:cstheme="minorHAnsi"/>
                <w:iCs/>
                <w:sz w:val="22"/>
                <w:szCs w:val="22"/>
              </w:rPr>
            </w:pPr>
            <w:r w:rsidRPr="00E01239">
              <w:rPr>
                <w:rFonts w:asciiTheme="minorHAnsi" w:hAnsiTheme="minorHAnsi" w:cstheme="minorHAnsi"/>
                <w:iCs/>
                <w:sz w:val="22"/>
                <w:szCs w:val="22"/>
              </w:rPr>
              <w:t xml:space="preserve">Construction de trois (3) plateformes de production de porcs </w:t>
            </w:r>
            <w:r w:rsidRPr="00E01239">
              <w:rPr>
                <w:rFonts w:asciiTheme="minorHAnsi" w:hAnsiTheme="minorHAnsi" w:cstheme="minorHAnsi"/>
                <w:bCs/>
                <w:iCs/>
                <w:sz w:val="22"/>
                <w:szCs w:val="22"/>
              </w:rPr>
              <w:t xml:space="preserve">dans les départements de Ziguinchor, Mbour, et Fatick </w:t>
            </w:r>
            <w:r w:rsidRPr="00E01239">
              <w:rPr>
                <w:rFonts w:asciiTheme="minorHAnsi" w:hAnsiTheme="minorHAnsi" w:cstheme="minorHAnsi"/>
                <w:iCs/>
                <w:sz w:val="22"/>
                <w:szCs w:val="22"/>
              </w:rPr>
              <w:t>(MEPA)</w:t>
            </w:r>
          </w:p>
          <w:p w14:paraId="66A5B0C5"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Aménagement et clôture du site (2500 m²)</w:t>
            </w:r>
          </w:p>
          <w:p w14:paraId="7D7B5B2A"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Construction de porcheries et de local de gardiennage </w:t>
            </w:r>
          </w:p>
          <w:p w14:paraId="00656627"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Equipement d'exploitation</w:t>
            </w:r>
          </w:p>
        </w:tc>
      </w:tr>
      <w:tr w:rsidR="00F15129" w:rsidRPr="00E01239" w14:paraId="7EBAFA5E" w14:textId="77777777" w:rsidTr="00582C4E">
        <w:trPr>
          <w:jc w:val="center"/>
        </w:trPr>
        <w:tc>
          <w:tcPr>
            <w:tcW w:w="960" w:type="pct"/>
            <w:vMerge/>
            <w:vAlign w:val="center"/>
          </w:tcPr>
          <w:p w14:paraId="78271856" w14:textId="77777777" w:rsidR="00F15129" w:rsidRPr="00E01239" w:rsidRDefault="00F15129" w:rsidP="000C38B8">
            <w:pPr>
              <w:rPr>
                <w:rFonts w:asciiTheme="minorHAnsi" w:hAnsiTheme="minorHAnsi" w:cstheme="minorHAnsi"/>
                <w:sz w:val="22"/>
                <w:szCs w:val="22"/>
              </w:rPr>
            </w:pPr>
          </w:p>
        </w:tc>
        <w:tc>
          <w:tcPr>
            <w:tcW w:w="1133" w:type="pct"/>
            <w:vMerge/>
            <w:vAlign w:val="center"/>
          </w:tcPr>
          <w:p w14:paraId="0EDD87D1" w14:textId="77777777" w:rsidR="00F15129" w:rsidRPr="00E01239" w:rsidRDefault="00F15129" w:rsidP="000C38B8">
            <w:pPr>
              <w:rPr>
                <w:rFonts w:asciiTheme="minorHAnsi" w:hAnsiTheme="minorHAnsi" w:cstheme="minorHAnsi"/>
                <w:sz w:val="22"/>
                <w:szCs w:val="22"/>
              </w:rPr>
            </w:pPr>
          </w:p>
        </w:tc>
        <w:tc>
          <w:tcPr>
            <w:tcW w:w="2907" w:type="pct"/>
            <w:vAlign w:val="center"/>
          </w:tcPr>
          <w:p w14:paraId="63B0180B" w14:textId="77777777" w:rsidR="00F15129" w:rsidRPr="00E01239" w:rsidRDefault="00F15129" w:rsidP="00027669">
            <w:pPr>
              <w:pStyle w:val="Paragraphedeliste"/>
              <w:numPr>
                <w:ilvl w:val="0"/>
                <w:numId w:val="108"/>
              </w:numPr>
              <w:rPr>
                <w:rFonts w:asciiTheme="minorHAnsi" w:hAnsiTheme="minorHAnsi" w:cstheme="minorHAnsi"/>
                <w:iCs/>
                <w:sz w:val="22"/>
                <w:szCs w:val="22"/>
              </w:rPr>
            </w:pPr>
            <w:r w:rsidRPr="00E01239">
              <w:rPr>
                <w:rFonts w:asciiTheme="minorHAnsi" w:hAnsiTheme="minorHAnsi" w:cstheme="minorHAnsi"/>
                <w:iCs/>
                <w:sz w:val="22"/>
                <w:szCs w:val="22"/>
              </w:rPr>
              <w:t>Renforcement des capacités d’intervention du MEPA</w:t>
            </w:r>
          </w:p>
          <w:p w14:paraId="759743E5"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Construction de 20 postes vétérinaires dans différentes localités à préciser ultérieurement.</w:t>
            </w:r>
          </w:p>
          <w:p w14:paraId="4714A998"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Construction de 2 postes d'inspection frontaliers à </w:t>
            </w:r>
            <w:proofErr w:type="spellStart"/>
            <w:r w:rsidRPr="00E01239">
              <w:rPr>
                <w:rFonts w:asciiTheme="minorHAnsi" w:hAnsiTheme="minorHAnsi" w:cstheme="minorHAnsi"/>
                <w:iCs/>
                <w:sz w:val="22"/>
                <w:szCs w:val="22"/>
              </w:rPr>
              <w:t>Karang</w:t>
            </w:r>
            <w:proofErr w:type="spellEnd"/>
            <w:r w:rsidRPr="00E01239">
              <w:rPr>
                <w:rFonts w:asciiTheme="minorHAnsi" w:hAnsiTheme="minorHAnsi" w:cstheme="minorHAnsi"/>
                <w:iCs/>
                <w:sz w:val="22"/>
                <w:szCs w:val="22"/>
              </w:rPr>
              <w:t xml:space="preserve"> (frontière avec la Gambie) et Kidira (frontière avec le Mali)</w:t>
            </w:r>
          </w:p>
        </w:tc>
      </w:tr>
      <w:tr w:rsidR="00F15129" w:rsidRPr="00E01239" w14:paraId="5E6D6FE4" w14:textId="77777777" w:rsidTr="00582C4E">
        <w:trPr>
          <w:jc w:val="center"/>
        </w:trPr>
        <w:tc>
          <w:tcPr>
            <w:tcW w:w="960" w:type="pct"/>
            <w:vMerge/>
            <w:vAlign w:val="center"/>
          </w:tcPr>
          <w:p w14:paraId="6623D34B" w14:textId="77777777" w:rsidR="00F15129" w:rsidRPr="00E01239" w:rsidRDefault="00F15129" w:rsidP="000C38B8">
            <w:pPr>
              <w:rPr>
                <w:rFonts w:asciiTheme="minorHAnsi" w:hAnsiTheme="minorHAnsi" w:cstheme="minorHAnsi"/>
                <w:sz w:val="22"/>
                <w:szCs w:val="22"/>
              </w:rPr>
            </w:pPr>
          </w:p>
        </w:tc>
        <w:tc>
          <w:tcPr>
            <w:tcW w:w="1133" w:type="pct"/>
            <w:vMerge/>
            <w:vAlign w:val="center"/>
          </w:tcPr>
          <w:p w14:paraId="076DDADD" w14:textId="77777777" w:rsidR="00F15129" w:rsidRPr="00E01239" w:rsidRDefault="00F15129" w:rsidP="000C38B8">
            <w:pPr>
              <w:rPr>
                <w:rFonts w:asciiTheme="minorHAnsi" w:hAnsiTheme="minorHAnsi" w:cstheme="minorHAnsi"/>
                <w:sz w:val="22"/>
                <w:szCs w:val="22"/>
              </w:rPr>
            </w:pPr>
          </w:p>
        </w:tc>
        <w:tc>
          <w:tcPr>
            <w:tcW w:w="2907" w:type="pct"/>
            <w:vAlign w:val="center"/>
          </w:tcPr>
          <w:p w14:paraId="1C71F201" w14:textId="77777777" w:rsidR="00F15129" w:rsidRPr="00E01239" w:rsidRDefault="00F15129" w:rsidP="00027669">
            <w:pPr>
              <w:pStyle w:val="Paragraphedeliste"/>
              <w:numPr>
                <w:ilvl w:val="0"/>
                <w:numId w:val="108"/>
              </w:numPr>
              <w:rPr>
                <w:rFonts w:asciiTheme="minorHAnsi" w:hAnsiTheme="minorHAnsi" w:cstheme="minorHAnsi"/>
                <w:iCs/>
                <w:sz w:val="22"/>
                <w:szCs w:val="22"/>
              </w:rPr>
            </w:pPr>
            <w:r w:rsidRPr="00E01239">
              <w:rPr>
                <w:rFonts w:asciiTheme="minorHAnsi" w:hAnsiTheme="minorHAnsi" w:cstheme="minorHAnsi"/>
                <w:iCs/>
                <w:sz w:val="22"/>
                <w:szCs w:val="22"/>
              </w:rPr>
              <w:t xml:space="preserve">Renforcement des capacités des </w:t>
            </w:r>
            <w:proofErr w:type="spellStart"/>
            <w:r w:rsidRPr="00E01239">
              <w:rPr>
                <w:rFonts w:asciiTheme="minorHAnsi" w:hAnsiTheme="minorHAnsi" w:cstheme="minorHAnsi"/>
                <w:iCs/>
                <w:sz w:val="22"/>
                <w:szCs w:val="22"/>
              </w:rPr>
              <w:t>CIMELs</w:t>
            </w:r>
            <w:proofErr w:type="spellEnd"/>
            <w:r w:rsidRPr="00E01239">
              <w:rPr>
                <w:rFonts w:asciiTheme="minorHAnsi" w:hAnsiTheme="minorHAnsi" w:cstheme="minorHAnsi"/>
                <w:iCs/>
                <w:sz w:val="22"/>
                <w:szCs w:val="22"/>
              </w:rPr>
              <w:t xml:space="preserve"> (MEPA)</w:t>
            </w:r>
          </w:p>
          <w:p w14:paraId="5A5DE029" w14:textId="77777777" w:rsidR="00F15129" w:rsidRPr="00E01239" w:rsidRDefault="00F15129" w:rsidP="00027669">
            <w:pPr>
              <w:pStyle w:val="Paragraphedeliste"/>
              <w:numPr>
                <w:ilvl w:val="1"/>
                <w:numId w:val="109"/>
              </w:numPr>
              <w:rPr>
                <w:rFonts w:asciiTheme="minorHAnsi" w:hAnsiTheme="minorHAnsi" w:cstheme="minorHAnsi"/>
                <w:iCs/>
                <w:sz w:val="22"/>
                <w:szCs w:val="22"/>
              </w:rPr>
            </w:pPr>
            <w:r w:rsidRPr="00E01239">
              <w:rPr>
                <w:rFonts w:asciiTheme="minorHAnsi" w:hAnsiTheme="minorHAnsi" w:cstheme="minorHAnsi"/>
                <w:iCs/>
                <w:sz w:val="22"/>
                <w:szCs w:val="22"/>
              </w:rPr>
              <w:t xml:space="preserve">Travaux de réhabilitation des 4 CIMELS (Mbao, </w:t>
            </w:r>
            <w:proofErr w:type="spellStart"/>
            <w:r w:rsidRPr="00E01239">
              <w:rPr>
                <w:rFonts w:asciiTheme="minorHAnsi" w:hAnsiTheme="minorHAnsi" w:cstheme="minorHAnsi"/>
                <w:iCs/>
                <w:sz w:val="22"/>
                <w:szCs w:val="22"/>
              </w:rPr>
              <w:t>Niakhar</w:t>
            </w:r>
            <w:proofErr w:type="spellEnd"/>
            <w:r w:rsidRPr="00E01239">
              <w:rPr>
                <w:rFonts w:asciiTheme="minorHAnsi" w:hAnsiTheme="minorHAnsi" w:cstheme="minorHAnsi"/>
                <w:iCs/>
                <w:sz w:val="22"/>
                <w:szCs w:val="22"/>
              </w:rPr>
              <w:t xml:space="preserve">, </w:t>
            </w:r>
            <w:proofErr w:type="spellStart"/>
            <w:r w:rsidRPr="00E01239">
              <w:rPr>
                <w:rFonts w:asciiTheme="minorHAnsi" w:hAnsiTheme="minorHAnsi" w:cstheme="minorHAnsi"/>
                <w:iCs/>
                <w:sz w:val="22"/>
                <w:szCs w:val="22"/>
              </w:rPr>
              <w:t>Makhana</w:t>
            </w:r>
            <w:proofErr w:type="spellEnd"/>
            <w:r w:rsidRPr="00E01239">
              <w:rPr>
                <w:rFonts w:asciiTheme="minorHAnsi" w:hAnsiTheme="minorHAnsi" w:cstheme="minorHAnsi"/>
                <w:iCs/>
                <w:sz w:val="22"/>
                <w:szCs w:val="22"/>
              </w:rPr>
              <w:t xml:space="preserve">, Dahra) </w:t>
            </w:r>
          </w:p>
        </w:tc>
      </w:tr>
      <w:tr w:rsidR="00582C4E" w:rsidRPr="00E01239" w14:paraId="7C1CF1AE" w14:textId="77777777" w:rsidTr="00582C4E">
        <w:trPr>
          <w:trHeight w:val="132"/>
          <w:jc w:val="center"/>
        </w:trPr>
        <w:tc>
          <w:tcPr>
            <w:tcW w:w="960" w:type="pct"/>
            <w:vMerge/>
            <w:tcBorders>
              <w:bottom w:val="single" w:sz="4" w:space="0" w:color="808080" w:themeColor="background1" w:themeShade="80"/>
            </w:tcBorders>
            <w:vAlign w:val="center"/>
          </w:tcPr>
          <w:p w14:paraId="276A665B" w14:textId="77777777" w:rsidR="00F15129" w:rsidRPr="00E01239" w:rsidRDefault="00F15129" w:rsidP="000C38B8">
            <w:pPr>
              <w:rPr>
                <w:rFonts w:asciiTheme="minorHAnsi" w:hAnsiTheme="minorHAnsi" w:cstheme="minorHAnsi"/>
                <w:sz w:val="22"/>
                <w:szCs w:val="22"/>
              </w:rPr>
            </w:pPr>
          </w:p>
        </w:tc>
        <w:tc>
          <w:tcPr>
            <w:tcW w:w="1133" w:type="pct"/>
            <w:vMerge/>
            <w:tcBorders>
              <w:bottom w:val="single" w:sz="4" w:space="0" w:color="808080" w:themeColor="background1" w:themeShade="80"/>
            </w:tcBorders>
            <w:vAlign w:val="center"/>
          </w:tcPr>
          <w:p w14:paraId="37E57372" w14:textId="77777777" w:rsidR="00F15129" w:rsidRPr="00E01239" w:rsidRDefault="00F15129" w:rsidP="000C38B8">
            <w:pPr>
              <w:rPr>
                <w:rFonts w:asciiTheme="minorHAnsi" w:hAnsiTheme="minorHAnsi" w:cstheme="minorHAnsi"/>
                <w:sz w:val="22"/>
                <w:szCs w:val="22"/>
              </w:rPr>
            </w:pPr>
          </w:p>
        </w:tc>
        <w:tc>
          <w:tcPr>
            <w:tcW w:w="2907" w:type="pct"/>
            <w:tcBorders>
              <w:bottom w:val="single" w:sz="4" w:space="0" w:color="808080" w:themeColor="background1" w:themeShade="80"/>
            </w:tcBorders>
            <w:vAlign w:val="center"/>
          </w:tcPr>
          <w:p w14:paraId="788AB3B4" w14:textId="77777777" w:rsidR="00F15129" w:rsidRPr="00E01239" w:rsidRDefault="00F15129" w:rsidP="00027669">
            <w:pPr>
              <w:pStyle w:val="Paragraphedeliste"/>
              <w:numPr>
                <w:ilvl w:val="0"/>
                <w:numId w:val="108"/>
              </w:numPr>
              <w:rPr>
                <w:rFonts w:asciiTheme="minorHAnsi" w:hAnsiTheme="minorHAnsi" w:cstheme="minorHAnsi"/>
                <w:iCs/>
                <w:sz w:val="22"/>
                <w:szCs w:val="22"/>
              </w:rPr>
            </w:pPr>
            <w:r w:rsidRPr="00E01239">
              <w:rPr>
                <w:rFonts w:asciiTheme="minorHAnsi" w:hAnsiTheme="minorHAnsi" w:cstheme="minorHAnsi"/>
                <w:iCs/>
                <w:sz w:val="22"/>
                <w:szCs w:val="22"/>
              </w:rPr>
              <w:t>Création d'un centre d'incubation pour la transformation et la valorisation des produits d’origine animale à Mbao, région de Dakar (MEPA).</w:t>
            </w:r>
          </w:p>
        </w:tc>
      </w:tr>
      <w:bookmarkEnd w:id="635"/>
    </w:tbl>
    <w:p w14:paraId="7B22C8F8" w14:textId="0084C39D" w:rsidR="00AF036D" w:rsidRPr="00E01239" w:rsidRDefault="00AF036D" w:rsidP="00F15129">
      <w:pPr>
        <w:rPr>
          <w:rFonts w:asciiTheme="minorHAnsi" w:hAnsiTheme="minorHAnsi" w:cstheme="minorHAnsi"/>
          <w:sz w:val="22"/>
          <w:szCs w:val="22"/>
        </w:rPr>
      </w:pPr>
    </w:p>
    <w:p w14:paraId="005118B5" w14:textId="422D93D9" w:rsidR="00AF036D" w:rsidRPr="00E01239" w:rsidRDefault="00AF036D" w:rsidP="00F15129">
      <w:pPr>
        <w:rPr>
          <w:rFonts w:asciiTheme="minorHAnsi" w:hAnsiTheme="minorHAnsi" w:cstheme="minorHAnsi"/>
          <w:sz w:val="22"/>
          <w:szCs w:val="22"/>
        </w:rPr>
      </w:pPr>
    </w:p>
    <w:p w14:paraId="698DC4BB" w14:textId="7EC126A7" w:rsidR="00AF036D" w:rsidRPr="00E01239" w:rsidRDefault="00AF036D" w:rsidP="00F15129">
      <w:pPr>
        <w:rPr>
          <w:rFonts w:asciiTheme="minorHAnsi" w:hAnsiTheme="minorHAnsi" w:cstheme="minorHAnsi"/>
          <w:sz w:val="22"/>
          <w:szCs w:val="22"/>
        </w:rPr>
      </w:pPr>
    </w:p>
    <w:p w14:paraId="2FFE4F6C" w14:textId="77777777" w:rsidR="00AF036D" w:rsidRPr="00E01239" w:rsidRDefault="00AF036D">
      <w:pPr>
        <w:rPr>
          <w:rFonts w:asciiTheme="minorHAnsi" w:hAnsiTheme="minorHAnsi" w:cstheme="minorHAnsi"/>
          <w:sz w:val="22"/>
          <w:szCs w:val="22"/>
        </w:rPr>
        <w:sectPr w:rsidR="00AF036D" w:rsidRPr="00E01239" w:rsidSect="00582C4E">
          <w:pgSz w:w="16840" w:h="11907" w:orient="landscape" w:code="9"/>
          <w:pgMar w:top="1418" w:right="1418" w:bottom="1418" w:left="1276" w:header="720" w:footer="720" w:gutter="0"/>
          <w:cols w:space="720"/>
        </w:sectPr>
      </w:pPr>
    </w:p>
    <w:p w14:paraId="34D83116" w14:textId="06FD495F" w:rsidR="004B2F48" w:rsidRPr="00E01239" w:rsidRDefault="004B2F48"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lastRenderedPageBreak/>
        <w:t>L’analyse du tableau n°</w:t>
      </w:r>
      <w:r w:rsidR="00A1305E" w:rsidRPr="00E01239">
        <w:rPr>
          <w:rFonts w:asciiTheme="minorHAnsi" w:hAnsiTheme="minorHAnsi" w:cstheme="minorHAnsi"/>
          <w:sz w:val="22"/>
          <w:szCs w:val="22"/>
        </w:rPr>
        <w:t>16</w:t>
      </w:r>
      <w:r w:rsidR="0007777C" w:rsidRPr="00E01239">
        <w:rPr>
          <w:rFonts w:asciiTheme="minorHAnsi" w:hAnsiTheme="minorHAnsi" w:cstheme="minorHAnsi"/>
          <w:sz w:val="22"/>
          <w:szCs w:val="22"/>
        </w:rPr>
        <w:t xml:space="preserve"> ci-dessus </w:t>
      </w:r>
      <w:r w:rsidRPr="00E01239">
        <w:rPr>
          <w:rFonts w:asciiTheme="minorHAnsi" w:hAnsiTheme="minorHAnsi" w:cstheme="minorHAnsi"/>
          <w:sz w:val="22"/>
          <w:szCs w:val="22"/>
        </w:rPr>
        <w:t>montre que l’essentiel des activités sources d’impacts dans le cadre du FSRP-SN consiste en des travaux de construction</w:t>
      </w:r>
      <w:r w:rsidR="00BC1890" w:rsidRPr="00E01239">
        <w:rPr>
          <w:rFonts w:asciiTheme="minorHAnsi" w:hAnsiTheme="minorHAnsi" w:cstheme="minorHAnsi"/>
          <w:sz w:val="22"/>
          <w:szCs w:val="22"/>
        </w:rPr>
        <w:t>/réhabilitation/aménagement</w:t>
      </w:r>
      <w:r w:rsidRPr="00E01239">
        <w:rPr>
          <w:rFonts w:asciiTheme="minorHAnsi" w:hAnsiTheme="minorHAnsi" w:cstheme="minorHAnsi"/>
          <w:sz w:val="22"/>
          <w:szCs w:val="22"/>
        </w:rPr>
        <w:t xml:space="preserve"> et d’exploitation d’infrastructures dans les secteurs de l’élevage et de l’agriculture. Dans l’optique de relever les différentes spécificités liées à ces infrastructures, nous présenterons dans les sous-sections suivantes :</w:t>
      </w:r>
    </w:p>
    <w:p w14:paraId="27C86444" w14:textId="174A6184" w:rsidR="004B2F48" w:rsidRPr="00E01239" w:rsidRDefault="004B2F48" w:rsidP="00027669">
      <w:pPr>
        <w:pStyle w:val="Paragraphedeliste"/>
        <w:numPr>
          <w:ilvl w:val="1"/>
          <w:numId w:val="118"/>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effets négatifs liés aux travaux de construction d’infrastructures de toute nature,</w:t>
      </w:r>
    </w:p>
    <w:p w14:paraId="1B8BB92E" w14:textId="4BD18F86" w:rsidR="004B2F48" w:rsidRPr="00E01239" w:rsidRDefault="004B2F48" w:rsidP="00027669">
      <w:pPr>
        <w:pStyle w:val="Paragraphedeliste"/>
        <w:numPr>
          <w:ilvl w:val="1"/>
          <w:numId w:val="118"/>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effets négatifs liés à l’exploitation des infrastructures ou aménagements dans le secteur de l’agriculture,</w:t>
      </w:r>
    </w:p>
    <w:p w14:paraId="417BDB60" w14:textId="1EC2B51F" w:rsidR="004B2F48" w:rsidRPr="00E01239" w:rsidRDefault="004B2F48" w:rsidP="00027669">
      <w:pPr>
        <w:pStyle w:val="Paragraphedeliste"/>
        <w:numPr>
          <w:ilvl w:val="1"/>
          <w:numId w:val="118"/>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effets négatifs liés à l’exploitation des infrastructures ou aménagements dans le secteur de l’élevage</w:t>
      </w:r>
      <w:r w:rsidR="00A1305E" w:rsidRPr="00E01239">
        <w:rPr>
          <w:rFonts w:asciiTheme="minorHAnsi" w:hAnsiTheme="minorHAnsi" w:cstheme="minorHAnsi"/>
          <w:sz w:val="22"/>
          <w:szCs w:val="22"/>
        </w:rPr>
        <w:t>,</w:t>
      </w:r>
    </w:p>
    <w:p w14:paraId="2EAB3670" w14:textId="5612D15B" w:rsidR="00A1305E" w:rsidRPr="00E01239" w:rsidRDefault="00A1305E" w:rsidP="00027669">
      <w:pPr>
        <w:pStyle w:val="Paragraphedeliste"/>
        <w:numPr>
          <w:ilvl w:val="1"/>
          <w:numId w:val="118"/>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effets négatifs liés à l’exploitation des mini-forages ou ouvrages hydrauliques.</w:t>
      </w:r>
    </w:p>
    <w:p w14:paraId="01431399" w14:textId="7F1A56A7" w:rsidR="004B2F48" w:rsidRPr="00E01239" w:rsidRDefault="004B2F48" w:rsidP="00263B8A">
      <w:pPr>
        <w:spacing w:before="120" w:line="280" w:lineRule="exact"/>
        <w:jc w:val="both"/>
        <w:rPr>
          <w:rFonts w:asciiTheme="minorHAnsi" w:hAnsiTheme="minorHAnsi" w:cstheme="minorHAnsi"/>
          <w:sz w:val="22"/>
          <w:szCs w:val="22"/>
        </w:rPr>
      </w:pPr>
    </w:p>
    <w:p w14:paraId="307B50DC" w14:textId="73FB91EE" w:rsidR="004B2F48" w:rsidRPr="00E01239" w:rsidRDefault="004B2F48" w:rsidP="0011733B">
      <w:pPr>
        <w:pStyle w:val="Titre3"/>
        <w:spacing w:before="120" w:line="280" w:lineRule="exact"/>
        <w:ind w:left="1276"/>
        <w:contextualSpacing w:val="0"/>
        <w:rPr>
          <w:rFonts w:asciiTheme="minorHAnsi" w:hAnsiTheme="minorHAnsi" w:cstheme="minorHAnsi"/>
        </w:rPr>
      </w:pPr>
      <w:bookmarkStart w:id="636" w:name="_Toc144654111"/>
      <w:r w:rsidRPr="00E01239">
        <w:rPr>
          <w:rFonts w:asciiTheme="minorHAnsi" w:hAnsiTheme="minorHAnsi" w:cstheme="minorHAnsi"/>
        </w:rPr>
        <w:t>Identification des effets négatifs inhérents aux travaux de construction</w:t>
      </w:r>
      <w:r w:rsidR="00BC1E5C" w:rsidRPr="00E01239">
        <w:rPr>
          <w:rFonts w:asciiTheme="minorHAnsi" w:hAnsiTheme="minorHAnsi" w:cstheme="minorHAnsi"/>
        </w:rPr>
        <w:t>/réhabilitation</w:t>
      </w:r>
      <w:r w:rsidRPr="00E01239">
        <w:rPr>
          <w:rFonts w:asciiTheme="minorHAnsi" w:hAnsiTheme="minorHAnsi" w:cstheme="minorHAnsi"/>
        </w:rPr>
        <w:t xml:space="preserve"> et/ou </w:t>
      </w:r>
      <w:r w:rsidR="00BC1E5C" w:rsidRPr="00E01239">
        <w:rPr>
          <w:rFonts w:asciiTheme="minorHAnsi" w:hAnsiTheme="minorHAnsi" w:cstheme="minorHAnsi"/>
        </w:rPr>
        <w:t>aménagements</w:t>
      </w:r>
      <w:r w:rsidRPr="00E01239">
        <w:rPr>
          <w:rFonts w:asciiTheme="minorHAnsi" w:hAnsiTheme="minorHAnsi" w:cstheme="minorHAnsi"/>
        </w:rPr>
        <w:t xml:space="preserve"> d’infrastructures</w:t>
      </w:r>
      <w:bookmarkEnd w:id="636"/>
    </w:p>
    <w:p w14:paraId="29AA474D" w14:textId="3A485521"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Pour l’identification des effets négatifs inhérents aux travaux d’aménagement et/ou de construction/réhabilitation d’infrastructures, nous avons distingué deux phases principales :</w:t>
      </w:r>
    </w:p>
    <w:p w14:paraId="03F6A57D" w14:textId="5F9B0B46" w:rsidR="00BE7F0B" w:rsidRPr="00E01239" w:rsidRDefault="00BE7F0B" w:rsidP="00027669">
      <w:pPr>
        <w:pStyle w:val="Paragraphedeliste"/>
        <w:numPr>
          <w:ilvl w:val="0"/>
          <w:numId w:val="119"/>
        </w:numPr>
        <w:spacing w:before="120" w:line="280" w:lineRule="exact"/>
        <w:ind w:left="714" w:hanging="35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La phase de préparation des travaux</w:t>
      </w:r>
      <w:r w:rsidR="00293923" w:rsidRPr="00E01239">
        <w:rPr>
          <w:rFonts w:asciiTheme="minorHAnsi" w:hAnsiTheme="minorHAnsi" w:cstheme="minorHAnsi"/>
          <w:sz w:val="22"/>
          <w:szCs w:val="22"/>
          <w:lang w:bidi="fr-FR"/>
        </w:rPr>
        <w:t>,</w:t>
      </w:r>
    </w:p>
    <w:p w14:paraId="5A0C6C12" w14:textId="12F9DEB3" w:rsidR="00293923" w:rsidRPr="00E01239" w:rsidRDefault="00293923" w:rsidP="00027669">
      <w:pPr>
        <w:pStyle w:val="Paragraphedeliste"/>
        <w:numPr>
          <w:ilvl w:val="0"/>
          <w:numId w:val="119"/>
        </w:numPr>
        <w:spacing w:before="120" w:line="280" w:lineRule="exact"/>
        <w:ind w:left="714" w:hanging="35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La phase liée aux travaux </w:t>
      </w:r>
      <w:r w:rsidR="00DC3CB3" w:rsidRPr="00E01239">
        <w:rPr>
          <w:rFonts w:asciiTheme="minorHAnsi" w:hAnsiTheme="minorHAnsi" w:cstheme="minorHAnsi"/>
          <w:sz w:val="22"/>
          <w:szCs w:val="22"/>
          <w:lang w:bidi="fr-FR"/>
        </w:rPr>
        <w:t>proprement</w:t>
      </w:r>
      <w:r w:rsidRPr="00E01239">
        <w:rPr>
          <w:rFonts w:asciiTheme="minorHAnsi" w:hAnsiTheme="minorHAnsi" w:cstheme="minorHAnsi"/>
          <w:sz w:val="22"/>
          <w:szCs w:val="22"/>
          <w:lang w:bidi="fr-FR"/>
        </w:rPr>
        <w:t xml:space="preserve"> dits.</w:t>
      </w:r>
    </w:p>
    <w:p w14:paraId="13DF3375" w14:textId="7630E809" w:rsidR="00BE7F0B" w:rsidRPr="00E01239" w:rsidRDefault="00293923"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Durant ces deux phases, les différents </w:t>
      </w:r>
      <w:r w:rsidR="00BE7F0B" w:rsidRPr="00E01239">
        <w:rPr>
          <w:rFonts w:asciiTheme="minorHAnsi" w:hAnsiTheme="minorHAnsi" w:cstheme="minorHAnsi"/>
          <w:sz w:val="22"/>
          <w:szCs w:val="22"/>
          <w:lang w:bidi="fr-FR"/>
        </w:rPr>
        <w:t>impacts et risques E&amp;S génériques sont principalement induits par :</w:t>
      </w:r>
    </w:p>
    <w:p w14:paraId="74C5BA83" w14:textId="575B43B3" w:rsidR="00BE7F0B" w:rsidRPr="00E01239" w:rsidRDefault="00DC3CB3" w:rsidP="00027669">
      <w:pPr>
        <w:pStyle w:val="Paragraphedeliste"/>
        <w:numPr>
          <w:ilvl w:val="0"/>
          <w:numId w:val="119"/>
        </w:numPr>
        <w:spacing w:before="120" w:line="280" w:lineRule="exact"/>
        <w:ind w:left="714" w:hanging="35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w:t>
      </w:r>
      <w:r w:rsidR="00BE7F0B" w:rsidRPr="00E01239">
        <w:rPr>
          <w:rFonts w:asciiTheme="minorHAnsi" w:hAnsiTheme="minorHAnsi" w:cstheme="minorHAnsi"/>
          <w:sz w:val="22"/>
          <w:szCs w:val="22"/>
          <w:lang w:bidi="fr-FR"/>
        </w:rPr>
        <w:t xml:space="preserve"> travaux d’installation </w:t>
      </w:r>
      <w:r w:rsidR="00293923" w:rsidRPr="00E01239">
        <w:rPr>
          <w:rFonts w:asciiTheme="minorHAnsi" w:hAnsiTheme="minorHAnsi" w:cstheme="minorHAnsi"/>
          <w:sz w:val="22"/>
          <w:szCs w:val="22"/>
          <w:lang w:bidi="fr-FR"/>
        </w:rPr>
        <w:t>des</w:t>
      </w:r>
      <w:r w:rsidR="00BE7F0B" w:rsidRPr="00E01239">
        <w:rPr>
          <w:rFonts w:asciiTheme="minorHAnsi" w:hAnsiTheme="minorHAnsi" w:cstheme="minorHAnsi"/>
          <w:sz w:val="22"/>
          <w:szCs w:val="22"/>
          <w:lang w:bidi="fr-FR"/>
        </w:rPr>
        <w:t xml:space="preserve"> chantier</w:t>
      </w:r>
      <w:r w:rsidR="00293923" w:rsidRPr="00E01239">
        <w:rPr>
          <w:rFonts w:asciiTheme="minorHAnsi" w:hAnsiTheme="minorHAnsi" w:cstheme="minorHAnsi"/>
          <w:sz w:val="22"/>
          <w:szCs w:val="22"/>
          <w:lang w:bidi="fr-FR"/>
        </w:rPr>
        <w:t>s</w:t>
      </w:r>
      <w:r w:rsidR="00BE7F0B" w:rsidRPr="00E01239">
        <w:rPr>
          <w:rFonts w:asciiTheme="minorHAnsi" w:hAnsiTheme="minorHAnsi" w:cstheme="minorHAnsi"/>
          <w:sz w:val="22"/>
          <w:szCs w:val="22"/>
          <w:lang w:bidi="fr-FR"/>
        </w:rPr>
        <w:t xml:space="preserve"> (y compris la base de chantier), de signalisation des chantiers et de libération des emprises des travaux  </w:t>
      </w:r>
    </w:p>
    <w:p w14:paraId="60911778" w14:textId="4FFC104B" w:rsidR="00BE7F0B" w:rsidRPr="00E01239" w:rsidRDefault="00DC3CB3" w:rsidP="00027669">
      <w:pPr>
        <w:pStyle w:val="Paragraphedeliste"/>
        <w:numPr>
          <w:ilvl w:val="0"/>
          <w:numId w:val="119"/>
        </w:numPr>
        <w:spacing w:before="120" w:line="280" w:lineRule="exact"/>
        <w:ind w:left="714" w:hanging="35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w:t>
      </w:r>
      <w:r w:rsidR="00BE7F0B" w:rsidRPr="00E01239">
        <w:rPr>
          <w:rFonts w:asciiTheme="minorHAnsi" w:hAnsiTheme="minorHAnsi" w:cstheme="minorHAnsi"/>
          <w:sz w:val="22"/>
          <w:szCs w:val="22"/>
          <w:lang w:bidi="fr-FR"/>
        </w:rPr>
        <w:t xml:space="preserve"> travaux de génie civil (terrassement, fouilles, décapage, nivellement, fondation, compactage, maçonnerie - béton armé, étanchéité…) liés </w:t>
      </w:r>
      <w:r w:rsidR="00293923" w:rsidRPr="00E01239">
        <w:rPr>
          <w:rFonts w:asciiTheme="minorHAnsi" w:hAnsiTheme="minorHAnsi" w:cstheme="minorHAnsi"/>
          <w:sz w:val="22"/>
          <w:szCs w:val="22"/>
          <w:lang w:bidi="fr-FR"/>
        </w:rPr>
        <w:t>aux travaux de construction et d’aménagements des périmètres</w:t>
      </w:r>
      <w:r w:rsidR="00BE7F0B" w:rsidRPr="00E01239">
        <w:rPr>
          <w:rFonts w:asciiTheme="minorHAnsi" w:hAnsiTheme="minorHAnsi" w:cstheme="minorHAnsi"/>
          <w:sz w:val="22"/>
          <w:szCs w:val="22"/>
          <w:lang w:bidi="fr-FR"/>
        </w:rPr>
        <w:t xml:space="preserve"> </w:t>
      </w:r>
    </w:p>
    <w:p w14:paraId="393E3561" w14:textId="34F9B6ED" w:rsidR="00BE7F0B" w:rsidRPr="00E01239" w:rsidRDefault="00151998" w:rsidP="00027669">
      <w:pPr>
        <w:pStyle w:val="Paragraphedeliste"/>
        <w:numPr>
          <w:ilvl w:val="0"/>
          <w:numId w:val="119"/>
        </w:numPr>
        <w:spacing w:before="120" w:line="280" w:lineRule="exact"/>
        <w:ind w:left="714" w:hanging="35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w:t>
      </w:r>
      <w:r w:rsidR="00BE7F0B" w:rsidRPr="00E01239">
        <w:rPr>
          <w:rFonts w:asciiTheme="minorHAnsi" w:hAnsiTheme="minorHAnsi" w:cstheme="minorHAnsi"/>
          <w:sz w:val="22"/>
          <w:szCs w:val="22"/>
          <w:lang w:bidi="fr-FR"/>
        </w:rPr>
        <w:t xml:space="preserve"> travaux de planage, d'excavation, de construction des chenaux d’amenée, des canaux d’irrigation et d’évacuation des eaux </w:t>
      </w:r>
      <w:r w:rsidR="005D612D">
        <w:rPr>
          <w:rFonts w:asciiTheme="minorHAnsi" w:hAnsiTheme="minorHAnsi" w:cstheme="minorHAnsi"/>
          <w:sz w:val="22"/>
          <w:szCs w:val="22"/>
          <w:lang w:bidi="fr-FR"/>
        </w:rPr>
        <w:t xml:space="preserve">de </w:t>
      </w:r>
      <w:r w:rsidR="00BE7F0B" w:rsidRPr="00E01239">
        <w:rPr>
          <w:rFonts w:asciiTheme="minorHAnsi" w:hAnsiTheme="minorHAnsi" w:cstheme="minorHAnsi"/>
          <w:sz w:val="22"/>
          <w:szCs w:val="22"/>
          <w:lang w:bidi="fr-FR"/>
        </w:rPr>
        <w:t xml:space="preserve">drainage </w:t>
      </w:r>
    </w:p>
    <w:p w14:paraId="22929B76" w14:textId="7D178EAD" w:rsidR="00BE7F0B" w:rsidRPr="00E01239" w:rsidRDefault="00151998" w:rsidP="00027669">
      <w:pPr>
        <w:pStyle w:val="Paragraphedeliste"/>
        <w:numPr>
          <w:ilvl w:val="0"/>
          <w:numId w:val="119"/>
        </w:numPr>
        <w:spacing w:before="120" w:line="280" w:lineRule="exact"/>
        <w:ind w:left="714" w:hanging="35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w:t>
      </w:r>
      <w:r w:rsidR="00BE7F0B" w:rsidRPr="00E01239">
        <w:rPr>
          <w:rFonts w:asciiTheme="minorHAnsi" w:hAnsiTheme="minorHAnsi" w:cstheme="minorHAnsi"/>
          <w:sz w:val="22"/>
          <w:szCs w:val="22"/>
          <w:lang w:bidi="fr-FR"/>
        </w:rPr>
        <w:t xml:space="preserve"> travaux de mise en place des endiguements en terre compactée</w:t>
      </w:r>
    </w:p>
    <w:p w14:paraId="6D62D3CF" w14:textId="4D115755" w:rsidR="00BE7F0B" w:rsidRPr="00E01239" w:rsidRDefault="00151998" w:rsidP="00027669">
      <w:pPr>
        <w:pStyle w:val="Paragraphedeliste"/>
        <w:numPr>
          <w:ilvl w:val="0"/>
          <w:numId w:val="119"/>
        </w:numPr>
        <w:spacing w:before="120" w:line="280" w:lineRule="exact"/>
        <w:ind w:left="714" w:hanging="35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w:t>
      </w:r>
      <w:r w:rsidR="00BE7F0B" w:rsidRPr="00E01239">
        <w:rPr>
          <w:rFonts w:asciiTheme="minorHAnsi" w:hAnsiTheme="minorHAnsi" w:cstheme="minorHAnsi"/>
          <w:sz w:val="22"/>
          <w:szCs w:val="22"/>
          <w:lang w:bidi="fr-FR"/>
        </w:rPr>
        <w:t xml:space="preserve"> travaux d’ouverture et d'exploitation des sites d’emprunts </w:t>
      </w:r>
    </w:p>
    <w:p w14:paraId="03649328" w14:textId="7706633B" w:rsidR="00BE7F0B" w:rsidRPr="00E01239" w:rsidRDefault="00151998" w:rsidP="00027669">
      <w:pPr>
        <w:pStyle w:val="Paragraphedeliste"/>
        <w:numPr>
          <w:ilvl w:val="0"/>
          <w:numId w:val="119"/>
        </w:numPr>
        <w:spacing w:before="120" w:line="280" w:lineRule="exact"/>
        <w:ind w:left="714" w:hanging="35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w:t>
      </w:r>
      <w:r w:rsidR="00BE7F0B" w:rsidRPr="00E01239">
        <w:rPr>
          <w:rFonts w:asciiTheme="minorHAnsi" w:hAnsiTheme="minorHAnsi" w:cstheme="minorHAnsi"/>
          <w:sz w:val="22"/>
          <w:szCs w:val="22"/>
          <w:lang w:bidi="fr-FR"/>
        </w:rPr>
        <w:t xml:space="preserve"> travaux de transport et la circulation associés aux déplacements de la main-d’œuvre, de la machinerie (niveleuses, compacteurs, camions, bétonnières, etc.), des matériaux de construction (fer, béton, latérite, sable, acier) et d’approvisionnement en hydrocarbure des engins lourds  </w:t>
      </w:r>
    </w:p>
    <w:p w14:paraId="446E08D3" w14:textId="4B19C352" w:rsidR="00BE7F0B" w:rsidRPr="00E01239" w:rsidRDefault="00151998" w:rsidP="00027669">
      <w:pPr>
        <w:pStyle w:val="Paragraphedeliste"/>
        <w:numPr>
          <w:ilvl w:val="0"/>
          <w:numId w:val="119"/>
        </w:numPr>
        <w:spacing w:before="120" w:line="280" w:lineRule="exact"/>
        <w:ind w:left="714" w:hanging="357"/>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Et</w:t>
      </w:r>
      <w:r w:rsidR="00BE7F0B" w:rsidRPr="00E01239">
        <w:rPr>
          <w:rFonts w:asciiTheme="minorHAnsi" w:hAnsiTheme="minorHAnsi" w:cstheme="minorHAnsi"/>
          <w:sz w:val="22"/>
          <w:szCs w:val="22"/>
          <w:lang w:bidi="fr-FR"/>
        </w:rPr>
        <w:t xml:space="preserve"> les travaux d’élimination des déchets générés par les chantiers et les engins et des produits contaminants (huiles à moteur, carburant).</w:t>
      </w:r>
    </w:p>
    <w:p w14:paraId="4C554F55" w14:textId="78A403AB"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 principaux impacts et risques génériques associés sont listés ci-après.</w:t>
      </w:r>
    </w:p>
    <w:p w14:paraId="472DAFFB" w14:textId="0BDAC1BC" w:rsidR="00A1305E" w:rsidRPr="00E01239" w:rsidRDefault="00A1305E">
      <w:pPr>
        <w:rPr>
          <w:rFonts w:asciiTheme="minorHAnsi" w:hAnsiTheme="minorHAnsi" w:cstheme="minorHAnsi"/>
          <w:sz w:val="22"/>
          <w:szCs w:val="22"/>
          <w:lang w:bidi="fr-FR"/>
        </w:rPr>
      </w:pPr>
      <w:r w:rsidRPr="00E01239">
        <w:rPr>
          <w:rFonts w:asciiTheme="minorHAnsi" w:hAnsiTheme="minorHAnsi" w:cstheme="minorHAnsi"/>
          <w:sz w:val="22"/>
          <w:szCs w:val="22"/>
          <w:lang w:bidi="fr-FR"/>
        </w:rPr>
        <w:br w:type="page"/>
      </w:r>
    </w:p>
    <w:p w14:paraId="7FD1510F" w14:textId="243DB6E0"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37" w:name="_Toc144654112"/>
      <w:r w:rsidRPr="00E01239">
        <w:rPr>
          <w:rFonts w:asciiTheme="minorHAnsi" w:hAnsiTheme="minorHAnsi" w:cstheme="minorHAnsi"/>
          <w:u w:val="single"/>
        </w:rPr>
        <w:lastRenderedPageBreak/>
        <w:t xml:space="preserve">Pertes de couvert végétal et perturbation de la faune sur les sites d’installation de chantier et </w:t>
      </w:r>
      <w:r w:rsidR="00293923" w:rsidRPr="00E01239">
        <w:rPr>
          <w:rFonts w:asciiTheme="minorHAnsi" w:hAnsiTheme="minorHAnsi" w:cstheme="minorHAnsi"/>
          <w:u w:val="single"/>
        </w:rPr>
        <w:t>de travaux</w:t>
      </w:r>
      <w:bookmarkEnd w:id="637"/>
    </w:p>
    <w:p w14:paraId="1C1F9CD8" w14:textId="3DF48027"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 déboisements et défrichements peuvent être importants à limit</w:t>
      </w:r>
      <w:r w:rsidR="009D22D4">
        <w:rPr>
          <w:rFonts w:asciiTheme="minorHAnsi" w:hAnsiTheme="minorHAnsi" w:cstheme="minorHAnsi"/>
          <w:sz w:val="22"/>
          <w:szCs w:val="22"/>
          <w:lang w:bidi="fr-FR"/>
        </w:rPr>
        <w:t>er</w:t>
      </w:r>
      <w:r w:rsidRPr="00E01239">
        <w:rPr>
          <w:rFonts w:asciiTheme="minorHAnsi" w:hAnsiTheme="minorHAnsi" w:cstheme="minorHAnsi"/>
          <w:sz w:val="22"/>
          <w:szCs w:val="22"/>
          <w:lang w:bidi="fr-FR"/>
        </w:rPr>
        <w:t xml:space="preserve"> dans l’emprise des </w:t>
      </w:r>
      <w:r w:rsidR="00293923" w:rsidRPr="00E01239">
        <w:rPr>
          <w:rFonts w:asciiTheme="minorHAnsi" w:hAnsiTheme="minorHAnsi" w:cstheme="minorHAnsi"/>
          <w:sz w:val="22"/>
          <w:szCs w:val="22"/>
          <w:lang w:bidi="fr-FR"/>
        </w:rPr>
        <w:t>emprises de travaux</w:t>
      </w:r>
      <w:r w:rsidRPr="00E01239">
        <w:rPr>
          <w:rFonts w:asciiTheme="minorHAnsi" w:hAnsiTheme="minorHAnsi" w:cstheme="minorHAnsi"/>
          <w:sz w:val="22"/>
          <w:szCs w:val="22"/>
          <w:lang w:bidi="fr-FR"/>
        </w:rPr>
        <w:t xml:space="preserve"> malgré le niveau d’anthropisation </w:t>
      </w:r>
      <w:r w:rsidR="00293923" w:rsidRPr="00E01239">
        <w:rPr>
          <w:rFonts w:asciiTheme="minorHAnsi" w:hAnsiTheme="minorHAnsi" w:cstheme="minorHAnsi"/>
          <w:sz w:val="22"/>
          <w:szCs w:val="22"/>
          <w:lang w:bidi="fr-FR"/>
        </w:rPr>
        <w:t>des</w:t>
      </w:r>
      <w:r w:rsidRPr="00E01239">
        <w:rPr>
          <w:rFonts w:asciiTheme="minorHAnsi" w:hAnsiTheme="minorHAnsi" w:cstheme="minorHAnsi"/>
          <w:sz w:val="22"/>
          <w:szCs w:val="22"/>
          <w:lang w:bidi="fr-FR"/>
        </w:rPr>
        <w:t xml:space="preserve"> zone</w:t>
      </w:r>
      <w:r w:rsidR="00293923" w:rsidRPr="00E01239">
        <w:rPr>
          <w:rFonts w:asciiTheme="minorHAnsi" w:hAnsiTheme="minorHAnsi" w:cstheme="minorHAnsi"/>
          <w:sz w:val="22"/>
          <w:szCs w:val="22"/>
          <w:lang w:bidi="fr-FR"/>
        </w:rPr>
        <w:t>s</w:t>
      </w:r>
      <w:r w:rsidRPr="00E01239">
        <w:rPr>
          <w:rFonts w:asciiTheme="minorHAnsi" w:hAnsiTheme="minorHAnsi" w:cstheme="minorHAnsi"/>
          <w:sz w:val="22"/>
          <w:szCs w:val="22"/>
          <w:lang w:bidi="fr-FR"/>
        </w:rPr>
        <w:t xml:space="preserve"> d’influence du projet ayant comme conséquence la faiblesse du peuplement végétal.</w:t>
      </w:r>
    </w:p>
    <w:p w14:paraId="03D0CFA2" w14:textId="3667086A"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Aussi, les travaux notamment la circulation des engins et les nuisances sonores et vibrations engendrés par les engins notamment, provoqueront un effet de dérangement et de perturbation de la faune. Cependant, cet impact, bien que direct, sera temporaire sur la majorité de la faune qui demeure très mobile. En revanche, les animaux peu mobiles (certains insectes, reptiles, amphibiens…) sont susceptibles d’être tués, par exemple par ensevelissement lors des travaux d’endiguement. Les risques de pertes d’habitat naturel, modifié et/ou critique auront des effets sur les services </w:t>
      </w:r>
      <w:r w:rsidR="00374645" w:rsidRPr="00E01239">
        <w:rPr>
          <w:rFonts w:asciiTheme="minorHAnsi" w:hAnsiTheme="minorHAnsi" w:cstheme="minorHAnsi"/>
          <w:sz w:val="22"/>
          <w:szCs w:val="22"/>
          <w:lang w:bidi="fr-FR"/>
        </w:rPr>
        <w:t>écosystémiques</w:t>
      </w:r>
      <w:r w:rsidRPr="00E01239">
        <w:rPr>
          <w:rFonts w:asciiTheme="minorHAnsi" w:hAnsiTheme="minorHAnsi" w:cstheme="minorHAnsi"/>
          <w:sz w:val="22"/>
          <w:szCs w:val="22"/>
          <w:lang w:bidi="fr-FR"/>
        </w:rPr>
        <w:t xml:space="preserve"> rendus par les ressources végétales et fauniques de la zone d’intervention </w:t>
      </w:r>
      <w:r w:rsidR="00263B8A" w:rsidRPr="00E01239">
        <w:rPr>
          <w:rFonts w:asciiTheme="minorHAnsi" w:hAnsiTheme="minorHAnsi" w:cstheme="minorHAnsi"/>
          <w:sz w:val="22"/>
          <w:szCs w:val="22"/>
          <w:lang w:bidi="fr-FR"/>
        </w:rPr>
        <w:t>du FSRP-SN</w:t>
      </w:r>
      <w:r w:rsidRPr="00E01239">
        <w:rPr>
          <w:rFonts w:asciiTheme="minorHAnsi" w:hAnsiTheme="minorHAnsi" w:cstheme="minorHAnsi"/>
          <w:sz w:val="22"/>
          <w:szCs w:val="22"/>
          <w:lang w:bidi="fr-FR"/>
        </w:rPr>
        <w:t>.</w:t>
      </w:r>
    </w:p>
    <w:p w14:paraId="54CBAAD5" w14:textId="77777777" w:rsidR="00671EFC" w:rsidRPr="00E01239" w:rsidRDefault="00671EFC" w:rsidP="00A1305E">
      <w:pPr>
        <w:jc w:val="both"/>
        <w:rPr>
          <w:rFonts w:asciiTheme="minorHAnsi" w:hAnsiTheme="minorHAnsi" w:cstheme="minorHAnsi"/>
          <w:sz w:val="22"/>
          <w:szCs w:val="22"/>
          <w:lang w:bidi="fr-FR"/>
        </w:rPr>
      </w:pPr>
    </w:p>
    <w:p w14:paraId="7CBA2010" w14:textId="1F38C7FE"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38" w:name="_Toc144654113"/>
      <w:r w:rsidRPr="00E01239">
        <w:rPr>
          <w:rFonts w:asciiTheme="minorHAnsi" w:hAnsiTheme="minorHAnsi" w:cstheme="minorHAnsi"/>
          <w:u w:val="single"/>
        </w:rPr>
        <w:t>Altération de la qualité de l’air</w:t>
      </w:r>
      <w:r w:rsidR="00733C77" w:rsidRPr="00E01239">
        <w:rPr>
          <w:rFonts w:asciiTheme="minorHAnsi" w:hAnsiTheme="minorHAnsi" w:cstheme="minorHAnsi"/>
          <w:u w:val="single"/>
        </w:rPr>
        <w:t xml:space="preserve"> et augmentation des émissions </w:t>
      </w:r>
      <w:r w:rsidR="002D4BC5">
        <w:rPr>
          <w:rFonts w:asciiTheme="minorHAnsi" w:hAnsiTheme="minorHAnsi" w:cstheme="minorHAnsi"/>
          <w:u w:val="single"/>
        </w:rPr>
        <w:t xml:space="preserve">de </w:t>
      </w:r>
      <w:r w:rsidR="00733C77" w:rsidRPr="00E01239">
        <w:rPr>
          <w:rFonts w:asciiTheme="minorHAnsi" w:hAnsiTheme="minorHAnsi" w:cstheme="minorHAnsi"/>
          <w:u w:val="single"/>
        </w:rPr>
        <w:t>GES</w:t>
      </w:r>
      <w:bookmarkEnd w:id="638"/>
    </w:p>
    <w:p w14:paraId="0B6CF815" w14:textId="5666AF03"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La qualité de l’air est susceptible d’être dégradée par les poussières et les gaz d’échappement durant la phase de réalisation des travaux. En effet, ces travaux (abattage et dessouchage des arbres, planage et transport de matériaux avec le mouvement des engins lourds), sont susceptibles d’induire des impacts négatifs sur la qualité de l’air. Ces impacts peuvent se présenter soit sous forme d’émissions poussiéreuses soit sous forme d’émissions gazeuses induites par les équipements et engins de chantier. </w:t>
      </w:r>
    </w:p>
    <w:p w14:paraId="6E75F141" w14:textId="1E66807C"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Les émissions de poussières peuvent être à la base d’infections pulmonaires sur le personnel de chantier et sur les communautés riveraines des chantiers. </w:t>
      </w:r>
    </w:p>
    <w:p w14:paraId="0D75A756" w14:textId="77777777" w:rsidR="00733C77" w:rsidRPr="00E01239" w:rsidRDefault="00733C77"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travaux de construction de bâtiments et d’aménagement de vallées et de périmètres nécessitent des activités d’abattage et dessouchage des arbres, de planage et transport de matériaux, de terrassement, d’exploitation de gites d’emprunt qui sont sources d’émissions de gaz à effet de serre (GES). Ces émissions résultent principalement des engins et équipements utilisés dans les chantiers.</w:t>
      </w:r>
    </w:p>
    <w:p w14:paraId="5D5BE5D1" w14:textId="5534C01C" w:rsidR="00671EFC" w:rsidRPr="00E01239" w:rsidRDefault="00671EFC" w:rsidP="00263B8A">
      <w:pPr>
        <w:spacing w:before="120" w:line="280" w:lineRule="exact"/>
        <w:rPr>
          <w:rFonts w:asciiTheme="minorHAnsi" w:hAnsiTheme="minorHAnsi" w:cstheme="minorHAnsi"/>
          <w:sz w:val="22"/>
          <w:szCs w:val="22"/>
          <w:lang w:bidi="fr-FR"/>
        </w:rPr>
      </w:pPr>
    </w:p>
    <w:p w14:paraId="3DB52A39"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39" w:name="_Toc144654114"/>
      <w:r w:rsidRPr="00E01239">
        <w:rPr>
          <w:rFonts w:asciiTheme="minorHAnsi" w:hAnsiTheme="minorHAnsi" w:cstheme="minorHAnsi"/>
          <w:u w:val="single"/>
        </w:rPr>
        <w:t>Pollution des eaux souterraines et des eaux de surface</w:t>
      </w:r>
      <w:bookmarkEnd w:id="639"/>
    </w:p>
    <w:p w14:paraId="6A219DDA" w14:textId="3C54F4FC"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 travaux peuvent induire des impacts négatifs sur les eaux de surface et les eaux souterraines. Les travaux sont susceptibles d’engendrer différents types de pollutions liées principalement :</w:t>
      </w:r>
    </w:p>
    <w:p w14:paraId="26B1A989" w14:textId="29BAAC5E" w:rsidR="00BE7F0B" w:rsidRPr="00E01239" w:rsidRDefault="009E4ADE" w:rsidP="00027669">
      <w:pPr>
        <w:pStyle w:val="Paragraphedeliste"/>
        <w:numPr>
          <w:ilvl w:val="0"/>
          <w:numId w:val="120"/>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À</w:t>
      </w:r>
      <w:r w:rsidR="00BE7F0B" w:rsidRPr="00E01239">
        <w:rPr>
          <w:rFonts w:asciiTheme="minorHAnsi" w:hAnsiTheme="minorHAnsi" w:cstheme="minorHAnsi"/>
          <w:sz w:val="22"/>
          <w:szCs w:val="22"/>
          <w:lang w:bidi="fr-FR"/>
        </w:rPr>
        <w:t xml:space="preserve"> la production de matières en suspension : en effet, l’érosion par l’eau et le vent des sols décapés, la manipulation des matériaux et le rejet des eaux utilisées pour le chantier peuvent entraîner un apport de sédiments dans les eaux de surface,</w:t>
      </w:r>
    </w:p>
    <w:p w14:paraId="08C1B17C" w14:textId="79734E2A" w:rsidR="00BE7F0B" w:rsidRPr="00E01239" w:rsidRDefault="009E4ADE" w:rsidP="00027669">
      <w:pPr>
        <w:pStyle w:val="Paragraphedeliste"/>
        <w:numPr>
          <w:ilvl w:val="0"/>
          <w:numId w:val="120"/>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À</w:t>
      </w:r>
      <w:r w:rsidR="00BE7F0B" w:rsidRPr="00E01239">
        <w:rPr>
          <w:rFonts w:asciiTheme="minorHAnsi" w:hAnsiTheme="minorHAnsi" w:cstheme="minorHAnsi"/>
          <w:sz w:val="22"/>
          <w:szCs w:val="22"/>
          <w:lang w:bidi="fr-FR"/>
        </w:rPr>
        <w:t xml:space="preserve"> la production </w:t>
      </w:r>
      <w:r w:rsidR="0007777C" w:rsidRPr="00E01239">
        <w:rPr>
          <w:rFonts w:asciiTheme="minorHAnsi" w:hAnsiTheme="minorHAnsi" w:cstheme="minorHAnsi"/>
          <w:sz w:val="22"/>
          <w:szCs w:val="22"/>
          <w:lang w:bidi="fr-FR"/>
        </w:rPr>
        <w:t xml:space="preserve">éventuelle </w:t>
      </w:r>
      <w:r w:rsidR="00BE7F0B" w:rsidRPr="00E01239">
        <w:rPr>
          <w:rFonts w:asciiTheme="minorHAnsi" w:hAnsiTheme="minorHAnsi" w:cstheme="minorHAnsi"/>
          <w:sz w:val="22"/>
          <w:szCs w:val="22"/>
          <w:lang w:bidi="fr-FR"/>
        </w:rPr>
        <w:t>de boues lors des travaux d’excavation et de mise en place des réseaux tiers et à un charriage des matériaux de terrassement (sable et boues) vers les eaux de surface lors d’épisodes pluvieux,</w:t>
      </w:r>
    </w:p>
    <w:p w14:paraId="09C284D1" w14:textId="578A8E0D" w:rsidR="00BE7F0B" w:rsidRPr="00E01239" w:rsidRDefault="009E4ADE" w:rsidP="00027669">
      <w:pPr>
        <w:pStyle w:val="Paragraphedeliste"/>
        <w:numPr>
          <w:ilvl w:val="0"/>
          <w:numId w:val="120"/>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Aux</w:t>
      </w:r>
      <w:r w:rsidR="00BE7F0B" w:rsidRPr="00E01239">
        <w:rPr>
          <w:rFonts w:asciiTheme="minorHAnsi" w:hAnsiTheme="minorHAnsi" w:cstheme="minorHAnsi"/>
          <w:sz w:val="22"/>
          <w:szCs w:val="22"/>
          <w:lang w:bidi="fr-FR"/>
        </w:rPr>
        <w:t xml:space="preserve"> déversements accidentels de produits hydrocarburés induits par les engins de chantier (vidanges, fuites),</w:t>
      </w:r>
    </w:p>
    <w:p w14:paraId="066E0432" w14:textId="79787F08" w:rsidR="00BE7F0B" w:rsidRPr="00E01239" w:rsidRDefault="009E4ADE" w:rsidP="00027669">
      <w:pPr>
        <w:pStyle w:val="Paragraphedeliste"/>
        <w:numPr>
          <w:ilvl w:val="0"/>
          <w:numId w:val="120"/>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À</w:t>
      </w:r>
      <w:r w:rsidR="00BE7F0B" w:rsidRPr="00E01239">
        <w:rPr>
          <w:rFonts w:asciiTheme="minorHAnsi" w:hAnsiTheme="minorHAnsi" w:cstheme="minorHAnsi"/>
          <w:sz w:val="22"/>
          <w:szCs w:val="22"/>
          <w:lang w:bidi="fr-FR"/>
        </w:rPr>
        <w:t xml:space="preserve"> l’apport de résidus de ciment (coulée, poussière) lors de la fabrication et la mise en place du béton pour notamment les ouvrages d’amenée et les stations de pompage,</w:t>
      </w:r>
    </w:p>
    <w:p w14:paraId="45A3A378" w14:textId="1EAE4ED8" w:rsidR="00BE7F0B" w:rsidRPr="00E01239" w:rsidRDefault="009E4ADE" w:rsidP="00027669">
      <w:pPr>
        <w:pStyle w:val="Paragraphedeliste"/>
        <w:numPr>
          <w:ilvl w:val="0"/>
          <w:numId w:val="120"/>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Aux</w:t>
      </w:r>
      <w:r w:rsidR="00BE7F0B" w:rsidRPr="00E01239">
        <w:rPr>
          <w:rFonts w:asciiTheme="minorHAnsi" w:hAnsiTheme="minorHAnsi" w:cstheme="minorHAnsi"/>
          <w:sz w:val="22"/>
          <w:szCs w:val="22"/>
          <w:lang w:bidi="fr-FR"/>
        </w:rPr>
        <w:t xml:space="preserve"> pollutions liées aux matériaux utilisés et aux pollutions provenant des zones de stockage des matériaux.</w:t>
      </w:r>
    </w:p>
    <w:p w14:paraId="31C2FA00" w14:textId="0879F5F2"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Sur les eaux souterraines, l’impact des travaux est à craindre avec l’infiltration de déchets liquides vers les nappes notamment au niveau de la base de chantier. L’installation d’une base de chantier pourrait accentuer </w:t>
      </w:r>
      <w:r w:rsidRPr="00E01239">
        <w:rPr>
          <w:rFonts w:asciiTheme="minorHAnsi" w:hAnsiTheme="minorHAnsi" w:cstheme="minorHAnsi"/>
          <w:sz w:val="22"/>
          <w:szCs w:val="22"/>
          <w:lang w:bidi="fr-FR"/>
        </w:rPr>
        <w:lastRenderedPageBreak/>
        <w:t xml:space="preserve">la problématique de la gestion des eaux usées et autres huiles usagées provenant de l’entretien des engins. Le fonctionnement de la base de chantier pourrait nécessiter potentiellement un prélèvement d’eau potable à partir de forages villageois pouvant entrainer des pressions localement sur la disponibilité en eau des populations. </w:t>
      </w:r>
    </w:p>
    <w:p w14:paraId="49DCF88A" w14:textId="77777777" w:rsidR="00671EFC" w:rsidRPr="00E01239" w:rsidRDefault="00671EFC" w:rsidP="00263B8A">
      <w:pPr>
        <w:spacing w:before="120" w:line="280" w:lineRule="exact"/>
        <w:jc w:val="both"/>
        <w:rPr>
          <w:rFonts w:asciiTheme="minorHAnsi" w:hAnsiTheme="minorHAnsi" w:cstheme="minorHAnsi"/>
          <w:sz w:val="22"/>
          <w:szCs w:val="22"/>
          <w:lang w:bidi="fr-FR"/>
        </w:rPr>
      </w:pPr>
    </w:p>
    <w:p w14:paraId="624E81EC"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40" w:name="_Toc480810907"/>
      <w:bookmarkStart w:id="641" w:name="_Toc30067899"/>
      <w:bookmarkStart w:id="642" w:name="_Toc35244758"/>
      <w:bookmarkStart w:id="643" w:name="_Toc144654115"/>
      <w:r w:rsidRPr="00E01239">
        <w:rPr>
          <w:rFonts w:asciiTheme="minorHAnsi" w:hAnsiTheme="minorHAnsi" w:cstheme="minorHAnsi"/>
          <w:u w:val="single"/>
        </w:rPr>
        <w:t>Pollution et dégradation des sols lors des aménagements</w:t>
      </w:r>
      <w:bookmarkEnd w:id="640"/>
      <w:bookmarkEnd w:id="641"/>
      <w:bookmarkEnd w:id="642"/>
      <w:bookmarkEnd w:id="643"/>
      <w:r w:rsidRPr="00E01239">
        <w:rPr>
          <w:rFonts w:asciiTheme="minorHAnsi" w:hAnsiTheme="minorHAnsi" w:cstheme="minorHAnsi"/>
          <w:u w:val="single"/>
        </w:rPr>
        <w:t xml:space="preserve"> </w:t>
      </w:r>
    </w:p>
    <w:p w14:paraId="78DB1FE2" w14:textId="20136E8A"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Lors de la phase de chantier, en cas de fuite accidentelle (rupture de flexibles de fuel, gasoil ou d’huile) ou </w:t>
      </w:r>
      <w:r w:rsidR="009E4ADE" w:rsidRPr="00E01239">
        <w:rPr>
          <w:rFonts w:asciiTheme="minorHAnsi" w:hAnsiTheme="minorHAnsi" w:cstheme="minorHAnsi"/>
          <w:sz w:val="22"/>
          <w:szCs w:val="22"/>
          <w:lang w:bidi="fr-FR"/>
        </w:rPr>
        <w:t>à la suite d’un</w:t>
      </w:r>
      <w:r w:rsidRPr="00E01239">
        <w:rPr>
          <w:rFonts w:asciiTheme="minorHAnsi" w:hAnsiTheme="minorHAnsi" w:cstheme="minorHAnsi"/>
          <w:sz w:val="22"/>
          <w:szCs w:val="22"/>
          <w:lang w:bidi="fr-FR"/>
        </w:rPr>
        <w:t xml:space="preserve"> déversement accidentel lors du ravitaillement d'un engin ou d’un camion, des éléments polluants (hydrocarbure) pourraient accidentellement atteindre le sol.</w:t>
      </w:r>
    </w:p>
    <w:p w14:paraId="0963298D" w14:textId="77777777"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Sur les zones où circuleront les engins de chantier, le sol peut se tasser, sous le passage répété des roues, surtout par temps humide. </w:t>
      </w:r>
    </w:p>
    <w:p w14:paraId="3C3DB0DB" w14:textId="77777777"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De tels accidents environnementaux sont liés au non-respect des règles de stockage des produits ainsi qu’à la mauvaise gestion du chantier, de ses déchets et équipements. Parmi les opérations pouvant engendrer la pollution du sol, on peut citer la vidange non contrôlée des engins du chantier, hors des zones imperméabilisées et spécialement aménagées à cette fin et l’approvisionnement des engins en fuel dans des conditions ne permettant pas d’éviter ou de contenir les fuites et déversements accidentels de ces hydrocarbures.</w:t>
      </w:r>
    </w:p>
    <w:p w14:paraId="25B6A8F6" w14:textId="7BF4B4B3"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En plus, une exposition du sol mis à nu au phénomène d’érosion qui peut apparaître localement notamment dans les zones pentues. La mise à nu des sols peut aussi entraîner une réduction de leur fertilité. Le rejet anarchique des déchets de chantier peut aussi dégrader la qualité des sols.</w:t>
      </w:r>
    </w:p>
    <w:p w14:paraId="75C5258B" w14:textId="77777777" w:rsidR="00671EFC" w:rsidRPr="00E01239" w:rsidRDefault="00671EFC" w:rsidP="00263B8A">
      <w:pPr>
        <w:spacing w:before="120" w:line="280" w:lineRule="exact"/>
        <w:jc w:val="both"/>
        <w:rPr>
          <w:rFonts w:asciiTheme="minorHAnsi" w:hAnsiTheme="minorHAnsi" w:cstheme="minorHAnsi"/>
          <w:sz w:val="22"/>
          <w:szCs w:val="22"/>
          <w:lang w:bidi="fr-FR"/>
        </w:rPr>
      </w:pPr>
    </w:p>
    <w:p w14:paraId="426D3C80"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44" w:name="_Toc144654116"/>
      <w:r w:rsidRPr="00E01239">
        <w:rPr>
          <w:rFonts w:asciiTheme="minorHAnsi" w:hAnsiTheme="minorHAnsi" w:cstheme="minorHAnsi"/>
          <w:u w:val="single"/>
        </w:rPr>
        <w:t>Perturbation des parcours pastoraux et confits avec les éleveurs</w:t>
      </w:r>
      <w:bookmarkEnd w:id="644"/>
    </w:p>
    <w:p w14:paraId="73B6DC6E" w14:textId="575283E1"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L’aménagement de périmètres agricoles </w:t>
      </w:r>
      <w:r w:rsidR="00731E7C" w:rsidRPr="00E01239">
        <w:rPr>
          <w:rFonts w:asciiTheme="minorHAnsi" w:hAnsiTheme="minorHAnsi" w:cstheme="minorHAnsi"/>
          <w:sz w:val="22"/>
          <w:szCs w:val="22"/>
          <w:lang w:bidi="fr-FR"/>
        </w:rPr>
        <w:t xml:space="preserve">dans le cadre du FSRP-SN </w:t>
      </w:r>
      <w:r w:rsidRPr="00E01239">
        <w:rPr>
          <w:rFonts w:asciiTheme="minorHAnsi" w:hAnsiTheme="minorHAnsi" w:cstheme="minorHAnsi"/>
          <w:sz w:val="22"/>
          <w:szCs w:val="22"/>
          <w:lang w:bidi="fr-FR"/>
        </w:rPr>
        <w:t>est susceptible de modifier les aires de transhumance naturelles du bétail avec comme conséquences des accidents liés à la cohabitation avec les engins de chantier, l’exposition du bétail à certaines formes de pollution sur les points d’abreuvement et des conflits localisés avec les éleveurs sur les droits de passage.</w:t>
      </w:r>
    </w:p>
    <w:p w14:paraId="139A28BB" w14:textId="77777777" w:rsidR="00671EFC" w:rsidRPr="00E01239" w:rsidRDefault="00671EFC" w:rsidP="00263B8A">
      <w:pPr>
        <w:spacing w:before="120" w:line="280" w:lineRule="exact"/>
        <w:jc w:val="both"/>
        <w:rPr>
          <w:rFonts w:asciiTheme="minorHAnsi" w:hAnsiTheme="minorHAnsi" w:cstheme="minorHAnsi"/>
          <w:sz w:val="22"/>
          <w:szCs w:val="22"/>
          <w:lang w:bidi="fr-FR"/>
        </w:rPr>
      </w:pPr>
    </w:p>
    <w:p w14:paraId="4933514F"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45" w:name="_Toc480810909"/>
      <w:bookmarkStart w:id="646" w:name="_Toc30067903"/>
      <w:bookmarkStart w:id="647" w:name="_Toc35244762"/>
      <w:bookmarkStart w:id="648" w:name="_Toc144654117"/>
      <w:r w:rsidRPr="00E01239">
        <w:rPr>
          <w:rFonts w:asciiTheme="minorHAnsi" w:hAnsiTheme="minorHAnsi" w:cstheme="minorHAnsi"/>
          <w:u w:val="single"/>
        </w:rPr>
        <w:t>Impacts sur la mobilité et gêne pour les populations riveraines</w:t>
      </w:r>
      <w:bookmarkEnd w:id="645"/>
      <w:bookmarkEnd w:id="646"/>
      <w:bookmarkEnd w:id="647"/>
      <w:bookmarkEnd w:id="648"/>
      <w:r w:rsidRPr="00E01239">
        <w:rPr>
          <w:rFonts w:asciiTheme="minorHAnsi" w:hAnsiTheme="minorHAnsi" w:cstheme="minorHAnsi"/>
          <w:u w:val="single"/>
        </w:rPr>
        <w:t xml:space="preserve"> </w:t>
      </w:r>
    </w:p>
    <w:p w14:paraId="50C32C86" w14:textId="67E52C4F"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Les risques de perturbation de la mobilité des communautés locales induits par les activités du chantier sont probables en phase de travaux. En effet, les itinéraires d’approvisionnement des chantiers en matériaux entre les zones d’emprunt et les sites de travaux sont potentiellement des aires de restriction des mouvements des communautés ainsi que sur les sites des travaux. </w:t>
      </w:r>
    </w:p>
    <w:p w14:paraId="6A8FEEF0" w14:textId="77777777" w:rsidR="00BE7F0B" w:rsidRPr="00E01239" w:rsidRDefault="00BE7F0B" w:rsidP="00263B8A">
      <w:pPr>
        <w:spacing w:before="120" w:line="280" w:lineRule="exact"/>
        <w:jc w:val="both"/>
        <w:rPr>
          <w:rFonts w:asciiTheme="minorHAnsi" w:hAnsiTheme="minorHAnsi" w:cstheme="minorHAnsi"/>
          <w:sz w:val="22"/>
          <w:szCs w:val="22"/>
          <w:lang w:bidi="fr-FR"/>
        </w:rPr>
      </w:pPr>
    </w:p>
    <w:p w14:paraId="2ECE5A5C"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49" w:name="_Toc480810910"/>
      <w:bookmarkStart w:id="650" w:name="_Toc30067904"/>
      <w:bookmarkStart w:id="651" w:name="_Toc35244763"/>
      <w:bookmarkStart w:id="652" w:name="_Toc144654118"/>
      <w:r w:rsidRPr="00E01239">
        <w:rPr>
          <w:rFonts w:asciiTheme="minorHAnsi" w:hAnsiTheme="minorHAnsi" w:cstheme="minorHAnsi"/>
          <w:u w:val="single"/>
        </w:rPr>
        <w:t>Risques de conflits entre les populations et les o</w:t>
      </w:r>
      <w:bookmarkEnd w:id="649"/>
      <w:bookmarkEnd w:id="650"/>
      <w:bookmarkEnd w:id="651"/>
      <w:r w:rsidRPr="00E01239">
        <w:rPr>
          <w:rFonts w:asciiTheme="minorHAnsi" w:hAnsiTheme="minorHAnsi" w:cstheme="minorHAnsi"/>
          <w:u w:val="single"/>
        </w:rPr>
        <w:t>uvriers et de violences basées sur le genre</w:t>
      </w:r>
      <w:bookmarkEnd w:id="652"/>
    </w:p>
    <w:p w14:paraId="3D6D47D9" w14:textId="24847535"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Les travaux nécessiteront potentiellement de la main d’œuvre locale, ce qui constituera une source potentielle d’augmentation des revenus au niveau local. </w:t>
      </w:r>
      <w:r w:rsidR="00414F4A" w:rsidRPr="00E01239">
        <w:rPr>
          <w:rFonts w:asciiTheme="minorHAnsi" w:hAnsiTheme="minorHAnsi" w:cstheme="minorHAnsi"/>
          <w:sz w:val="22"/>
          <w:szCs w:val="22"/>
          <w:lang w:bidi="fr-FR"/>
        </w:rPr>
        <w:t>Cependant</w:t>
      </w:r>
      <w:r w:rsidRPr="00E01239">
        <w:rPr>
          <w:rFonts w:asciiTheme="minorHAnsi" w:hAnsiTheme="minorHAnsi" w:cstheme="minorHAnsi"/>
          <w:sz w:val="22"/>
          <w:szCs w:val="22"/>
          <w:lang w:bidi="fr-FR"/>
        </w:rPr>
        <w:t xml:space="preserve">, la non-utilisation de la main d’œuvre locale lors des travaux pourrait susciter des frustrations ou des conflits. </w:t>
      </w:r>
    </w:p>
    <w:p w14:paraId="2A1CF547" w14:textId="08913A44" w:rsidR="00C06187" w:rsidRPr="00E01239" w:rsidRDefault="00BE7F0B" w:rsidP="00C06187">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En plus, la présence temporaire d’un personnel étranger dans la zone est susceptible de provoquer un brassage culturel pouvant être à l’origine de conflits (non-respect des coutumes locales, etc.) et constituer également une source d’augmentation des cas </w:t>
      </w:r>
      <w:r w:rsidR="00C06187" w:rsidRPr="00E01239">
        <w:rPr>
          <w:rFonts w:asciiTheme="minorHAnsi" w:hAnsiTheme="minorHAnsi" w:cstheme="minorHAnsi"/>
          <w:sz w:val="22"/>
          <w:szCs w:val="22"/>
          <w:lang w:bidi="fr-FR"/>
        </w:rPr>
        <w:t>d’exploitation et abus sexuels, harcèlement sexuel.</w:t>
      </w:r>
    </w:p>
    <w:p w14:paraId="43BC74B0" w14:textId="5794F821" w:rsidR="007243AA" w:rsidRPr="00E01239" w:rsidRDefault="007243AA" w:rsidP="00C06187">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En cas d’afflux massif de cette main d’œuvre étrangère, les risques d’EAS/HS pourraient être exacerbés.</w:t>
      </w:r>
    </w:p>
    <w:p w14:paraId="33FA6276" w14:textId="1FFA7334" w:rsidR="00C06187" w:rsidRPr="00E01239" w:rsidRDefault="00C06187" w:rsidP="00C06187">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lastRenderedPageBreak/>
        <w:t xml:space="preserve">Néanmoins le projet mettra en œuvre des mesures d’atténuation entre autres la formation des travailleurs et la sensibilisation des communautés sur le </w:t>
      </w:r>
      <w:proofErr w:type="spellStart"/>
      <w:r w:rsidRPr="00E01239">
        <w:rPr>
          <w:rFonts w:asciiTheme="minorHAnsi" w:hAnsiTheme="minorHAnsi" w:cstheme="minorHAnsi"/>
          <w:sz w:val="22"/>
          <w:szCs w:val="22"/>
          <w:lang w:bidi="fr-FR"/>
        </w:rPr>
        <w:t>CoC</w:t>
      </w:r>
      <w:proofErr w:type="spellEnd"/>
      <w:r w:rsidRPr="00E01239">
        <w:rPr>
          <w:rFonts w:asciiTheme="minorHAnsi" w:hAnsiTheme="minorHAnsi" w:cstheme="minorHAnsi"/>
          <w:sz w:val="22"/>
          <w:szCs w:val="22"/>
          <w:lang w:bidi="fr-FR"/>
        </w:rPr>
        <w:t>.</w:t>
      </w:r>
    </w:p>
    <w:p w14:paraId="195FEB0E" w14:textId="77777777" w:rsidR="00BE7F0B" w:rsidRPr="00E01239" w:rsidRDefault="00BE7F0B" w:rsidP="00263B8A">
      <w:pPr>
        <w:spacing w:before="120" w:line="280" w:lineRule="exact"/>
        <w:jc w:val="both"/>
        <w:rPr>
          <w:rFonts w:asciiTheme="minorHAnsi" w:hAnsiTheme="minorHAnsi" w:cstheme="minorHAnsi"/>
          <w:sz w:val="22"/>
          <w:szCs w:val="22"/>
          <w:lang w:bidi="fr-FR"/>
        </w:rPr>
      </w:pPr>
    </w:p>
    <w:p w14:paraId="0FC9299E"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53" w:name="_Toc480810911"/>
      <w:bookmarkStart w:id="654" w:name="_Toc30067905"/>
      <w:bookmarkStart w:id="655" w:name="_Toc35244764"/>
      <w:bookmarkStart w:id="656" w:name="_Toc144654119"/>
      <w:r w:rsidRPr="00E01239">
        <w:rPr>
          <w:rFonts w:asciiTheme="minorHAnsi" w:hAnsiTheme="minorHAnsi" w:cstheme="minorHAnsi"/>
          <w:u w:val="single"/>
        </w:rPr>
        <w:t>Dégradation de sites culturels et cultuels</w:t>
      </w:r>
      <w:bookmarkEnd w:id="653"/>
      <w:bookmarkEnd w:id="654"/>
      <w:bookmarkEnd w:id="655"/>
      <w:bookmarkEnd w:id="656"/>
    </w:p>
    <w:p w14:paraId="334E4859" w14:textId="77777777"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Au plan culturel, la zone du projet regorge potentiellement de sites archéologiques, de cimetière, de lieu de culte, susceptibles d’être perturbés par les travaux dans la zone du projet. Ainsi, des découvertes fortuites de patrimoine culturel lors des travaux sont probables ainsi que des risques de leur dégradation.</w:t>
      </w:r>
    </w:p>
    <w:p w14:paraId="5D3A4FC7" w14:textId="25AACBCD" w:rsidR="00BE7F0B" w:rsidRPr="00E01239" w:rsidRDefault="00BE7F0B" w:rsidP="00263B8A">
      <w:pPr>
        <w:spacing w:before="120" w:line="280" w:lineRule="exact"/>
        <w:rPr>
          <w:rFonts w:asciiTheme="minorHAnsi" w:hAnsiTheme="minorHAnsi" w:cstheme="minorHAnsi"/>
          <w:sz w:val="22"/>
          <w:szCs w:val="22"/>
          <w:lang w:bidi="fr-FR"/>
        </w:rPr>
      </w:pPr>
    </w:p>
    <w:p w14:paraId="21137025"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57" w:name="_Toc144654120"/>
      <w:r w:rsidRPr="00E01239">
        <w:rPr>
          <w:rFonts w:asciiTheme="minorHAnsi" w:hAnsiTheme="minorHAnsi" w:cstheme="minorHAnsi"/>
          <w:u w:val="single"/>
        </w:rPr>
        <w:t>Pollution du milieu par les déchets de chantier</w:t>
      </w:r>
      <w:bookmarkEnd w:id="657"/>
    </w:p>
    <w:p w14:paraId="01C1EFAC" w14:textId="77777777"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L’aspect visuel de la zone concernée par les travaux sera peu attrayant du fait de la présence des engins, des dépôts temporaires de déblais et gravats, mais aussi de l’émission de poussières et d’odeurs diverses. </w:t>
      </w:r>
    </w:p>
    <w:p w14:paraId="08143DC1" w14:textId="77777777"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Les travaux vont générer d’importantes quantités de déchets. Ces déchets solides risquent de se disperser et d’affecter la salubrité du site. </w:t>
      </w:r>
    </w:p>
    <w:p w14:paraId="0B91C54C" w14:textId="77777777"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Ces déchets peuvent être de différentes natures : les déchets inertes de roches, la sous-couche arable, emballages souillés de peinture, solvants, cuve à hydrocarbure, etc. </w:t>
      </w:r>
    </w:p>
    <w:p w14:paraId="724AB735"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58" w:name="_Toc413054701"/>
      <w:bookmarkStart w:id="659" w:name="_Toc21103721"/>
      <w:bookmarkStart w:id="660" w:name="_Toc30067907"/>
      <w:bookmarkStart w:id="661" w:name="_Toc35244766"/>
      <w:bookmarkStart w:id="662" w:name="_Toc144654121"/>
      <w:r w:rsidRPr="00E01239">
        <w:rPr>
          <w:rFonts w:asciiTheme="minorHAnsi" w:hAnsiTheme="minorHAnsi" w:cstheme="minorHAnsi"/>
          <w:u w:val="single"/>
        </w:rPr>
        <w:t>Nuisances sonores</w:t>
      </w:r>
      <w:bookmarkEnd w:id="658"/>
      <w:bookmarkEnd w:id="659"/>
      <w:bookmarkEnd w:id="660"/>
      <w:bookmarkEnd w:id="661"/>
      <w:bookmarkEnd w:id="662"/>
    </w:p>
    <w:p w14:paraId="37636F8F" w14:textId="3E7E6EA3"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La phase de réalisation des travaux engendrera, sans nul doute, des nuisances sonores particulièrement pour le personnel de chantier et les populations riveraines. Les nuisances sonores seront causées par le matériel (bétonnières, groupe électrogène, générateur, transport...). Le bruit et les vibrations associés au projet se remarqueront principalement lors des étapes suivantes : le déplacement des engins de construction, et le fonctionnement des groupes électrogènes, le compactage de surface, etc.</w:t>
      </w:r>
    </w:p>
    <w:p w14:paraId="13673364" w14:textId="77777777" w:rsidR="00671EFC" w:rsidRPr="00E01239" w:rsidRDefault="00671EFC" w:rsidP="00263B8A">
      <w:pPr>
        <w:spacing w:before="120" w:line="280" w:lineRule="exact"/>
        <w:jc w:val="both"/>
        <w:rPr>
          <w:rFonts w:asciiTheme="minorHAnsi" w:hAnsiTheme="minorHAnsi" w:cstheme="minorHAnsi"/>
          <w:sz w:val="22"/>
          <w:szCs w:val="22"/>
          <w:lang w:bidi="fr-FR"/>
        </w:rPr>
      </w:pPr>
    </w:p>
    <w:p w14:paraId="7CBB84E8"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63" w:name="_Toc144654122"/>
      <w:r w:rsidRPr="00E01239">
        <w:rPr>
          <w:rFonts w:asciiTheme="minorHAnsi" w:hAnsiTheme="minorHAnsi" w:cstheme="minorHAnsi"/>
          <w:u w:val="single"/>
        </w:rPr>
        <w:t>Exposition du personnel et des populations riveraines aux MST et aux IRA</w:t>
      </w:r>
      <w:bookmarkEnd w:id="663"/>
      <w:r w:rsidRPr="00E01239">
        <w:rPr>
          <w:rFonts w:asciiTheme="minorHAnsi" w:hAnsiTheme="minorHAnsi" w:cstheme="minorHAnsi"/>
          <w:u w:val="single"/>
        </w:rPr>
        <w:t> </w:t>
      </w:r>
    </w:p>
    <w:p w14:paraId="40E6AED1" w14:textId="18ECB54D"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 chantiers de cette ampleur impliquent des arrivées importantes « d’étrangers » avec un corollaire de prolifération de maladies transmissibles notamment les IST-SIDA. La dégradation de la qualité de l’air pourrait se manifester sous forme de maladies respiratoires comme les Infections Respiratoires Aiguës (IRA) ou basses, l’asthme, etc. Le non-respect des règles élémentaires d’hygiène par les ouvriers pouvant entraîner le péril fécal ou l’apparition de maladies diarrhéiques.</w:t>
      </w:r>
    </w:p>
    <w:p w14:paraId="4BF40E08" w14:textId="77777777" w:rsidR="00671EFC" w:rsidRPr="00E01239" w:rsidRDefault="00671EFC" w:rsidP="00263B8A">
      <w:pPr>
        <w:spacing w:before="120" w:line="280" w:lineRule="exact"/>
        <w:jc w:val="both"/>
        <w:rPr>
          <w:rFonts w:asciiTheme="minorHAnsi" w:hAnsiTheme="minorHAnsi" w:cstheme="minorHAnsi"/>
          <w:sz w:val="22"/>
          <w:szCs w:val="22"/>
          <w:lang w:bidi="fr-FR"/>
        </w:rPr>
      </w:pPr>
    </w:p>
    <w:p w14:paraId="6CCD6F8D" w14:textId="4674E52C"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64" w:name="_Toc480810915"/>
      <w:bookmarkStart w:id="665" w:name="_Toc30067909"/>
      <w:bookmarkStart w:id="666" w:name="_Toc35244768"/>
      <w:bookmarkStart w:id="667" w:name="_Toc144654123"/>
      <w:r w:rsidRPr="00E01239">
        <w:rPr>
          <w:rFonts w:asciiTheme="minorHAnsi" w:hAnsiTheme="minorHAnsi" w:cstheme="minorHAnsi"/>
          <w:u w:val="single"/>
        </w:rPr>
        <w:t xml:space="preserve">Impacts liés </w:t>
      </w:r>
      <w:bookmarkEnd w:id="664"/>
      <w:bookmarkEnd w:id="665"/>
      <w:bookmarkEnd w:id="666"/>
      <w:r w:rsidR="00C06187" w:rsidRPr="00E01239">
        <w:rPr>
          <w:rFonts w:asciiTheme="minorHAnsi" w:hAnsiTheme="minorHAnsi" w:cstheme="minorHAnsi"/>
          <w:u w:val="single"/>
        </w:rPr>
        <w:t>aux risques d’accident de travail</w:t>
      </w:r>
      <w:bookmarkEnd w:id="667"/>
    </w:p>
    <w:p w14:paraId="203D5615" w14:textId="77777777"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Pendant la phase des travaux, il surviendra des risques d’accidents liés aux engins/instruments de chantier et à la présence de matériaux de construction mal protégés ou mal utilisés. Le risque de chute existe pour toutes les personnes autorisées et non autorisées sur le chantier au niveau des zones de circulation étroites et encombrées. On peut craindre une gêne de la circulation avec le trafic induit par la circulation des engins de chantier et des véhicules assurant l’approvisionnement du chantier en matériel.</w:t>
      </w:r>
    </w:p>
    <w:p w14:paraId="6C1C1FCB" w14:textId="647DB229" w:rsidR="00BE7F0B" w:rsidRPr="00E01239" w:rsidRDefault="00BE7F0B"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Les opérations de fouille et de terrassement et l’approvisionnement des chantiers en ouvrages préfabriqués constituent des sources de dangers très élevées dans les travaux de terrassement et de planage du périmètre. En effet, les accidents redoutés dans une mise en œuvre inadéquate des fouilles sont principalement l’effondrement des parois excavées pouvant provoquer l'ensevelissement des personnes présentes dans l'excavation, le basculement ou la chute dans l'excavation d'engins, de véhicules ou de constructions à proximité de l'excavation, la chute de personnes ou d'objets dans l'excavation, des dangers occasionnés par la présence d'impétrants, des dangers occasionnés par la présence de substances dangereuses (pollution du </w:t>
      </w:r>
      <w:r w:rsidRPr="00E01239">
        <w:rPr>
          <w:rFonts w:asciiTheme="minorHAnsi" w:hAnsiTheme="minorHAnsi" w:cstheme="minorHAnsi"/>
          <w:sz w:val="22"/>
          <w:szCs w:val="22"/>
          <w:lang w:bidi="fr-FR"/>
        </w:rPr>
        <w:lastRenderedPageBreak/>
        <w:t>sol ou travaux de construction), le mauvais usage des moyens de blindage (les conditions d'utilisation pour panneaux de renfort à simple face diffèrent de celles des blindages à double face), l'influence des conditions climatiques (pluie et évacuation des eaux de pluie).</w:t>
      </w:r>
    </w:p>
    <w:p w14:paraId="4528AF1A" w14:textId="77777777" w:rsidR="00671EFC" w:rsidRPr="00E01239" w:rsidRDefault="00671EFC" w:rsidP="00263B8A">
      <w:pPr>
        <w:spacing w:before="120" w:line="280" w:lineRule="exact"/>
        <w:jc w:val="both"/>
        <w:rPr>
          <w:rFonts w:asciiTheme="minorHAnsi" w:hAnsiTheme="minorHAnsi" w:cstheme="minorHAnsi"/>
          <w:sz w:val="22"/>
          <w:szCs w:val="22"/>
          <w:lang w:bidi="fr-FR"/>
        </w:rPr>
      </w:pPr>
    </w:p>
    <w:p w14:paraId="5F6AF5AF" w14:textId="77777777" w:rsidR="00671EFC" w:rsidRPr="00E01239" w:rsidRDefault="00671EFC" w:rsidP="00263B8A">
      <w:pPr>
        <w:spacing w:before="120" w:line="280" w:lineRule="exact"/>
        <w:jc w:val="both"/>
        <w:rPr>
          <w:rFonts w:asciiTheme="minorHAnsi" w:hAnsiTheme="minorHAnsi" w:cstheme="minorHAnsi"/>
          <w:sz w:val="22"/>
          <w:szCs w:val="22"/>
        </w:rPr>
      </w:pPr>
    </w:p>
    <w:p w14:paraId="4428A245" w14:textId="77777777" w:rsidR="00BE7F0B" w:rsidRPr="00E01239" w:rsidRDefault="00BE7F0B" w:rsidP="0011733B">
      <w:pPr>
        <w:pStyle w:val="Titre4"/>
        <w:spacing w:before="120" w:line="280" w:lineRule="exact"/>
        <w:ind w:left="1843" w:hanging="992"/>
        <w:contextualSpacing w:val="0"/>
        <w:rPr>
          <w:rFonts w:asciiTheme="minorHAnsi" w:hAnsiTheme="minorHAnsi" w:cstheme="minorHAnsi"/>
          <w:b w:val="0"/>
          <w:u w:val="single"/>
        </w:rPr>
      </w:pPr>
      <w:bookmarkStart w:id="668" w:name="_Toc144654125"/>
      <w:r w:rsidRPr="00E01239">
        <w:rPr>
          <w:rFonts w:asciiTheme="minorHAnsi" w:hAnsiTheme="minorHAnsi" w:cstheme="minorHAnsi"/>
          <w:u w:val="single"/>
        </w:rPr>
        <w:t>Exposition des travailleurs à des braquages, enlèvements et attaques</w:t>
      </w:r>
      <w:bookmarkEnd w:id="668"/>
      <w:r w:rsidRPr="00E01239">
        <w:rPr>
          <w:rFonts w:asciiTheme="minorHAnsi" w:hAnsiTheme="minorHAnsi" w:cstheme="minorHAnsi"/>
          <w:u w:val="single"/>
        </w:rPr>
        <w:t xml:space="preserve"> </w:t>
      </w:r>
    </w:p>
    <w:p w14:paraId="65E600F0" w14:textId="3CDEDE56" w:rsidR="00BE7F0B" w:rsidRPr="00E01239" w:rsidRDefault="00BE7F0B"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contexte sécuritaire dans la zone </w:t>
      </w:r>
      <w:r w:rsidR="00731E7C" w:rsidRPr="00E01239">
        <w:rPr>
          <w:rFonts w:asciiTheme="minorHAnsi" w:hAnsiTheme="minorHAnsi" w:cstheme="minorHAnsi"/>
          <w:sz w:val="22"/>
          <w:szCs w:val="22"/>
        </w:rPr>
        <w:t xml:space="preserve">Sud </w:t>
      </w:r>
      <w:r w:rsidRPr="00E01239">
        <w:rPr>
          <w:rFonts w:asciiTheme="minorHAnsi" w:hAnsiTheme="minorHAnsi" w:cstheme="minorHAnsi"/>
          <w:sz w:val="22"/>
          <w:szCs w:val="22"/>
        </w:rPr>
        <w:t>du projet pourrait impacter la mise en œuvre des travaux de construction des infrastructures et aménagements agricoles notamment en termes d’enlèvement du personnel de travaux, de confiscation du matériel de chantier, d’attaques à conséquence létale sur le personnel de chantier, etc.</w:t>
      </w:r>
    </w:p>
    <w:p w14:paraId="4D046614" w14:textId="77777777" w:rsidR="00671EFC" w:rsidRPr="00E01239" w:rsidRDefault="00671EFC" w:rsidP="00263B8A">
      <w:pPr>
        <w:spacing w:before="120" w:line="280" w:lineRule="exact"/>
        <w:jc w:val="both"/>
        <w:rPr>
          <w:rFonts w:asciiTheme="minorHAnsi" w:hAnsiTheme="minorHAnsi" w:cstheme="minorHAnsi"/>
          <w:sz w:val="22"/>
          <w:szCs w:val="22"/>
        </w:rPr>
      </w:pPr>
    </w:p>
    <w:p w14:paraId="273681C9" w14:textId="7C30D770" w:rsidR="00671EFC" w:rsidRPr="00E01239" w:rsidRDefault="00671EFC" w:rsidP="00263B8A">
      <w:pPr>
        <w:spacing w:before="120" w:line="280" w:lineRule="exact"/>
        <w:jc w:val="both"/>
        <w:rPr>
          <w:rFonts w:asciiTheme="minorHAnsi" w:hAnsiTheme="minorHAnsi" w:cstheme="minorHAnsi"/>
          <w:sz w:val="22"/>
          <w:szCs w:val="22"/>
        </w:rPr>
      </w:pPr>
    </w:p>
    <w:p w14:paraId="78C5DBDF" w14:textId="467A0113" w:rsidR="00954054" w:rsidRPr="00E01239" w:rsidRDefault="00954054" w:rsidP="00954054">
      <w:pPr>
        <w:pStyle w:val="Titre4"/>
        <w:spacing w:before="120" w:line="280" w:lineRule="exact"/>
        <w:ind w:left="1843" w:hanging="992"/>
        <w:contextualSpacing w:val="0"/>
        <w:rPr>
          <w:rFonts w:asciiTheme="minorHAnsi" w:hAnsiTheme="minorHAnsi" w:cstheme="minorHAnsi"/>
          <w:u w:val="single"/>
        </w:rPr>
      </w:pPr>
      <w:bookmarkStart w:id="669" w:name="_Toc144654127"/>
      <w:r w:rsidRPr="00E01239">
        <w:rPr>
          <w:rFonts w:asciiTheme="minorHAnsi" w:hAnsiTheme="minorHAnsi" w:cstheme="minorHAnsi"/>
          <w:u w:val="single"/>
        </w:rPr>
        <w:t>Pertes temporaires ou permanentes de ressources ou d’accès à des ressources</w:t>
      </w:r>
      <w:bookmarkEnd w:id="669"/>
      <w:r w:rsidRPr="00E01239">
        <w:rPr>
          <w:rFonts w:asciiTheme="minorHAnsi" w:hAnsiTheme="minorHAnsi" w:cstheme="minorHAnsi"/>
          <w:u w:val="single"/>
        </w:rPr>
        <w:t xml:space="preserve"> </w:t>
      </w:r>
    </w:p>
    <w:p w14:paraId="6F3C6B3D" w14:textId="350F7482" w:rsidR="00954054" w:rsidRPr="00E01239" w:rsidRDefault="00954054" w:rsidP="00954054">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travaux prévus dans le cadre du FSRP-SN</w:t>
      </w:r>
      <w:r w:rsidRPr="00E01239" w:rsidDel="00806A39">
        <w:rPr>
          <w:rFonts w:asciiTheme="minorHAnsi" w:hAnsiTheme="minorHAnsi" w:cstheme="minorHAnsi"/>
          <w:sz w:val="22"/>
          <w:szCs w:val="22"/>
        </w:rPr>
        <w:t xml:space="preserve"> </w:t>
      </w:r>
      <w:r w:rsidRPr="00E01239">
        <w:rPr>
          <w:rFonts w:asciiTheme="minorHAnsi" w:hAnsiTheme="minorHAnsi" w:cstheme="minorHAnsi"/>
          <w:sz w:val="22"/>
          <w:szCs w:val="22"/>
        </w:rPr>
        <w:t>peuvent induire des pertes d’accès aux ressources naturelles sous deux formes à considérer :</w:t>
      </w:r>
    </w:p>
    <w:p w14:paraId="5B40C97E" w14:textId="28B8592B" w:rsidR="00954054" w:rsidRPr="00E01239" w:rsidRDefault="00954054" w:rsidP="00954054">
      <w:pPr>
        <w:pStyle w:val="Paragraphedeliste"/>
        <w:numPr>
          <w:ilvl w:val="0"/>
          <w:numId w:val="106"/>
        </w:num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perte totale qui signifie que la ressource est détruite ou impossible d’accès (éloignement ou protection) dans ce cas, il faut un remplacement ou la proposition d’une alternative viable qui comprend un temps d’appropriation ;</w:t>
      </w:r>
    </w:p>
    <w:p w14:paraId="595692B6" w14:textId="231750C6" w:rsidR="00954054" w:rsidRPr="00E01239" w:rsidRDefault="00954054" w:rsidP="00954054">
      <w:pPr>
        <w:pStyle w:val="Paragraphedeliste"/>
        <w:numPr>
          <w:ilvl w:val="0"/>
          <w:numId w:val="106"/>
        </w:num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La perte partielle qui implique que la ressource est diminuée et n’offre donc plus toute la disponibilité d’antan aux usagers.</w:t>
      </w:r>
    </w:p>
    <w:p w14:paraId="3765A19D" w14:textId="77777777" w:rsidR="00954054" w:rsidRPr="00E01239" w:rsidRDefault="00954054" w:rsidP="00954054">
      <w:pPr>
        <w:autoSpaceDE w:val="0"/>
        <w:autoSpaceDN w:val="0"/>
        <w:adjustRightInd w:val="0"/>
        <w:spacing w:before="120" w:line="280" w:lineRule="exact"/>
        <w:jc w:val="both"/>
        <w:rPr>
          <w:rFonts w:asciiTheme="minorHAnsi" w:hAnsiTheme="minorHAnsi" w:cstheme="minorHAnsi"/>
          <w:sz w:val="22"/>
          <w:szCs w:val="22"/>
        </w:rPr>
      </w:pPr>
    </w:p>
    <w:p w14:paraId="5683F76D" w14:textId="2A9441CF" w:rsidR="00F05F3F" w:rsidRPr="00E01239" w:rsidRDefault="197ECFD1" w:rsidP="0011733B">
      <w:pPr>
        <w:pStyle w:val="Titre4"/>
        <w:spacing w:before="120" w:line="280" w:lineRule="exact"/>
        <w:ind w:left="1843" w:hanging="992"/>
        <w:contextualSpacing w:val="0"/>
        <w:rPr>
          <w:rFonts w:asciiTheme="minorHAnsi" w:hAnsiTheme="minorHAnsi" w:cstheme="minorHAnsi"/>
          <w:u w:val="single"/>
        </w:rPr>
      </w:pPr>
      <w:bookmarkStart w:id="670" w:name="_Toc144654128"/>
      <w:r w:rsidRPr="00E01239">
        <w:rPr>
          <w:rFonts w:asciiTheme="minorHAnsi" w:hAnsiTheme="minorHAnsi" w:cstheme="minorBidi"/>
          <w:u w:val="single"/>
        </w:rPr>
        <w:t>Pertes de terres</w:t>
      </w:r>
      <w:r w:rsidR="09E95A80" w:rsidRPr="00E01239">
        <w:rPr>
          <w:rFonts w:asciiTheme="minorHAnsi" w:hAnsiTheme="minorHAnsi" w:cstheme="minorBidi"/>
          <w:u w:val="single"/>
        </w:rPr>
        <w:t>, de</w:t>
      </w:r>
      <w:r w:rsidRPr="00E01239">
        <w:rPr>
          <w:rFonts w:asciiTheme="minorHAnsi" w:hAnsiTheme="minorHAnsi" w:cstheme="minorBidi"/>
          <w:u w:val="single"/>
        </w:rPr>
        <w:t xml:space="preserve"> biens </w:t>
      </w:r>
      <w:r w:rsidR="09E95A80" w:rsidRPr="00E01239">
        <w:rPr>
          <w:rFonts w:asciiTheme="minorHAnsi" w:hAnsiTheme="minorHAnsi" w:cstheme="minorBidi"/>
          <w:u w:val="single"/>
        </w:rPr>
        <w:t>et de moyens de subsistance</w:t>
      </w:r>
      <w:bookmarkEnd w:id="670"/>
      <w:r w:rsidR="09E95A80" w:rsidRPr="00E01239">
        <w:rPr>
          <w:rFonts w:asciiTheme="minorHAnsi" w:hAnsiTheme="minorHAnsi" w:cstheme="minorBidi"/>
          <w:u w:val="single"/>
        </w:rPr>
        <w:t xml:space="preserve"> </w:t>
      </w:r>
      <w:r w:rsidRPr="00E01239">
        <w:rPr>
          <w:rFonts w:asciiTheme="minorHAnsi" w:hAnsiTheme="minorHAnsi" w:cstheme="minorBidi"/>
          <w:u w:val="single"/>
        </w:rPr>
        <w:t xml:space="preserve"> </w:t>
      </w:r>
    </w:p>
    <w:p w14:paraId="1FB7F621" w14:textId="149321C3" w:rsidR="00F05F3F" w:rsidRPr="00E01239" w:rsidRDefault="00F05F3F"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réalisation des travaux prévus dans le cadre du FSRP-SN</w:t>
      </w:r>
      <w:r w:rsidRPr="00E01239" w:rsidDel="00806A39">
        <w:rPr>
          <w:rFonts w:asciiTheme="minorHAnsi" w:hAnsiTheme="minorHAnsi" w:cstheme="minorHAnsi"/>
          <w:sz w:val="22"/>
          <w:szCs w:val="22"/>
        </w:rPr>
        <w:t xml:space="preserve"> </w:t>
      </w:r>
      <w:r w:rsidRPr="00E01239">
        <w:rPr>
          <w:rFonts w:asciiTheme="minorHAnsi" w:hAnsiTheme="minorHAnsi" w:cstheme="minorHAnsi"/>
          <w:sz w:val="22"/>
          <w:szCs w:val="22"/>
        </w:rPr>
        <w:t xml:space="preserve">peut induire des pertes de terres et autres biens </w:t>
      </w:r>
      <w:r w:rsidR="0007777C" w:rsidRPr="00E01239">
        <w:rPr>
          <w:rFonts w:asciiTheme="minorHAnsi" w:hAnsiTheme="minorHAnsi" w:cstheme="minorHAnsi"/>
          <w:sz w:val="22"/>
          <w:szCs w:val="22"/>
        </w:rPr>
        <w:t xml:space="preserve">ainsi </w:t>
      </w:r>
      <w:r w:rsidR="00590B9C">
        <w:rPr>
          <w:rFonts w:asciiTheme="minorHAnsi" w:hAnsiTheme="minorHAnsi" w:cstheme="minorHAnsi"/>
          <w:sz w:val="22"/>
          <w:szCs w:val="22"/>
        </w:rPr>
        <w:t xml:space="preserve">que </w:t>
      </w:r>
      <w:r w:rsidR="0007777C" w:rsidRPr="00E01239">
        <w:rPr>
          <w:rFonts w:asciiTheme="minorHAnsi" w:hAnsiTheme="minorHAnsi" w:cstheme="minorHAnsi"/>
          <w:sz w:val="22"/>
          <w:szCs w:val="22"/>
        </w:rPr>
        <w:t xml:space="preserve">des moyens de subsistance </w:t>
      </w:r>
      <w:r w:rsidRPr="00E01239">
        <w:rPr>
          <w:rFonts w:asciiTheme="minorHAnsi" w:hAnsiTheme="minorHAnsi" w:cstheme="minorHAnsi"/>
          <w:sz w:val="22"/>
          <w:szCs w:val="22"/>
        </w:rPr>
        <w:t xml:space="preserve">notamment </w:t>
      </w:r>
      <w:r w:rsidR="0007777C" w:rsidRPr="00E01239">
        <w:rPr>
          <w:rFonts w:asciiTheme="minorHAnsi" w:hAnsiTheme="minorHAnsi" w:cstheme="minorHAnsi"/>
          <w:sz w:val="22"/>
          <w:szCs w:val="22"/>
        </w:rPr>
        <w:t>en cas d’acquisition de terres pour la mise en place de certaines infrastructures com</w:t>
      </w:r>
      <w:r w:rsidR="009C5B12">
        <w:rPr>
          <w:rFonts w:asciiTheme="minorHAnsi" w:hAnsiTheme="minorHAnsi" w:cstheme="minorHAnsi"/>
          <w:sz w:val="22"/>
          <w:szCs w:val="22"/>
        </w:rPr>
        <w:t>m</w:t>
      </w:r>
      <w:r w:rsidR="0007777C" w:rsidRPr="00E01239">
        <w:rPr>
          <w:rFonts w:asciiTheme="minorHAnsi" w:hAnsiTheme="minorHAnsi" w:cstheme="minorHAnsi"/>
          <w:sz w:val="22"/>
          <w:szCs w:val="22"/>
        </w:rPr>
        <w:t xml:space="preserve">e </w:t>
      </w:r>
      <w:r w:rsidRPr="00E01239">
        <w:rPr>
          <w:rFonts w:asciiTheme="minorHAnsi" w:hAnsiTheme="minorHAnsi" w:cstheme="minorHAnsi"/>
          <w:sz w:val="22"/>
          <w:szCs w:val="22"/>
        </w:rPr>
        <w:t xml:space="preserve">les sites d’implantation des postes vétérinaires, </w:t>
      </w:r>
      <w:r w:rsidR="00E5478E" w:rsidRPr="00E01239">
        <w:rPr>
          <w:rFonts w:asciiTheme="minorHAnsi" w:hAnsiTheme="minorHAnsi" w:cstheme="minorHAnsi"/>
          <w:iCs/>
          <w:sz w:val="22"/>
          <w:szCs w:val="22"/>
        </w:rPr>
        <w:t xml:space="preserve">les </w:t>
      </w:r>
      <w:r w:rsidRPr="00E01239">
        <w:rPr>
          <w:rFonts w:asciiTheme="minorHAnsi" w:hAnsiTheme="minorHAnsi" w:cstheme="minorHAnsi"/>
          <w:iCs/>
          <w:sz w:val="22"/>
          <w:szCs w:val="22"/>
        </w:rPr>
        <w:t xml:space="preserve">plateformes de production de porcs, </w:t>
      </w:r>
      <w:r w:rsidR="00E5478E" w:rsidRPr="00E01239">
        <w:rPr>
          <w:rFonts w:asciiTheme="minorHAnsi" w:hAnsiTheme="minorHAnsi" w:cstheme="minorHAnsi"/>
          <w:iCs/>
          <w:sz w:val="22"/>
          <w:szCs w:val="22"/>
        </w:rPr>
        <w:t xml:space="preserve">les </w:t>
      </w:r>
      <w:r w:rsidRPr="00E01239">
        <w:rPr>
          <w:rFonts w:asciiTheme="minorHAnsi" w:hAnsiTheme="minorHAnsi" w:cstheme="minorHAnsi"/>
          <w:iCs/>
          <w:sz w:val="22"/>
          <w:szCs w:val="22"/>
        </w:rPr>
        <w:t xml:space="preserve">parcs à vaccination, </w:t>
      </w:r>
      <w:r w:rsidR="00E5478E" w:rsidRPr="00E01239">
        <w:rPr>
          <w:rFonts w:asciiTheme="minorHAnsi" w:hAnsiTheme="minorHAnsi" w:cstheme="minorHAnsi"/>
          <w:iCs/>
          <w:sz w:val="22"/>
          <w:szCs w:val="22"/>
        </w:rPr>
        <w:t xml:space="preserve">les </w:t>
      </w:r>
      <w:r w:rsidRPr="00E01239">
        <w:rPr>
          <w:rFonts w:asciiTheme="minorHAnsi" w:hAnsiTheme="minorHAnsi" w:cstheme="minorHAnsi"/>
          <w:iCs/>
          <w:sz w:val="22"/>
          <w:szCs w:val="22"/>
        </w:rPr>
        <w:t xml:space="preserve">laboratoires régionaux de contrôle des semences, </w:t>
      </w:r>
      <w:r w:rsidR="00BC15E7" w:rsidRPr="00E01239">
        <w:rPr>
          <w:rFonts w:asciiTheme="minorHAnsi" w:hAnsiTheme="minorHAnsi" w:cstheme="minorHAnsi"/>
          <w:iCs/>
          <w:sz w:val="22"/>
          <w:szCs w:val="22"/>
        </w:rPr>
        <w:t>etc.</w:t>
      </w:r>
    </w:p>
    <w:p w14:paraId="6F6A082F" w14:textId="5E42DFE4" w:rsidR="00F05F3F" w:rsidRPr="00E01239" w:rsidRDefault="00F05F3F"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Dès lors, ces impacts sociaux nécessitent la mise en œuvre d’une procédure d’acquisition de terres et de réinstallation. Cette procédure </w:t>
      </w:r>
      <w:r w:rsidR="00E5478E" w:rsidRPr="00E01239">
        <w:rPr>
          <w:rFonts w:asciiTheme="minorHAnsi" w:hAnsiTheme="minorHAnsi" w:cstheme="minorHAnsi"/>
          <w:sz w:val="22"/>
          <w:szCs w:val="22"/>
        </w:rPr>
        <w:t>doit être</w:t>
      </w:r>
      <w:r w:rsidRPr="00E01239">
        <w:rPr>
          <w:rFonts w:asciiTheme="minorHAnsi" w:hAnsiTheme="minorHAnsi" w:cstheme="minorHAnsi"/>
          <w:sz w:val="22"/>
          <w:szCs w:val="22"/>
        </w:rPr>
        <w:t xml:space="preserve"> conform</w:t>
      </w:r>
      <w:r w:rsidR="00E5478E" w:rsidRPr="00E01239">
        <w:rPr>
          <w:rFonts w:asciiTheme="minorHAnsi" w:hAnsiTheme="minorHAnsi" w:cstheme="minorHAnsi"/>
          <w:sz w:val="22"/>
          <w:szCs w:val="22"/>
        </w:rPr>
        <w:t>e à la</w:t>
      </w:r>
      <w:r w:rsidRPr="00E01239">
        <w:rPr>
          <w:rFonts w:asciiTheme="minorHAnsi" w:hAnsiTheme="minorHAnsi" w:cstheme="minorHAnsi"/>
          <w:sz w:val="22"/>
          <w:szCs w:val="22"/>
        </w:rPr>
        <w:t xml:space="preserve"> NES n°5 de la Banque mondiale </w:t>
      </w:r>
      <w:r w:rsidR="00E5478E" w:rsidRPr="00E01239">
        <w:rPr>
          <w:rFonts w:asciiTheme="minorHAnsi" w:hAnsiTheme="minorHAnsi" w:cstheme="minorHAnsi"/>
          <w:sz w:val="22"/>
          <w:szCs w:val="22"/>
        </w:rPr>
        <w:t xml:space="preserve">tel que discuté dans le </w:t>
      </w:r>
      <w:r w:rsidRPr="00E01239">
        <w:rPr>
          <w:rFonts w:asciiTheme="minorHAnsi" w:hAnsiTheme="minorHAnsi" w:cstheme="minorHAnsi"/>
          <w:sz w:val="22"/>
          <w:szCs w:val="22"/>
        </w:rPr>
        <w:t>Cadre de Politique de Réinstallation du FSRP-SN élaboré dans un volume séparé.</w:t>
      </w:r>
    </w:p>
    <w:p w14:paraId="4E53E1D7" w14:textId="77777777" w:rsidR="0004352F" w:rsidRDefault="0004352F" w:rsidP="00263B8A">
      <w:pPr>
        <w:spacing w:before="120" w:line="280" w:lineRule="exact"/>
        <w:rPr>
          <w:rFonts w:asciiTheme="minorHAnsi" w:hAnsiTheme="minorHAnsi" w:cstheme="minorHAnsi"/>
          <w:sz w:val="22"/>
          <w:szCs w:val="22"/>
        </w:rPr>
      </w:pPr>
    </w:p>
    <w:p w14:paraId="3C904355" w14:textId="17EB4B3F" w:rsidR="0004352F" w:rsidRDefault="0004352F" w:rsidP="00522938">
      <w:pPr>
        <w:pStyle w:val="Titre3"/>
        <w:spacing w:before="120" w:line="280" w:lineRule="exact"/>
        <w:ind w:left="1276"/>
        <w:contextualSpacing w:val="0"/>
        <w:rPr>
          <w:rFonts w:asciiTheme="minorHAnsi" w:hAnsiTheme="minorHAnsi" w:cstheme="minorHAnsi"/>
        </w:rPr>
      </w:pPr>
      <w:r>
        <w:rPr>
          <w:rFonts w:asciiTheme="minorHAnsi" w:hAnsiTheme="minorHAnsi" w:cstheme="minorHAnsi"/>
        </w:rPr>
        <w:t>Impacts et risques en phase de repli de chantier</w:t>
      </w:r>
    </w:p>
    <w:p w14:paraId="2375A34A" w14:textId="2EC7A5E4" w:rsidR="00DE2674" w:rsidRPr="00522938" w:rsidRDefault="00DE2674" w:rsidP="00522938">
      <w:pPr>
        <w:autoSpaceDE w:val="0"/>
        <w:autoSpaceDN w:val="0"/>
        <w:adjustRightInd w:val="0"/>
        <w:spacing w:before="120" w:line="280" w:lineRule="exact"/>
        <w:jc w:val="both"/>
        <w:rPr>
          <w:rFonts w:asciiTheme="minorHAnsi" w:hAnsiTheme="minorHAnsi" w:cstheme="minorHAnsi"/>
          <w:sz w:val="22"/>
          <w:szCs w:val="22"/>
        </w:rPr>
      </w:pPr>
      <w:r w:rsidRPr="00522938">
        <w:rPr>
          <w:rFonts w:asciiTheme="minorHAnsi" w:hAnsiTheme="minorHAnsi" w:cstheme="minorHAnsi"/>
          <w:sz w:val="22"/>
          <w:szCs w:val="22"/>
        </w:rPr>
        <w:t>Après exécution complète des travaux, les entreprises de travaux vont rentrer dans une phase de démobilisation et de repli du chantier. Cette phase implique le démantèlement et évacuation de toutes les installations (containers, aires bétonnées, ferraillage, remblais de plus de 5 cm, etc.) ; Nettoyage et évacuation des déchets conformément au Plan de Gestion des Déchets ; Décontamination du sol souillé (décapage et évacuation</w:t>
      </w:r>
      <w:r>
        <w:rPr>
          <w:rFonts w:asciiTheme="minorHAnsi" w:hAnsiTheme="minorHAnsi" w:cstheme="minorHAnsi"/>
          <w:sz w:val="22"/>
          <w:szCs w:val="22"/>
        </w:rPr>
        <w:t>).</w:t>
      </w:r>
    </w:p>
    <w:p w14:paraId="73061357" w14:textId="77777777" w:rsidR="00DE2674" w:rsidRPr="00522938" w:rsidRDefault="00DE2674" w:rsidP="00522938">
      <w:pPr>
        <w:autoSpaceDE w:val="0"/>
        <w:autoSpaceDN w:val="0"/>
        <w:adjustRightInd w:val="0"/>
        <w:spacing w:before="120" w:line="280" w:lineRule="exact"/>
        <w:jc w:val="both"/>
        <w:rPr>
          <w:rFonts w:asciiTheme="minorHAnsi" w:hAnsiTheme="minorHAnsi" w:cstheme="minorHAnsi"/>
          <w:sz w:val="22"/>
          <w:szCs w:val="22"/>
        </w:rPr>
      </w:pPr>
      <w:r w:rsidRPr="00522938">
        <w:rPr>
          <w:rFonts w:asciiTheme="minorHAnsi" w:hAnsiTheme="minorHAnsi" w:cstheme="minorHAnsi"/>
          <w:sz w:val="22"/>
          <w:szCs w:val="22"/>
        </w:rPr>
        <w:t>La phase de démobilisation des entreprises est susceptible d’induire plusieurs niveaux d’impact environnemental et social si le processus n’est pas encadré de façon spécifique dans les cahiers de charge de ces dernières.</w:t>
      </w:r>
    </w:p>
    <w:p w14:paraId="4B20D90E" w14:textId="77777777" w:rsidR="00DE2674" w:rsidRPr="00522938" w:rsidRDefault="00DE2674" w:rsidP="00522938">
      <w:pPr>
        <w:autoSpaceDE w:val="0"/>
        <w:autoSpaceDN w:val="0"/>
        <w:adjustRightInd w:val="0"/>
        <w:spacing w:before="120" w:line="280" w:lineRule="exact"/>
        <w:jc w:val="both"/>
        <w:rPr>
          <w:rFonts w:asciiTheme="minorHAnsi" w:hAnsiTheme="minorHAnsi" w:cstheme="minorHAnsi"/>
          <w:sz w:val="22"/>
          <w:szCs w:val="22"/>
        </w:rPr>
      </w:pPr>
      <w:r w:rsidRPr="00522938">
        <w:rPr>
          <w:rFonts w:asciiTheme="minorHAnsi" w:hAnsiTheme="minorHAnsi" w:cstheme="minorHAnsi"/>
          <w:sz w:val="22"/>
          <w:szCs w:val="22"/>
        </w:rPr>
        <w:t>Pendant la phase de démobilisation et de repli de chantier, les activités sources d’impact sont principalement :</w:t>
      </w:r>
    </w:p>
    <w:p w14:paraId="4633D004" w14:textId="77777777" w:rsidR="00DE2674" w:rsidRPr="00522938" w:rsidRDefault="00DE2674" w:rsidP="00522938">
      <w:pPr>
        <w:pStyle w:val="Paragraphedeliste"/>
        <w:numPr>
          <w:ilvl w:val="0"/>
          <w:numId w:val="210"/>
        </w:numPr>
        <w:autoSpaceDE w:val="0"/>
        <w:autoSpaceDN w:val="0"/>
        <w:adjustRightInd w:val="0"/>
        <w:spacing w:before="120" w:line="280" w:lineRule="exact"/>
        <w:jc w:val="both"/>
        <w:rPr>
          <w:rFonts w:asciiTheme="minorHAnsi" w:hAnsiTheme="minorHAnsi" w:cstheme="minorHAnsi"/>
          <w:sz w:val="22"/>
          <w:szCs w:val="22"/>
        </w:rPr>
      </w:pPr>
      <w:proofErr w:type="gramStart"/>
      <w:r w:rsidRPr="00522938">
        <w:rPr>
          <w:rFonts w:asciiTheme="minorHAnsi" w:hAnsiTheme="minorHAnsi" w:cstheme="minorHAnsi"/>
          <w:sz w:val="22"/>
          <w:szCs w:val="22"/>
        </w:rPr>
        <w:lastRenderedPageBreak/>
        <w:t>le</w:t>
      </w:r>
      <w:proofErr w:type="gramEnd"/>
      <w:r w:rsidRPr="00522938">
        <w:rPr>
          <w:rFonts w:asciiTheme="minorHAnsi" w:hAnsiTheme="minorHAnsi" w:cstheme="minorHAnsi"/>
          <w:sz w:val="22"/>
          <w:szCs w:val="22"/>
        </w:rPr>
        <w:t xml:space="preserve"> démontage des installations préfabriquées au niveau des installations de chantier,</w:t>
      </w:r>
    </w:p>
    <w:p w14:paraId="4CC012CD" w14:textId="77777777" w:rsidR="00DE2674" w:rsidRPr="00522938" w:rsidRDefault="00DE2674" w:rsidP="00522938">
      <w:pPr>
        <w:pStyle w:val="Paragraphedeliste"/>
        <w:numPr>
          <w:ilvl w:val="0"/>
          <w:numId w:val="210"/>
        </w:numPr>
        <w:autoSpaceDE w:val="0"/>
        <w:autoSpaceDN w:val="0"/>
        <w:adjustRightInd w:val="0"/>
        <w:spacing w:before="120" w:line="280" w:lineRule="exact"/>
        <w:jc w:val="both"/>
        <w:rPr>
          <w:rFonts w:asciiTheme="minorHAnsi" w:hAnsiTheme="minorHAnsi" w:cstheme="minorHAnsi"/>
          <w:sz w:val="22"/>
          <w:szCs w:val="22"/>
        </w:rPr>
      </w:pPr>
      <w:proofErr w:type="gramStart"/>
      <w:r w:rsidRPr="00522938">
        <w:rPr>
          <w:rFonts w:asciiTheme="minorHAnsi" w:hAnsiTheme="minorHAnsi" w:cstheme="minorHAnsi"/>
          <w:sz w:val="22"/>
          <w:szCs w:val="22"/>
        </w:rPr>
        <w:t>la</w:t>
      </w:r>
      <w:proofErr w:type="gramEnd"/>
      <w:r w:rsidRPr="00522938">
        <w:rPr>
          <w:rFonts w:asciiTheme="minorHAnsi" w:hAnsiTheme="minorHAnsi" w:cstheme="minorHAnsi"/>
          <w:sz w:val="22"/>
          <w:szCs w:val="22"/>
        </w:rPr>
        <w:t xml:space="preserve"> libération des sites d’installation de chantier</w:t>
      </w:r>
    </w:p>
    <w:p w14:paraId="7F9E2B25" w14:textId="77777777" w:rsidR="00DE2674" w:rsidRPr="00522938" w:rsidRDefault="00DE2674" w:rsidP="00522938">
      <w:pPr>
        <w:pStyle w:val="Paragraphedeliste"/>
        <w:numPr>
          <w:ilvl w:val="0"/>
          <w:numId w:val="210"/>
        </w:numPr>
        <w:autoSpaceDE w:val="0"/>
        <w:autoSpaceDN w:val="0"/>
        <w:adjustRightInd w:val="0"/>
        <w:spacing w:before="120" w:line="280" w:lineRule="exact"/>
        <w:jc w:val="both"/>
        <w:rPr>
          <w:rFonts w:asciiTheme="minorHAnsi" w:hAnsiTheme="minorHAnsi" w:cstheme="minorHAnsi"/>
          <w:sz w:val="22"/>
          <w:szCs w:val="22"/>
        </w:rPr>
      </w:pPr>
      <w:proofErr w:type="gramStart"/>
      <w:r w:rsidRPr="00522938">
        <w:rPr>
          <w:rFonts w:asciiTheme="minorHAnsi" w:hAnsiTheme="minorHAnsi" w:cstheme="minorHAnsi"/>
          <w:sz w:val="22"/>
          <w:szCs w:val="22"/>
        </w:rPr>
        <w:t>la</w:t>
      </w:r>
      <w:proofErr w:type="gramEnd"/>
      <w:r w:rsidRPr="00522938">
        <w:rPr>
          <w:rFonts w:asciiTheme="minorHAnsi" w:hAnsiTheme="minorHAnsi" w:cstheme="minorHAnsi"/>
          <w:sz w:val="22"/>
          <w:szCs w:val="22"/>
        </w:rPr>
        <w:t xml:space="preserve"> libération des zones d’emprunt,</w:t>
      </w:r>
    </w:p>
    <w:p w14:paraId="71EA2120" w14:textId="77777777" w:rsidR="00DE2674" w:rsidRPr="00522938" w:rsidRDefault="00DE2674" w:rsidP="00522938">
      <w:pPr>
        <w:autoSpaceDE w:val="0"/>
        <w:autoSpaceDN w:val="0"/>
        <w:adjustRightInd w:val="0"/>
        <w:spacing w:before="120" w:line="280" w:lineRule="exact"/>
        <w:jc w:val="both"/>
        <w:rPr>
          <w:rFonts w:asciiTheme="minorHAnsi" w:hAnsiTheme="minorHAnsi" w:cstheme="minorHAnsi"/>
          <w:sz w:val="22"/>
          <w:szCs w:val="22"/>
        </w:rPr>
      </w:pPr>
      <w:r w:rsidRPr="00522938">
        <w:rPr>
          <w:rFonts w:asciiTheme="minorHAnsi" w:hAnsiTheme="minorHAnsi" w:cstheme="minorHAnsi"/>
          <w:sz w:val="22"/>
          <w:szCs w:val="22"/>
        </w:rPr>
        <w:t>L’absence de mesures de repli de chantier pourrait induire un ensemble d’impacts négatifs sur le plan environnemental :</w:t>
      </w:r>
    </w:p>
    <w:p w14:paraId="3E05BE0A" w14:textId="77777777" w:rsidR="00DE2674" w:rsidRPr="00522938" w:rsidRDefault="00DE2674" w:rsidP="00522938">
      <w:pPr>
        <w:pStyle w:val="Paragraphedeliste"/>
        <w:numPr>
          <w:ilvl w:val="0"/>
          <w:numId w:val="210"/>
        </w:numPr>
        <w:autoSpaceDE w:val="0"/>
        <w:autoSpaceDN w:val="0"/>
        <w:adjustRightInd w:val="0"/>
        <w:spacing w:before="120" w:line="280" w:lineRule="exact"/>
        <w:jc w:val="both"/>
        <w:rPr>
          <w:rFonts w:asciiTheme="minorHAnsi" w:hAnsiTheme="minorHAnsi" w:cstheme="minorHAnsi"/>
          <w:sz w:val="22"/>
          <w:szCs w:val="22"/>
        </w:rPr>
      </w:pPr>
      <w:proofErr w:type="gramStart"/>
      <w:r w:rsidRPr="00522938">
        <w:rPr>
          <w:rFonts w:asciiTheme="minorHAnsi" w:hAnsiTheme="minorHAnsi" w:cstheme="minorHAnsi"/>
          <w:sz w:val="22"/>
          <w:szCs w:val="22"/>
        </w:rPr>
        <w:t>des</w:t>
      </w:r>
      <w:proofErr w:type="gramEnd"/>
      <w:r w:rsidRPr="00522938">
        <w:rPr>
          <w:rFonts w:asciiTheme="minorHAnsi" w:hAnsiTheme="minorHAnsi" w:cstheme="minorHAnsi"/>
          <w:sz w:val="22"/>
          <w:szCs w:val="22"/>
        </w:rPr>
        <w:t xml:space="preserve"> quantités de déchets banals et dangereux non évacués,</w:t>
      </w:r>
    </w:p>
    <w:p w14:paraId="7D585162" w14:textId="77777777" w:rsidR="00DE2674" w:rsidRPr="00522938" w:rsidRDefault="00DE2674" w:rsidP="00522938">
      <w:pPr>
        <w:pStyle w:val="Paragraphedeliste"/>
        <w:numPr>
          <w:ilvl w:val="0"/>
          <w:numId w:val="210"/>
        </w:numPr>
        <w:autoSpaceDE w:val="0"/>
        <w:autoSpaceDN w:val="0"/>
        <w:adjustRightInd w:val="0"/>
        <w:spacing w:before="120" w:line="280" w:lineRule="exact"/>
        <w:jc w:val="both"/>
        <w:rPr>
          <w:rFonts w:asciiTheme="minorHAnsi" w:hAnsiTheme="minorHAnsi" w:cstheme="minorHAnsi"/>
          <w:sz w:val="22"/>
          <w:szCs w:val="22"/>
        </w:rPr>
      </w:pPr>
      <w:proofErr w:type="gramStart"/>
      <w:r w:rsidRPr="00522938">
        <w:rPr>
          <w:rFonts w:asciiTheme="minorHAnsi" w:hAnsiTheme="minorHAnsi" w:cstheme="minorHAnsi"/>
          <w:sz w:val="22"/>
          <w:szCs w:val="22"/>
        </w:rPr>
        <w:t>une</w:t>
      </w:r>
      <w:proofErr w:type="gramEnd"/>
      <w:r w:rsidRPr="00522938">
        <w:rPr>
          <w:rFonts w:asciiTheme="minorHAnsi" w:hAnsiTheme="minorHAnsi" w:cstheme="minorHAnsi"/>
          <w:sz w:val="22"/>
          <w:szCs w:val="22"/>
        </w:rPr>
        <w:t xml:space="preserve"> contamination du sol,</w:t>
      </w:r>
    </w:p>
    <w:p w14:paraId="40370EF1" w14:textId="77777777" w:rsidR="00DE2674" w:rsidRPr="00522938" w:rsidRDefault="00DE2674" w:rsidP="00522938">
      <w:pPr>
        <w:pStyle w:val="Paragraphedeliste"/>
        <w:numPr>
          <w:ilvl w:val="0"/>
          <w:numId w:val="210"/>
        </w:numPr>
        <w:autoSpaceDE w:val="0"/>
        <w:autoSpaceDN w:val="0"/>
        <w:adjustRightInd w:val="0"/>
        <w:spacing w:before="120" w:line="280" w:lineRule="exact"/>
        <w:jc w:val="both"/>
        <w:rPr>
          <w:rFonts w:asciiTheme="minorHAnsi" w:hAnsiTheme="minorHAnsi" w:cstheme="minorHAnsi"/>
          <w:sz w:val="22"/>
          <w:szCs w:val="22"/>
        </w:rPr>
      </w:pPr>
      <w:proofErr w:type="gramStart"/>
      <w:r w:rsidRPr="00522938">
        <w:rPr>
          <w:rFonts w:asciiTheme="minorHAnsi" w:hAnsiTheme="minorHAnsi" w:cstheme="minorHAnsi"/>
          <w:sz w:val="22"/>
          <w:szCs w:val="22"/>
        </w:rPr>
        <w:t>des</w:t>
      </w:r>
      <w:proofErr w:type="gramEnd"/>
      <w:r w:rsidRPr="00522938">
        <w:rPr>
          <w:rFonts w:asciiTheme="minorHAnsi" w:hAnsiTheme="minorHAnsi" w:cstheme="minorHAnsi"/>
          <w:sz w:val="22"/>
          <w:szCs w:val="22"/>
        </w:rPr>
        <w:t xml:space="preserve"> containers utilisés pour des usages prohibés ou sources de tension sociale,</w:t>
      </w:r>
    </w:p>
    <w:p w14:paraId="1B451496" w14:textId="77777777" w:rsidR="00DE2674" w:rsidRPr="00522938" w:rsidRDefault="00DE2674" w:rsidP="00522938">
      <w:pPr>
        <w:pStyle w:val="Paragraphedeliste"/>
        <w:numPr>
          <w:ilvl w:val="0"/>
          <w:numId w:val="210"/>
        </w:numPr>
        <w:autoSpaceDE w:val="0"/>
        <w:autoSpaceDN w:val="0"/>
        <w:adjustRightInd w:val="0"/>
        <w:spacing w:before="120" w:line="280" w:lineRule="exact"/>
        <w:jc w:val="both"/>
        <w:rPr>
          <w:rFonts w:asciiTheme="minorHAnsi" w:hAnsiTheme="minorHAnsi" w:cstheme="minorHAnsi"/>
          <w:sz w:val="22"/>
          <w:szCs w:val="22"/>
        </w:rPr>
      </w:pPr>
      <w:proofErr w:type="gramStart"/>
      <w:r w:rsidRPr="00522938">
        <w:rPr>
          <w:rFonts w:asciiTheme="minorHAnsi" w:hAnsiTheme="minorHAnsi" w:cstheme="minorHAnsi"/>
          <w:sz w:val="22"/>
          <w:szCs w:val="22"/>
        </w:rPr>
        <w:t>des</w:t>
      </w:r>
      <w:proofErr w:type="gramEnd"/>
      <w:r w:rsidRPr="00522938">
        <w:rPr>
          <w:rFonts w:asciiTheme="minorHAnsi" w:hAnsiTheme="minorHAnsi" w:cstheme="minorHAnsi"/>
          <w:sz w:val="22"/>
          <w:szCs w:val="22"/>
        </w:rPr>
        <w:t xml:space="preserve"> risques sécuritaires au niveau des excavations dans les zones d’emprunt (risque de noyage, de chute), </w:t>
      </w:r>
    </w:p>
    <w:p w14:paraId="70B3F800" w14:textId="5DE1D23A" w:rsidR="0004352F" w:rsidRPr="00E01239" w:rsidRDefault="00DE2674" w:rsidP="00263B8A">
      <w:pPr>
        <w:spacing w:before="120" w:line="280" w:lineRule="exact"/>
        <w:rPr>
          <w:rFonts w:asciiTheme="minorHAnsi" w:hAnsiTheme="minorHAnsi" w:cstheme="minorHAnsi"/>
          <w:sz w:val="22"/>
          <w:szCs w:val="22"/>
        </w:rPr>
      </w:pPr>
      <w:r w:rsidRPr="00522938">
        <w:rPr>
          <w:rFonts w:asciiTheme="minorHAnsi" w:hAnsiTheme="minorHAnsi" w:cstheme="minorHAnsi"/>
          <w:sz w:val="22"/>
          <w:szCs w:val="22"/>
        </w:rPr>
        <w:t>etc.</w:t>
      </w:r>
    </w:p>
    <w:p w14:paraId="6D2B54C6" w14:textId="539DEA62" w:rsidR="004F5604" w:rsidRPr="00E01239" w:rsidRDefault="004F5604" w:rsidP="0011733B">
      <w:pPr>
        <w:pStyle w:val="Titre3"/>
        <w:spacing w:before="120" w:line="280" w:lineRule="exact"/>
        <w:ind w:left="1276"/>
        <w:contextualSpacing w:val="0"/>
        <w:rPr>
          <w:rFonts w:asciiTheme="minorHAnsi" w:hAnsiTheme="minorHAnsi" w:cstheme="minorHAnsi"/>
        </w:rPr>
      </w:pPr>
      <w:bookmarkStart w:id="671" w:name="_Toc144654129"/>
      <w:r w:rsidRPr="00E01239">
        <w:rPr>
          <w:rFonts w:asciiTheme="minorHAnsi" w:hAnsiTheme="minorHAnsi" w:cstheme="minorHAnsi"/>
        </w:rPr>
        <w:t>Identification des principaux impacts négatifs</w:t>
      </w:r>
      <w:r w:rsidR="00733C77" w:rsidRPr="00E01239">
        <w:rPr>
          <w:rFonts w:asciiTheme="minorHAnsi" w:hAnsiTheme="minorHAnsi" w:cstheme="minorHAnsi"/>
        </w:rPr>
        <w:t xml:space="preserve"> transversaux aux secteurs agricoles et pastoraux</w:t>
      </w:r>
      <w:bookmarkEnd w:id="671"/>
    </w:p>
    <w:p w14:paraId="009CBFAF" w14:textId="187251DA" w:rsidR="00733C77" w:rsidRPr="00E01239" w:rsidRDefault="00733C77" w:rsidP="00263B8A">
      <w:pPr>
        <w:spacing w:before="120" w:line="280" w:lineRule="exact"/>
        <w:rPr>
          <w:rFonts w:asciiTheme="minorHAnsi" w:hAnsiTheme="minorHAnsi" w:cstheme="minorHAnsi"/>
          <w:sz w:val="22"/>
          <w:szCs w:val="22"/>
        </w:rPr>
      </w:pPr>
    </w:p>
    <w:p w14:paraId="3E8380DF" w14:textId="77777777" w:rsidR="00733C77" w:rsidRPr="00E01239" w:rsidRDefault="00733C77" w:rsidP="0011733B">
      <w:pPr>
        <w:pStyle w:val="Titre4"/>
        <w:spacing w:before="120" w:line="280" w:lineRule="exact"/>
        <w:ind w:left="1843" w:hanging="992"/>
        <w:contextualSpacing w:val="0"/>
        <w:rPr>
          <w:rFonts w:asciiTheme="minorHAnsi" w:hAnsiTheme="minorHAnsi" w:cstheme="minorHAnsi"/>
          <w:u w:val="single"/>
        </w:rPr>
      </w:pPr>
      <w:bookmarkStart w:id="672" w:name="_Toc144654130"/>
      <w:r w:rsidRPr="00E01239">
        <w:rPr>
          <w:rFonts w:asciiTheme="minorHAnsi" w:hAnsiTheme="minorHAnsi" w:cstheme="minorHAnsi"/>
          <w:u w:val="single"/>
        </w:rPr>
        <w:t>Faible portée du processus de digitalisation</w:t>
      </w:r>
      <w:bookmarkEnd w:id="672"/>
    </w:p>
    <w:p w14:paraId="55F3B856" w14:textId="77777777" w:rsidR="00733C77" w:rsidRPr="00E01239" w:rsidRDefault="00733C77"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digitalisation des systèmes alimentaires au profit des producteurs locaux pose l’enjeu principal du niveau d’alphabétisation des cibles qui souvent ne disposent pas d’un niveau d’études à même de favoriser ce processus. Il s’en suit la faible couverture en internet de certaines localités en milieu rural qui limiterait l’impact du processus de digitalisation des chaines de valeur. Sous ce rapport, cette activité devrait être orientée vers la définition de l’archétype de la cible de producteur afin d’adapter les mesures en fonction de leur profil.</w:t>
      </w:r>
    </w:p>
    <w:p w14:paraId="01F3A678" w14:textId="77777777" w:rsidR="00733C77" w:rsidRPr="00E01239" w:rsidRDefault="00733C77" w:rsidP="00263B8A">
      <w:pPr>
        <w:spacing w:before="120" w:line="280" w:lineRule="exact"/>
        <w:jc w:val="both"/>
        <w:rPr>
          <w:rFonts w:asciiTheme="minorHAnsi" w:hAnsiTheme="minorHAnsi" w:cstheme="minorHAnsi"/>
          <w:sz w:val="22"/>
          <w:szCs w:val="22"/>
        </w:rPr>
      </w:pPr>
    </w:p>
    <w:p w14:paraId="3D6BD5B6" w14:textId="77777777" w:rsidR="00733C77" w:rsidRPr="00E01239" w:rsidRDefault="00733C77" w:rsidP="00027669">
      <w:pPr>
        <w:pStyle w:val="Titre4"/>
        <w:numPr>
          <w:ilvl w:val="3"/>
          <w:numId w:val="122"/>
        </w:numPr>
        <w:spacing w:before="120" w:line="280" w:lineRule="exact"/>
        <w:contextualSpacing w:val="0"/>
        <w:rPr>
          <w:rFonts w:asciiTheme="minorHAnsi" w:hAnsiTheme="minorHAnsi" w:cstheme="minorHAnsi"/>
          <w:u w:val="single"/>
        </w:rPr>
      </w:pPr>
      <w:bookmarkStart w:id="673" w:name="_Toc144654131"/>
      <w:r w:rsidRPr="00E01239">
        <w:rPr>
          <w:rFonts w:asciiTheme="minorHAnsi" w:hAnsiTheme="minorHAnsi" w:cstheme="minorHAnsi"/>
          <w:u w:val="single"/>
        </w:rPr>
        <w:t>Modification des aires de vocation des terres</w:t>
      </w:r>
      <w:bookmarkEnd w:id="673"/>
    </w:p>
    <w:p w14:paraId="6CF2829A" w14:textId="5738EDC3" w:rsidR="00733C77" w:rsidRDefault="00733C77"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Dans beaucoup de zones d’intervention du FSRP-SN, les communautés développent des stratégies définissant des vocations en termes d’usages des terres, qu’elles soient matérialisées dans des POAS ou non. Dans la vallée du Fleuve Sénégal, ces outils de planification locale sont très courants et bien expérimentés par les communautés avec cependant un </w:t>
      </w:r>
      <w:r w:rsidR="001723E5" w:rsidRPr="00E01239">
        <w:rPr>
          <w:rFonts w:asciiTheme="minorHAnsi" w:hAnsiTheme="minorHAnsi" w:cstheme="minorHAnsi"/>
          <w:sz w:val="22"/>
          <w:szCs w:val="22"/>
        </w:rPr>
        <w:t>corolaire</w:t>
      </w:r>
      <w:r w:rsidRPr="00E01239">
        <w:rPr>
          <w:rFonts w:asciiTheme="minorHAnsi" w:hAnsiTheme="minorHAnsi" w:cstheme="minorHAnsi"/>
          <w:sz w:val="22"/>
          <w:szCs w:val="22"/>
        </w:rPr>
        <w:t xml:space="preserve"> de difficultés liées à leur application. En effet, le développement des systèmes productifs notamment dans les </w:t>
      </w:r>
      <w:r w:rsidR="001723E5" w:rsidRPr="00E01239">
        <w:rPr>
          <w:rFonts w:asciiTheme="minorHAnsi" w:hAnsiTheme="minorHAnsi" w:cstheme="minorHAnsi"/>
          <w:sz w:val="22"/>
          <w:szCs w:val="22"/>
        </w:rPr>
        <w:t>secteurs</w:t>
      </w:r>
      <w:r w:rsidRPr="00E01239">
        <w:rPr>
          <w:rFonts w:asciiTheme="minorHAnsi" w:hAnsiTheme="minorHAnsi" w:cstheme="minorHAnsi"/>
          <w:sz w:val="22"/>
          <w:szCs w:val="22"/>
        </w:rPr>
        <w:t xml:space="preserve"> de l’agriculture et de l’élevage, l’</w:t>
      </w:r>
      <w:r w:rsidR="001723E5" w:rsidRPr="00E01239">
        <w:rPr>
          <w:rFonts w:asciiTheme="minorHAnsi" w:hAnsiTheme="minorHAnsi" w:cstheme="minorHAnsi"/>
          <w:sz w:val="22"/>
          <w:szCs w:val="22"/>
        </w:rPr>
        <w:t>avènement</w:t>
      </w:r>
      <w:r w:rsidRPr="00E01239">
        <w:rPr>
          <w:rFonts w:asciiTheme="minorHAnsi" w:hAnsiTheme="minorHAnsi" w:cstheme="minorHAnsi"/>
          <w:sz w:val="22"/>
          <w:szCs w:val="22"/>
        </w:rPr>
        <w:t xml:space="preserve"> des systèmes d’agribusiness, </w:t>
      </w:r>
      <w:r w:rsidR="001723E5" w:rsidRPr="00E01239">
        <w:rPr>
          <w:rFonts w:asciiTheme="minorHAnsi" w:hAnsiTheme="minorHAnsi" w:cstheme="minorHAnsi"/>
          <w:sz w:val="22"/>
          <w:szCs w:val="22"/>
        </w:rPr>
        <w:t>etc.</w:t>
      </w:r>
      <w:r w:rsidRPr="00E01239">
        <w:rPr>
          <w:rFonts w:asciiTheme="minorHAnsi" w:hAnsiTheme="minorHAnsi" w:cstheme="minorHAnsi"/>
          <w:sz w:val="22"/>
          <w:szCs w:val="22"/>
        </w:rPr>
        <w:t xml:space="preserve"> ont induit un développement anarchique des activités et des changements de vocation d’espaces non planifiés tels que le développement des activités agricoles dans des aires à vocation pastorale, le développement d’activités économiques dans des aires naturelles parfois même protégées avec des conséquences sur la biodiversité et sur les services </w:t>
      </w:r>
      <w:r w:rsidR="001723E5" w:rsidRPr="00E01239">
        <w:rPr>
          <w:rFonts w:asciiTheme="minorHAnsi" w:hAnsiTheme="minorHAnsi" w:cstheme="minorHAnsi"/>
          <w:sz w:val="22"/>
          <w:szCs w:val="22"/>
        </w:rPr>
        <w:t>écosystémiques</w:t>
      </w:r>
      <w:r w:rsidRPr="00E01239">
        <w:rPr>
          <w:rFonts w:asciiTheme="minorHAnsi" w:hAnsiTheme="minorHAnsi" w:cstheme="minorHAnsi"/>
          <w:sz w:val="22"/>
          <w:szCs w:val="22"/>
        </w:rPr>
        <w:t xml:space="preserve"> rendus par certaines espèces. Ces effets sont susceptibles d’être exacerbés par les activités du FSRP-S</w:t>
      </w:r>
      <w:r w:rsidR="00E5478E" w:rsidRPr="00E01239">
        <w:rPr>
          <w:rFonts w:asciiTheme="minorHAnsi" w:hAnsiTheme="minorHAnsi" w:cstheme="minorHAnsi"/>
          <w:sz w:val="22"/>
          <w:szCs w:val="22"/>
        </w:rPr>
        <w:t>N</w:t>
      </w:r>
      <w:r w:rsidRPr="00E01239">
        <w:rPr>
          <w:rFonts w:asciiTheme="minorHAnsi" w:hAnsiTheme="minorHAnsi" w:cstheme="minorHAnsi"/>
          <w:sz w:val="22"/>
          <w:szCs w:val="22"/>
        </w:rPr>
        <w:t xml:space="preserve"> avec notamment des restrictions d’accès aux ressources naturelles induites par l’aménagement des aires de mis en défens.</w:t>
      </w:r>
    </w:p>
    <w:p w14:paraId="45D8EB10" w14:textId="77777777" w:rsidR="00996617" w:rsidRDefault="00996617" w:rsidP="00263B8A">
      <w:pPr>
        <w:spacing w:before="120" w:line="280" w:lineRule="exact"/>
        <w:jc w:val="both"/>
        <w:rPr>
          <w:rFonts w:asciiTheme="minorHAnsi" w:hAnsiTheme="minorHAnsi" w:cstheme="minorHAnsi"/>
          <w:sz w:val="22"/>
          <w:szCs w:val="22"/>
        </w:rPr>
      </w:pPr>
    </w:p>
    <w:p w14:paraId="2F03E776" w14:textId="79F0EECC" w:rsidR="00733C77" w:rsidRPr="00E01239" w:rsidRDefault="00733C77" w:rsidP="0011733B">
      <w:pPr>
        <w:pStyle w:val="Titre3"/>
        <w:spacing w:before="120" w:line="280" w:lineRule="exact"/>
        <w:ind w:left="1276"/>
        <w:contextualSpacing w:val="0"/>
        <w:rPr>
          <w:rFonts w:asciiTheme="minorHAnsi" w:hAnsiTheme="minorHAnsi" w:cstheme="minorHAnsi"/>
        </w:rPr>
      </w:pPr>
      <w:bookmarkStart w:id="674" w:name="_Toc144654132"/>
      <w:r w:rsidRPr="00E01239">
        <w:rPr>
          <w:rFonts w:asciiTheme="minorHAnsi" w:hAnsiTheme="minorHAnsi" w:cstheme="minorHAnsi"/>
        </w:rPr>
        <w:t>Identification des principaux impacts négatifs liés à l’exploitation des infrastructures agricoles</w:t>
      </w:r>
      <w:bookmarkEnd w:id="674"/>
    </w:p>
    <w:p w14:paraId="5321F7DA" w14:textId="31AE915B" w:rsidR="00733C77" w:rsidRPr="00E01239" w:rsidRDefault="00733C77" w:rsidP="00263B8A">
      <w:pPr>
        <w:spacing w:before="120" w:line="280" w:lineRule="exact"/>
        <w:rPr>
          <w:rFonts w:asciiTheme="minorHAnsi" w:hAnsiTheme="minorHAnsi" w:cstheme="minorHAnsi"/>
          <w:sz w:val="22"/>
          <w:szCs w:val="22"/>
        </w:rPr>
      </w:pPr>
    </w:p>
    <w:p w14:paraId="4375D6D4" w14:textId="77777777" w:rsidR="00733C77" w:rsidRPr="00E01239" w:rsidRDefault="00733C77" w:rsidP="0011733B">
      <w:pPr>
        <w:pStyle w:val="Titre4"/>
        <w:spacing w:before="120" w:line="280" w:lineRule="exact"/>
        <w:ind w:left="1843" w:hanging="992"/>
        <w:contextualSpacing w:val="0"/>
        <w:rPr>
          <w:rFonts w:asciiTheme="minorHAnsi" w:hAnsiTheme="minorHAnsi" w:cstheme="minorHAnsi"/>
          <w:u w:val="single"/>
        </w:rPr>
      </w:pPr>
      <w:bookmarkStart w:id="675" w:name="_Toc144654133"/>
      <w:r w:rsidRPr="00E01239">
        <w:rPr>
          <w:rFonts w:asciiTheme="minorHAnsi" w:hAnsiTheme="minorHAnsi" w:cstheme="minorHAnsi"/>
          <w:u w:val="single"/>
        </w:rPr>
        <w:t>Augmentation de l’empreinte carbone des systèmes alimentaires</w:t>
      </w:r>
      <w:bookmarkEnd w:id="675"/>
      <w:r w:rsidRPr="00E01239">
        <w:rPr>
          <w:rFonts w:asciiTheme="minorHAnsi" w:hAnsiTheme="minorHAnsi" w:cstheme="minorHAnsi"/>
          <w:u w:val="single"/>
        </w:rPr>
        <w:t xml:space="preserve"> </w:t>
      </w:r>
    </w:p>
    <w:p w14:paraId="4C33AC29" w14:textId="3A1BCB79" w:rsidR="00733C77" w:rsidRPr="00E01239" w:rsidRDefault="00733C77"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Différentes activités prévues dans le cadre du FSRP-SN</w:t>
      </w:r>
      <w:r w:rsidRPr="00E01239" w:rsidDel="00806A39">
        <w:rPr>
          <w:rFonts w:asciiTheme="minorHAnsi" w:hAnsiTheme="minorHAnsi" w:cstheme="minorHAnsi"/>
          <w:sz w:val="22"/>
          <w:szCs w:val="22"/>
        </w:rPr>
        <w:t xml:space="preserve"> </w:t>
      </w:r>
      <w:r w:rsidRPr="00E01239">
        <w:rPr>
          <w:rFonts w:asciiTheme="minorHAnsi" w:hAnsiTheme="minorHAnsi" w:cstheme="minorHAnsi"/>
          <w:sz w:val="22"/>
          <w:szCs w:val="22"/>
        </w:rPr>
        <w:t>sont de nature à favoriser l’augmentation des émissions de gaz à effet de serre et d’augmenter l’empreinte carbone dans le secteur de l’agriculture. Le fonctionnement des aménagements réalisés dans le cadre du FSRP-SN</w:t>
      </w:r>
      <w:r w:rsidRPr="00E01239" w:rsidDel="00806A39">
        <w:rPr>
          <w:rFonts w:asciiTheme="minorHAnsi" w:hAnsiTheme="minorHAnsi" w:cstheme="minorHAnsi"/>
          <w:sz w:val="22"/>
          <w:szCs w:val="22"/>
        </w:rPr>
        <w:t xml:space="preserve"> </w:t>
      </w:r>
      <w:r w:rsidRPr="00E01239">
        <w:rPr>
          <w:rFonts w:asciiTheme="minorHAnsi" w:hAnsiTheme="minorHAnsi" w:cstheme="minorHAnsi"/>
          <w:sz w:val="22"/>
          <w:szCs w:val="22"/>
        </w:rPr>
        <w:t xml:space="preserve">constitue une source d’augmentation </w:t>
      </w:r>
      <w:r w:rsidRPr="00E01239">
        <w:rPr>
          <w:rFonts w:asciiTheme="minorHAnsi" w:hAnsiTheme="minorHAnsi" w:cstheme="minorHAnsi"/>
          <w:sz w:val="22"/>
          <w:szCs w:val="22"/>
        </w:rPr>
        <w:lastRenderedPageBreak/>
        <w:t xml:space="preserve">du bilan carbone du secteur de l’agriculture. En effet, les installations de pompage thermique produisent des émissions de CO2 et présentent un bilan carbone beaucoup </w:t>
      </w:r>
      <w:r w:rsidR="000A05B4">
        <w:rPr>
          <w:rFonts w:asciiTheme="minorHAnsi" w:hAnsiTheme="minorHAnsi" w:cstheme="minorHAnsi"/>
          <w:sz w:val="22"/>
          <w:szCs w:val="22"/>
        </w:rPr>
        <w:t xml:space="preserve">plus </w:t>
      </w:r>
      <w:r w:rsidRPr="00E01239">
        <w:rPr>
          <w:rFonts w:asciiTheme="minorHAnsi" w:hAnsiTheme="minorHAnsi" w:cstheme="minorHAnsi"/>
          <w:sz w:val="22"/>
          <w:szCs w:val="22"/>
        </w:rPr>
        <w:t>élevé car fonctionnant avec du fioul.</w:t>
      </w:r>
    </w:p>
    <w:p w14:paraId="13192D8F" w14:textId="3E0642C2" w:rsidR="00360354" w:rsidRPr="00E01239" w:rsidRDefault="00360354" w:rsidP="0011733B">
      <w:pPr>
        <w:pStyle w:val="Titre4"/>
        <w:spacing w:before="120" w:line="280" w:lineRule="exact"/>
        <w:ind w:left="1843"/>
        <w:contextualSpacing w:val="0"/>
        <w:rPr>
          <w:rFonts w:asciiTheme="minorHAnsi" w:hAnsiTheme="minorHAnsi" w:cstheme="minorHAnsi"/>
          <w:u w:val="single"/>
        </w:rPr>
      </w:pPr>
      <w:bookmarkStart w:id="676" w:name="_Toc144654134"/>
      <w:r w:rsidRPr="00E01239">
        <w:rPr>
          <w:rFonts w:asciiTheme="minorHAnsi" w:hAnsiTheme="minorHAnsi" w:cstheme="minorHAnsi"/>
          <w:u w:val="single"/>
        </w:rPr>
        <w:t xml:space="preserve">Destruction des </w:t>
      </w:r>
      <w:r w:rsidR="00F2070D" w:rsidRPr="00E01239">
        <w:rPr>
          <w:rFonts w:asciiTheme="minorHAnsi" w:hAnsiTheme="minorHAnsi" w:cstheme="minorHAnsi"/>
          <w:u w:val="single"/>
        </w:rPr>
        <w:t>écosystèmes</w:t>
      </w:r>
      <w:r w:rsidRPr="00E01239">
        <w:rPr>
          <w:rFonts w:asciiTheme="minorHAnsi" w:hAnsiTheme="minorHAnsi" w:cstheme="minorHAnsi"/>
          <w:u w:val="single"/>
        </w:rPr>
        <w:t xml:space="preserve"> naturels</w:t>
      </w:r>
      <w:bookmarkEnd w:id="676"/>
    </w:p>
    <w:p w14:paraId="47F57E2C" w14:textId="77777777" w:rsidR="00360354" w:rsidRPr="00E01239" w:rsidRDefault="00360354"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L’utilisation des pesticides n’est jamais sans risque pour la santé des populations, et pour l’environnement.</w:t>
      </w:r>
    </w:p>
    <w:p w14:paraId="2FF632CE" w14:textId="216DC7C1" w:rsidR="00360354" w:rsidRPr="00E01239" w:rsidRDefault="00360354"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L'extension des activités hydro-agricoles nécessite l'usage des pesticides en vue de maximiser les rendements. C'est à ce niveau que se produisent des impacts négatifs sur l'environnement par contamination des eaux et </w:t>
      </w:r>
      <w:r w:rsidR="000808AA">
        <w:rPr>
          <w:rFonts w:asciiTheme="minorHAnsi" w:hAnsiTheme="minorHAnsi" w:cstheme="minorHAnsi"/>
          <w:sz w:val="22"/>
          <w:szCs w:val="22"/>
        </w:rPr>
        <w:t>des</w:t>
      </w:r>
      <w:r w:rsidR="000808AA" w:rsidRPr="00E01239">
        <w:rPr>
          <w:rFonts w:asciiTheme="minorHAnsi" w:hAnsiTheme="minorHAnsi" w:cstheme="minorHAnsi"/>
          <w:sz w:val="22"/>
          <w:szCs w:val="22"/>
        </w:rPr>
        <w:t xml:space="preserve"> </w:t>
      </w:r>
      <w:r w:rsidRPr="00E01239">
        <w:rPr>
          <w:rFonts w:asciiTheme="minorHAnsi" w:hAnsiTheme="minorHAnsi" w:cstheme="minorHAnsi"/>
          <w:sz w:val="22"/>
          <w:szCs w:val="22"/>
        </w:rPr>
        <w:t>êtres vivants. Les pesticides sont sources de plusieurs impacts négatifs dès lors que leur utilisation n’est pas raisonnée par les producteurs on peut en citer entre autres : intoxication lors de la manipulation, pollution de la nappe souterraine (la nappe phréatique superficielle salée), des cours d’eau, contamination du bétail par l’abreuvage, intoxication animale et humaine en cas de mauvais usage, présence de résidus sur les produits alimentaires baissant ainsi leur valeur commerciale et causant un risque pour la santé publique, mauvaise gestion des emballages pouvant occasionner des risques notamment lorsqu’ils sont réutilisés pour contenir d’autres produits alimentaires ou de l’eau, destruction des pollinisat</w:t>
      </w:r>
      <w:r w:rsidR="00695D4C">
        <w:rPr>
          <w:rFonts w:asciiTheme="minorHAnsi" w:hAnsiTheme="minorHAnsi" w:cstheme="minorHAnsi"/>
          <w:sz w:val="22"/>
          <w:szCs w:val="22"/>
        </w:rPr>
        <w:t>eurs</w:t>
      </w:r>
      <w:r w:rsidRPr="00E01239">
        <w:rPr>
          <w:rFonts w:asciiTheme="minorHAnsi" w:hAnsiTheme="minorHAnsi" w:cstheme="minorHAnsi"/>
          <w:sz w:val="22"/>
          <w:szCs w:val="22"/>
        </w:rPr>
        <w:t xml:space="preserve"> des cultures entraînant la chute des rendements des récoltes, apparition d'une résistance aux pesticides chez les ennemies des cultures encourageant ainsi une plus grande utilisation des pesticides chimiques, perte de la biodiversité dans l'écosystème, en particulier parmi les espèces aquatiques.</w:t>
      </w:r>
    </w:p>
    <w:p w14:paraId="1307D3FE" w14:textId="77777777" w:rsidR="00360354" w:rsidRPr="00E01239" w:rsidRDefault="00360354"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L’utilisation abusive des pesticides peut également causer des accidents et intoxication chez les opérateurs phytosanitaires, les producteurs et les populations soit par leur usage direct (saupoudrage, pulvérisation), ou un mauvais stockage, ou indirectement par la réutilisation des contenants vides.</w:t>
      </w:r>
    </w:p>
    <w:p w14:paraId="2E5C71DE" w14:textId="77777777" w:rsidR="00360354" w:rsidRPr="00E01239" w:rsidRDefault="00360354"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risques sont d’autant plus grands lorsqu’il s’agit de pesticides non homologués. D’une manière générale, l’exploitation des aménagements se traduiront par une perturbation de la biodiversité qui peut se manifester sur diverses formes :</w:t>
      </w:r>
    </w:p>
    <w:p w14:paraId="2B892D23" w14:textId="113BDC0E" w:rsidR="00360354" w:rsidRPr="00E01239" w:rsidRDefault="00F2070D" w:rsidP="00027669">
      <w:pPr>
        <w:pStyle w:val="Paragraphedeliste"/>
        <w:numPr>
          <w:ilvl w:val="0"/>
          <w:numId w:val="114"/>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L’usage</w:t>
      </w:r>
      <w:r w:rsidR="00360354" w:rsidRPr="00E01239">
        <w:rPr>
          <w:rFonts w:asciiTheme="minorHAnsi" w:hAnsiTheme="minorHAnsi" w:cstheme="minorHAnsi"/>
          <w:sz w:val="22"/>
          <w:szCs w:val="22"/>
          <w:lang w:bidi="fr-FR"/>
        </w:rPr>
        <w:t xml:space="preserve"> des produits phytosanitaires va induire une importante réduction de la diversité floristique au sein des surfaces cultivées mais également en bordure et une toxicité pour la faune au sol,</w:t>
      </w:r>
    </w:p>
    <w:p w14:paraId="4895693D" w14:textId="7EA68472" w:rsidR="00360354" w:rsidRPr="00E01239" w:rsidRDefault="00F2070D" w:rsidP="00027669">
      <w:pPr>
        <w:pStyle w:val="Paragraphedeliste"/>
        <w:numPr>
          <w:ilvl w:val="0"/>
          <w:numId w:val="114"/>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w:t>
      </w:r>
      <w:r w:rsidR="00360354" w:rsidRPr="00E01239">
        <w:rPr>
          <w:rFonts w:asciiTheme="minorHAnsi" w:hAnsiTheme="minorHAnsi" w:cstheme="minorHAnsi"/>
          <w:sz w:val="22"/>
          <w:szCs w:val="22"/>
          <w:lang w:bidi="fr-FR"/>
        </w:rPr>
        <w:t xml:space="preserve"> herbicides peuvent également </w:t>
      </w:r>
      <w:r w:rsidRPr="00E01239">
        <w:rPr>
          <w:rFonts w:asciiTheme="minorHAnsi" w:hAnsiTheme="minorHAnsi" w:cstheme="minorHAnsi"/>
          <w:sz w:val="22"/>
          <w:szCs w:val="22"/>
          <w:lang w:bidi="fr-FR"/>
        </w:rPr>
        <w:t>entraîner</w:t>
      </w:r>
      <w:r w:rsidR="00360354" w:rsidRPr="00E01239">
        <w:rPr>
          <w:rFonts w:asciiTheme="minorHAnsi" w:hAnsiTheme="minorHAnsi" w:cstheme="minorHAnsi"/>
          <w:sz w:val="22"/>
          <w:szCs w:val="22"/>
          <w:lang w:bidi="fr-FR"/>
        </w:rPr>
        <w:t xml:space="preserve"> des conséquences sur la pédo</w:t>
      </w:r>
      <w:r w:rsidRPr="00E01239">
        <w:rPr>
          <w:rFonts w:asciiTheme="minorHAnsi" w:hAnsiTheme="minorHAnsi" w:cstheme="minorHAnsi"/>
          <w:sz w:val="22"/>
          <w:szCs w:val="22"/>
          <w:lang w:bidi="fr-FR"/>
        </w:rPr>
        <w:t>-</w:t>
      </w:r>
      <w:r w:rsidR="00360354" w:rsidRPr="00E01239">
        <w:rPr>
          <w:rFonts w:asciiTheme="minorHAnsi" w:hAnsiTheme="minorHAnsi" w:cstheme="minorHAnsi"/>
          <w:sz w:val="22"/>
          <w:szCs w:val="22"/>
          <w:lang w:bidi="fr-FR"/>
        </w:rPr>
        <w:t>faune, et entrainer une disparition de celle-ci par intoxication,</w:t>
      </w:r>
    </w:p>
    <w:p w14:paraId="26F3149D" w14:textId="4A72AC59" w:rsidR="00360354" w:rsidRPr="00E01239" w:rsidRDefault="00F2070D" w:rsidP="00027669">
      <w:pPr>
        <w:pStyle w:val="Paragraphedeliste"/>
        <w:numPr>
          <w:ilvl w:val="0"/>
          <w:numId w:val="114"/>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w:t>
      </w:r>
      <w:r w:rsidR="00360354" w:rsidRPr="00E01239">
        <w:rPr>
          <w:rFonts w:asciiTheme="minorHAnsi" w:hAnsiTheme="minorHAnsi" w:cstheme="minorHAnsi"/>
          <w:sz w:val="22"/>
          <w:szCs w:val="22"/>
          <w:lang w:bidi="fr-FR"/>
        </w:rPr>
        <w:t xml:space="preserve"> insecticides et les fongicides peuvent avoir des effets directs sur les organismes cibles (mortalité, baisse de la fécondité) ou sur les organismes </w:t>
      </w:r>
      <w:r w:rsidRPr="00E01239">
        <w:rPr>
          <w:rFonts w:asciiTheme="minorHAnsi" w:hAnsiTheme="minorHAnsi" w:cstheme="minorHAnsi"/>
          <w:sz w:val="22"/>
          <w:szCs w:val="22"/>
          <w:lang w:bidi="fr-FR"/>
        </w:rPr>
        <w:t>non-cibles</w:t>
      </w:r>
      <w:r w:rsidR="00360354" w:rsidRPr="00E01239">
        <w:rPr>
          <w:rFonts w:asciiTheme="minorHAnsi" w:hAnsiTheme="minorHAnsi" w:cstheme="minorHAnsi"/>
          <w:sz w:val="22"/>
          <w:szCs w:val="22"/>
          <w:lang w:bidi="fr-FR"/>
        </w:rPr>
        <w:t xml:space="preserve"> (arthropodes, petits mammifères, oiseaux) ; mais également des effets indirects sur les mêmes groupes soit par intoxication,</w:t>
      </w:r>
    </w:p>
    <w:p w14:paraId="566AA180" w14:textId="2C4ABBAF" w:rsidR="00360354" w:rsidRPr="00E01239" w:rsidRDefault="00F2070D" w:rsidP="00027669">
      <w:pPr>
        <w:pStyle w:val="Paragraphedeliste"/>
        <w:numPr>
          <w:ilvl w:val="0"/>
          <w:numId w:val="114"/>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La</w:t>
      </w:r>
      <w:r w:rsidR="00360354" w:rsidRPr="00E01239">
        <w:rPr>
          <w:rFonts w:asciiTheme="minorHAnsi" w:hAnsiTheme="minorHAnsi" w:cstheme="minorHAnsi"/>
          <w:sz w:val="22"/>
          <w:szCs w:val="22"/>
          <w:lang w:bidi="fr-FR"/>
        </w:rPr>
        <w:t xml:space="preserve"> fertilisation azotée est considérée comme un des principaux facteurs responsables de la baisse de la richesse spécifique dans les parcelles, mais aussi dans les bordures adjacentes,</w:t>
      </w:r>
    </w:p>
    <w:p w14:paraId="53C29CDE" w14:textId="4A0EEAE3" w:rsidR="00360354" w:rsidRPr="00E01239" w:rsidRDefault="00F2070D" w:rsidP="00027669">
      <w:pPr>
        <w:pStyle w:val="Paragraphedeliste"/>
        <w:numPr>
          <w:ilvl w:val="0"/>
          <w:numId w:val="114"/>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L’épandage</w:t>
      </w:r>
      <w:r w:rsidR="00360354" w:rsidRPr="00E01239">
        <w:rPr>
          <w:rFonts w:asciiTheme="minorHAnsi" w:hAnsiTheme="minorHAnsi" w:cstheme="minorHAnsi"/>
          <w:sz w:val="22"/>
          <w:szCs w:val="22"/>
          <w:lang w:bidi="fr-FR"/>
        </w:rPr>
        <w:t xml:space="preserve"> aérien des pesticides pour lutter contre les ravageurs notamment occasionne un impact non seulement à l’échelle de la surface cultivée mais également sur les habitats naturels voisins non visés par les traitements</w:t>
      </w:r>
    </w:p>
    <w:p w14:paraId="6C08C3AB" w14:textId="3955D6CA" w:rsidR="00360354" w:rsidRPr="00E01239" w:rsidRDefault="00F2070D" w:rsidP="00027669">
      <w:pPr>
        <w:pStyle w:val="Paragraphedeliste"/>
        <w:numPr>
          <w:ilvl w:val="0"/>
          <w:numId w:val="114"/>
        </w:numPr>
        <w:spacing w:before="120" w:line="280" w:lineRule="exact"/>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L’effet</w:t>
      </w:r>
      <w:r w:rsidR="00360354" w:rsidRPr="00E01239">
        <w:rPr>
          <w:rFonts w:asciiTheme="minorHAnsi" w:hAnsiTheme="minorHAnsi" w:cstheme="minorHAnsi"/>
          <w:sz w:val="22"/>
          <w:szCs w:val="22"/>
          <w:lang w:bidi="fr-FR"/>
        </w:rPr>
        <w:t xml:space="preserve"> de bioaccumulation des traitements phytosanitaires sur les espèces fauniques (batraciens, poissons etc.).</w:t>
      </w:r>
    </w:p>
    <w:p w14:paraId="2FCDAA13" w14:textId="77777777" w:rsidR="00360354" w:rsidRPr="00E01239" w:rsidRDefault="00360354" w:rsidP="00263B8A">
      <w:pPr>
        <w:spacing w:before="120" w:line="280" w:lineRule="exact"/>
        <w:jc w:val="both"/>
        <w:rPr>
          <w:rFonts w:asciiTheme="minorHAnsi" w:hAnsiTheme="minorHAnsi" w:cstheme="minorHAnsi"/>
          <w:sz w:val="22"/>
          <w:szCs w:val="22"/>
          <w:lang w:bidi="fr-FR"/>
        </w:rPr>
      </w:pPr>
    </w:p>
    <w:p w14:paraId="76F43C60" w14:textId="77777777" w:rsidR="00337B20" w:rsidRPr="00E01239" w:rsidRDefault="00337B20" w:rsidP="0011733B">
      <w:pPr>
        <w:pStyle w:val="Titre4"/>
        <w:spacing w:before="120" w:line="280" w:lineRule="exact"/>
        <w:ind w:left="1843" w:hanging="1134"/>
        <w:contextualSpacing w:val="0"/>
        <w:rPr>
          <w:rFonts w:asciiTheme="minorHAnsi" w:hAnsiTheme="minorHAnsi" w:cstheme="minorHAnsi"/>
          <w:u w:val="single"/>
        </w:rPr>
      </w:pPr>
      <w:bookmarkStart w:id="677" w:name="_Toc144654135"/>
      <w:r w:rsidRPr="00E01239">
        <w:rPr>
          <w:rFonts w:asciiTheme="minorHAnsi" w:hAnsiTheme="minorHAnsi" w:cstheme="minorHAnsi"/>
          <w:u w:val="single"/>
        </w:rPr>
        <w:t>Pressions et pollutions sur les ressources en eau</w:t>
      </w:r>
      <w:bookmarkEnd w:id="677"/>
    </w:p>
    <w:p w14:paraId="12BD2BEF" w14:textId="2D1DD26F" w:rsidR="00337B20" w:rsidRPr="00E01239" w:rsidRDefault="00337B20"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périmètres </w:t>
      </w:r>
      <w:r w:rsidR="00E5478E" w:rsidRPr="00E01239">
        <w:rPr>
          <w:rFonts w:asciiTheme="minorHAnsi" w:hAnsiTheme="minorHAnsi" w:cstheme="minorHAnsi"/>
          <w:sz w:val="22"/>
          <w:szCs w:val="22"/>
        </w:rPr>
        <w:t>hydro-</w:t>
      </w:r>
      <w:r w:rsidRPr="00E01239">
        <w:rPr>
          <w:rFonts w:asciiTheme="minorHAnsi" w:hAnsiTheme="minorHAnsi" w:cstheme="minorHAnsi"/>
          <w:sz w:val="22"/>
          <w:szCs w:val="22"/>
        </w:rPr>
        <w:t xml:space="preserve">agricoles </w:t>
      </w:r>
      <w:r w:rsidR="00E7160E" w:rsidRPr="00E01239">
        <w:rPr>
          <w:rFonts w:asciiTheme="minorHAnsi" w:hAnsiTheme="minorHAnsi" w:cstheme="minorHAnsi"/>
          <w:sz w:val="22"/>
          <w:szCs w:val="22"/>
        </w:rPr>
        <w:t>villageois</w:t>
      </w:r>
      <w:r w:rsidR="00E5478E" w:rsidRPr="00E01239">
        <w:rPr>
          <w:rFonts w:asciiTheme="minorHAnsi" w:hAnsiTheme="minorHAnsi" w:cstheme="minorHAnsi"/>
          <w:sz w:val="22"/>
          <w:szCs w:val="22"/>
        </w:rPr>
        <w:t xml:space="preserve"> </w:t>
      </w:r>
      <w:r w:rsidRPr="00E01239">
        <w:rPr>
          <w:rFonts w:asciiTheme="minorHAnsi" w:hAnsiTheme="minorHAnsi" w:cstheme="minorHAnsi"/>
          <w:sz w:val="22"/>
          <w:szCs w:val="22"/>
        </w:rPr>
        <w:t>produiront des eaux de drainage souvent caractérisées par des charges polluantes élevées pour certains paramètres physico-chimiques et bactériologiques ainsi que de certains pesticides.</w:t>
      </w:r>
    </w:p>
    <w:p w14:paraId="7E4B2971" w14:textId="77777777" w:rsidR="00337B20" w:rsidRPr="00E01239" w:rsidRDefault="00337B20"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eaux de drainage vont à priori attirer les oiseaux. Cependant la qualité et les ressources que renferment ces plans d’eau vont déterminer leur usage par les oiseaux. Le risque lié aux eaux de drainage est dû à la </w:t>
      </w:r>
      <w:r w:rsidRPr="00E01239">
        <w:rPr>
          <w:rFonts w:asciiTheme="minorHAnsi" w:hAnsiTheme="minorHAnsi" w:cstheme="minorHAnsi"/>
          <w:sz w:val="22"/>
          <w:szCs w:val="22"/>
        </w:rPr>
        <w:lastRenderedPageBreak/>
        <w:t xml:space="preserve">charge de ces eaux en polluants. Les oiseaux étant souvent au sommet de réseaux trophiques concentrent les polluants présents dans leurs aliments. Ainsi les effets chroniques de ces polluants sur les oiseaux ne peuvent pas être écartés. </w:t>
      </w:r>
    </w:p>
    <w:p w14:paraId="21E4085E" w14:textId="77777777" w:rsidR="00337B20" w:rsidRPr="00E01239" w:rsidRDefault="00337B20" w:rsidP="00263B8A">
      <w:pPr>
        <w:spacing w:before="120" w:line="280" w:lineRule="exact"/>
        <w:jc w:val="both"/>
        <w:rPr>
          <w:rFonts w:asciiTheme="minorHAnsi" w:hAnsiTheme="minorHAnsi" w:cstheme="minorHAnsi"/>
          <w:iCs/>
          <w:sz w:val="22"/>
          <w:szCs w:val="22"/>
        </w:rPr>
      </w:pPr>
      <w:r w:rsidRPr="00E01239">
        <w:rPr>
          <w:rFonts w:asciiTheme="minorHAnsi" w:hAnsiTheme="minorHAnsi" w:cstheme="minorHAnsi"/>
          <w:iCs/>
          <w:sz w:val="22"/>
          <w:szCs w:val="22"/>
        </w:rPr>
        <w:t>Les eaux de drainage peuvent induire des impacts importants sur l’écosystème de la zone bien que les effets ne soient observables sur le court terme. Ces impacts sont principalement :</w:t>
      </w:r>
    </w:p>
    <w:p w14:paraId="4421C4BB" w14:textId="6C1EB800" w:rsidR="00337B20" w:rsidRPr="00E01239" w:rsidRDefault="00E7160E" w:rsidP="00027669">
      <w:pPr>
        <w:pStyle w:val="Paragraphedeliste"/>
        <w:numPr>
          <w:ilvl w:val="0"/>
          <w:numId w:val="113"/>
        </w:numPr>
        <w:spacing w:before="120" w:line="280" w:lineRule="exact"/>
        <w:ind w:left="771"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Un</w:t>
      </w:r>
      <w:r w:rsidR="00337B20" w:rsidRPr="00E01239">
        <w:rPr>
          <w:rFonts w:asciiTheme="minorHAnsi" w:hAnsiTheme="minorHAnsi" w:cstheme="minorHAnsi"/>
          <w:sz w:val="22"/>
          <w:szCs w:val="22"/>
        </w:rPr>
        <w:t xml:space="preserve"> processus naturel d’eutrophisation avec une diminution de la teneur en oxygène dissout dans les eaux de surface, notamment la </w:t>
      </w:r>
      <w:r w:rsidR="00337B20" w:rsidRPr="00E01239">
        <w:rPr>
          <w:rFonts w:asciiTheme="minorHAnsi" w:hAnsiTheme="minorHAnsi" w:cstheme="minorHAnsi"/>
          <w:b/>
          <w:sz w:val="22"/>
          <w:szCs w:val="22"/>
          <w:u w:val="single"/>
        </w:rPr>
        <w:t>demande biologique en oxygène (DBO)</w:t>
      </w:r>
      <w:r w:rsidR="00337B20" w:rsidRPr="00E01239">
        <w:rPr>
          <w:rFonts w:asciiTheme="minorHAnsi" w:hAnsiTheme="minorHAnsi" w:cstheme="minorHAnsi"/>
          <w:sz w:val="22"/>
          <w:szCs w:val="22"/>
        </w:rPr>
        <w:t xml:space="preserve"> due à la dégradation aérobie de la matière organique surabondante du milieu avec comme impact la perte d’habitat donc une altération du biotope,</w:t>
      </w:r>
    </w:p>
    <w:p w14:paraId="5E8517D1" w14:textId="7185C35F" w:rsidR="00337B20" w:rsidRPr="00E01239" w:rsidRDefault="00E7160E" w:rsidP="00027669">
      <w:pPr>
        <w:pStyle w:val="Paragraphedeliste"/>
        <w:numPr>
          <w:ilvl w:val="0"/>
          <w:numId w:val="113"/>
        </w:numPr>
        <w:spacing w:before="120" w:line="280" w:lineRule="exact"/>
        <w:ind w:left="771"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Un</w:t>
      </w:r>
      <w:r w:rsidR="00337B20" w:rsidRPr="00E01239">
        <w:rPr>
          <w:rFonts w:asciiTheme="minorHAnsi" w:hAnsiTheme="minorHAnsi" w:cstheme="minorHAnsi"/>
          <w:sz w:val="22"/>
          <w:szCs w:val="22"/>
        </w:rPr>
        <w:t xml:space="preserve"> appauvrissement progressif des plans d’eau en ressources halieutiques et en laitues qui constituent la </w:t>
      </w:r>
      <w:r w:rsidR="00337B20" w:rsidRPr="00E01239">
        <w:rPr>
          <w:rFonts w:asciiTheme="minorHAnsi" w:hAnsiTheme="minorHAnsi" w:cstheme="minorHAnsi"/>
          <w:b/>
          <w:sz w:val="22"/>
          <w:szCs w:val="22"/>
        </w:rPr>
        <w:t>principale source d’alimentation</w:t>
      </w:r>
      <w:r w:rsidR="00337B20" w:rsidRPr="00E01239">
        <w:rPr>
          <w:rFonts w:asciiTheme="minorHAnsi" w:hAnsiTheme="minorHAnsi" w:cstheme="minorHAnsi"/>
          <w:sz w:val="22"/>
          <w:szCs w:val="22"/>
        </w:rPr>
        <w:t xml:space="preserve"> de certaines espèces d’oiseaux,</w:t>
      </w:r>
    </w:p>
    <w:p w14:paraId="32EF9D9E" w14:textId="33A4F897" w:rsidR="00337B20" w:rsidRPr="00E01239" w:rsidRDefault="00E7160E" w:rsidP="00027669">
      <w:pPr>
        <w:pStyle w:val="Paragraphedeliste"/>
        <w:numPr>
          <w:ilvl w:val="0"/>
          <w:numId w:val="113"/>
        </w:numPr>
        <w:spacing w:before="120" w:line="280" w:lineRule="exact"/>
        <w:ind w:left="771"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Un</w:t>
      </w:r>
      <w:r w:rsidR="00337B20" w:rsidRPr="00E01239">
        <w:rPr>
          <w:rFonts w:asciiTheme="minorHAnsi" w:hAnsiTheme="minorHAnsi" w:cstheme="minorHAnsi"/>
          <w:sz w:val="22"/>
          <w:szCs w:val="22"/>
        </w:rPr>
        <w:t xml:space="preserve"> risque d’accumulation des toxines au niveau des réseaux trophiques qui peut contaminer toute la chaine alimentaire des espèces piscivores telles que </w:t>
      </w:r>
      <w:proofErr w:type="spellStart"/>
      <w:r w:rsidR="00337B20" w:rsidRPr="00E01239">
        <w:rPr>
          <w:rFonts w:asciiTheme="minorHAnsi" w:hAnsiTheme="minorHAnsi" w:cstheme="minorHAnsi"/>
          <w:i/>
          <w:iCs/>
          <w:sz w:val="22"/>
          <w:szCs w:val="22"/>
        </w:rPr>
        <w:t>Tantal</w:t>
      </w:r>
      <w:proofErr w:type="spellEnd"/>
      <w:r w:rsidR="00337B20" w:rsidRPr="00E01239">
        <w:rPr>
          <w:rFonts w:asciiTheme="minorHAnsi" w:hAnsiTheme="minorHAnsi" w:cstheme="minorHAnsi"/>
          <w:i/>
          <w:iCs/>
          <w:sz w:val="22"/>
          <w:szCs w:val="22"/>
        </w:rPr>
        <w:t xml:space="preserve"> ibis</w:t>
      </w:r>
      <w:r w:rsidR="00337B20" w:rsidRPr="00E01239">
        <w:rPr>
          <w:rFonts w:asciiTheme="minorHAnsi" w:hAnsiTheme="minorHAnsi" w:cstheme="minorHAnsi"/>
          <w:sz w:val="22"/>
          <w:szCs w:val="22"/>
        </w:rPr>
        <w:t>, pélican blanc, héron bihoreau etc.</w:t>
      </w:r>
    </w:p>
    <w:p w14:paraId="2D7E976F" w14:textId="5AE1940B" w:rsidR="00337B20" w:rsidRPr="00E01239" w:rsidRDefault="00E7160E" w:rsidP="00027669">
      <w:pPr>
        <w:pStyle w:val="Paragraphedeliste"/>
        <w:numPr>
          <w:ilvl w:val="0"/>
          <w:numId w:val="113"/>
        </w:numPr>
        <w:spacing w:before="120" w:line="280" w:lineRule="exact"/>
        <w:ind w:left="771"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Les</w:t>
      </w:r>
      <w:r w:rsidR="00337B20" w:rsidRPr="00E01239">
        <w:rPr>
          <w:rFonts w:asciiTheme="minorHAnsi" w:hAnsiTheme="minorHAnsi" w:cstheme="minorHAnsi"/>
          <w:sz w:val="22"/>
          <w:szCs w:val="22"/>
        </w:rPr>
        <w:t xml:space="preserve"> substances chimiques azotées peuvent impacter le processus de nidification allant de la fragilisation des coquilles d’œufs jusqu’à la contamination des jeunes poussins. En plus de la contamination des poissons qui constituent la principale source d’alimentation des pélicans blancs, une accumulation de ces molécules dans le système immunitaire peut être nocive et tragique à cette communauté d’oiseaux.</w:t>
      </w:r>
    </w:p>
    <w:p w14:paraId="6C84396A" w14:textId="77777777" w:rsidR="00337B20" w:rsidRPr="00E01239" w:rsidRDefault="00337B20" w:rsidP="00027669">
      <w:pPr>
        <w:pStyle w:val="Paragraphedeliste"/>
        <w:numPr>
          <w:ilvl w:val="0"/>
          <w:numId w:val="113"/>
        </w:numPr>
        <w:spacing w:before="120" w:line="280" w:lineRule="exact"/>
        <w:ind w:left="771"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pesticides exposent les colonies d’oiseaux migrateurs qui, en plus des risques de contaminations, peuvent transporter les toxines d’une région à une autre ou vers leur site d’origine</w:t>
      </w:r>
    </w:p>
    <w:p w14:paraId="279B8B46" w14:textId="1AF94603" w:rsidR="00337B20" w:rsidRPr="00E01239" w:rsidRDefault="00E7160E" w:rsidP="00027669">
      <w:pPr>
        <w:pStyle w:val="Paragraphedeliste"/>
        <w:numPr>
          <w:ilvl w:val="0"/>
          <w:numId w:val="113"/>
        </w:numPr>
        <w:spacing w:before="120" w:line="280" w:lineRule="exact"/>
        <w:contextualSpacing w:val="0"/>
        <w:jc w:val="both"/>
        <w:rPr>
          <w:rFonts w:asciiTheme="minorHAnsi" w:hAnsiTheme="minorHAnsi" w:cstheme="minorHAnsi"/>
          <w:iCs/>
          <w:sz w:val="22"/>
          <w:szCs w:val="22"/>
        </w:rPr>
      </w:pPr>
      <w:r w:rsidRPr="00E01239">
        <w:rPr>
          <w:rFonts w:asciiTheme="minorHAnsi" w:hAnsiTheme="minorHAnsi" w:cstheme="minorHAnsi"/>
          <w:sz w:val="22"/>
          <w:szCs w:val="22"/>
        </w:rPr>
        <w:t>Et</w:t>
      </w:r>
      <w:r w:rsidR="00337B20" w:rsidRPr="00E01239">
        <w:rPr>
          <w:rFonts w:asciiTheme="minorHAnsi" w:hAnsiTheme="minorHAnsi" w:cstheme="minorHAnsi"/>
          <w:sz w:val="22"/>
          <w:szCs w:val="22"/>
        </w:rPr>
        <w:t xml:space="preserve"> les métaux lourds comme le plomb et le mercure peuvent endommager les systèmes neurologique, endocrinien et reproducteur chez différentes espèces sauvages. </w:t>
      </w:r>
    </w:p>
    <w:p w14:paraId="02A7F9A5" w14:textId="77777777" w:rsidR="00337B20" w:rsidRPr="00E01239" w:rsidRDefault="00337B20" w:rsidP="00263B8A">
      <w:pPr>
        <w:spacing w:before="120" w:line="280" w:lineRule="exact"/>
        <w:jc w:val="both"/>
        <w:rPr>
          <w:rFonts w:asciiTheme="minorHAnsi" w:hAnsiTheme="minorHAnsi" w:cstheme="minorHAnsi"/>
          <w:sz w:val="22"/>
          <w:szCs w:val="22"/>
        </w:rPr>
        <w:sectPr w:rsidR="00337B20" w:rsidRPr="00E01239" w:rsidSect="004D34DB">
          <w:pgSz w:w="11907" w:h="16840" w:code="9"/>
          <w:pgMar w:top="1418" w:right="1134" w:bottom="1560" w:left="1134" w:header="709" w:footer="781" w:gutter="0"/>
          <w:pgBorders w:offsetFrom="page">
            <w:top w:val="none" w:sz="0" w:space="14" w:color="000000" w:shadow="1"/>
            <w:left w:val="none" w:sz="55" w:space="20" w:color="000030" w:shadow="1" w:frame="1"/>
            <w:bottom w:val="none" w:sz="55" w:space="13" w:color="000030" w:shadow="1" w:frame="1"/>
            <w:right w:val="none" w:sz="0" w:space="14" w:color="0000B4" w:shadow="1"/>
          </w:pgBorders>
          <w:cols w:space="708"/>
          <w:docGrid w:linePitch="360"/>
        </w:sectPr>
      </w:pPr>
    </w:p>
    <w:p w14:paraId="566C0E9F" w14:textId="77777777" w:rsidR="00A0097D" w:rsidRPr="00E01239" w:rsidRDefault="00A0097D" w:rsidP="0011733B">
      <w:pPr>
        <w:pStyle w:val="Titre4"/>
        <w:spacing w:before="120" w:line="280" w:lineRule="exact"/>
        <w:ind w:left="1843" w:hanging="1134"/>
        <w:contextualSpacing w:val="0"/>
        <w:rPr>
          <w:rFonts w:asciiTheme="minorHAnsi" w:hAnsiTheme="minorHAnsi" w:cstheme="minorHAnsi"/>
          <w:b w:val="0"/>
          <w:u w:val="single"/>
        </w:rPr>
      </w:pPr>
      <w:bookmarkStart w:id="678" w:name="_Toc144654136"/>
      <w:r w:rsidRPr="00E01239">
        <w:rPr>
          <w:rFonts w:asciiTheme="minorHAnsi" w:hAnsiTheme="minorHAnsi" w:cstheme="minorHAnsi"/>
          <w:u w:val="single"/>
        </w:rPr>
        <w:t>Risque de prolifération de plantes envahissantes</w:t>
      </w:r>
      <w:bookmarkEnd w:id="678"/>
      <w:r w:rsidRPr="00E01239">
        <w:rPr>
          <w:rFonts w:asciiTheme="minorHAnsi" w:hAnsiTheme="minorHAnsi" w:cstheme="minorHAnsi"/>
          <w:u w:val="single"/>
        </w:rPr>
        <w:t xml:space="preserve"> </w:t>
      </w:r>
    </w:p>
    <w:p w14:paraId="153AC856" w14:textId="741BCE52" w:rsidR="00337B20" w:rsidRPr="00E01239" w:rsidRDefault="00337B20"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L’impact majeur des aménagements </w:t>
      </w:r>
      <w:r w:rsidR="00E5478E" w:rsidRPr="00E01239">
        <w:rPr>
          <w:rFonts w:asciiTheme="minorHAnsi" w:hAnsiTheme="minorHAnsi" w:cstheme="minorHAnsi"/>
          <w:sz w:val="22"/>
          <w:szCs w:val="22"/>
        </w:rPr>
        <w:t xml:space="preserve">hydro-agricoles </w:t>
      </w:r>
      <w:r w:rsidRPr="00E01239">
        <w:rPr>
          <w:rFonts w:asciiTheme="minorHAnsi" w:hAnsiTheme="minorHAnsi" w:cstheme="minorHAnsi"/>
          <w:sz w:val="22"/>
          <w:szCs w:val="22"/>
        </w:rPr>
        <w:t xml:space="preserve">est l’apparition d’une végétation aquatique qui sera relativement importante et diversifiée. Le danger pour le système hydraulique et le bon écoulement des eaux pourraient provenir d’une éventuelle apparition dans les canaux de plantes envahissantes (Typha australis, </w:t>
      </w:r>
      <w:proofErr w:type="spellStart"/>
      <w:r w:rsidRPr="00E01239">
        <w:rPr>
          <w:rFonts w:asciiTheme="minorHAnsi" w:hAnsiTheme="minorHAnsi" w:cstheme="minorHAnsi"/>
          <w:sz w:val="22"/>
          <w:szCs w:val="22"/>
        </w:rPr>
        <w:t>Jussea</w:t>
      </w:r>
      <w:proofErr w:type="spellEnd"/>
      <w:r w:rsidRPr="00E01239">
        <w:rPr>
          <w:rFonts w:asciiTheme="minorHAnsi" w:hAnsiTheme="minorHAnsi" w:cstheme="minorHAnsi"/>
          <w:sz w:val="22"/>
          <w:szCs w:val="22"/>
        </w:rPr>
        <w:t xml:space="preserve"> repens et </w:t>
      </w:r>
      <w:proofErr w:type="spellStart"/>
      <w:r w:rsidRPr="00E01239">
        <w:rPr>
          <w:rFonts w:asciiTheme="minorHAnsi" w:hAnsiTheme="minorHAnsi" w:cstheme="minorHAnsi"/>
          <w:sz w:val="22"/>
          <w:szCs w:val="22"/>
        </w:rPr>
        <w:t>Nymphea</w:t>
      </w:r>
      <w:proofErr w:type="spellEnd"/>
      <w:r w:rsidRPr="00E01239">
        <w:rPr>
          <w:rFonts w:asciiTheme="minorHAnsi" w:hAnsiTheme="minorHAnsi" w:cstheme="minorHAnsi"/>
          <w:sz w:val="22"/>
          <w:szCs w:val="22"/>
        </w:rPr>
        <w:t xml:space="preserve"> lotus, etc.) qui ont des impacts très négatifs sur l’ensemble du réseau. </w:t>
      </w:r>
    </w:p>
    <w:p w14:paraId="0B243ECC" w14:textId="67FF96A9" w:rsidR="00337B20" w:rsidRPr="00E01239" w:rsidRDefault="00337B20"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Avec le projet, les mouvements du bétail pourront se diriger vers les canaux d’irrigation </w:t>
      </w:r>
      <w:r w:rsidR="00E5478E" w:rsidRPr="00E01239">
        <w:rPr>
          <w:rFonts w:asciiTheme="minorHAnsi" w:hAnsiTheme="minorHAnsi" w:cstheme="minorHAnsi"/>
          <w:sz w:val="22"/>
          <w:szCs w:val="22"/>
        </w:rPr>
        <w:t xml:space="preserve">et les dépressions recevant les eaux de drainage </w:t>
      </w:r>
      <w:r w:rsidRPr="00E01239">
        <w:rPr>
          <w:rFonts w:asciiTheme="minorHAnsi" w:hAnsiTheme="minorHAnsi" w:cstheme="minorHAnsi"/>
          <w:sz w:val="22"/>
          <w:szCs w:val="22"/>
        </w:rPr>
        <w:t xml:space="preserve">pour s’abreuver et vers les parcelles pour se nourrir. Ce qui pourrait se traduire par des conflits entre agriculteurs et éleveurs. </w:t>
      </w:r>
      <w:r w:rsidR="00CD64C1" w:rsidRPr="00E01239">
        <w:rPr>
          <w:rFonts w:asciiTheme="minorHAnsi" w:hAnsiTheme="minorHAnsi" w:cstheme="minorHAnsi"/>
          <w:sz w:val="22"/>
          <w:szCs w:val="22"/>
        </w:rPr>
        <w:t>Sur le</w:t>
      </w:r>
      <w:r w:rsidRPr="00E01239">
        <w:rPr>
          <w:rFonts w:asciiTheme="minorHAnsi" w:hAnsiTheme="minorHAnsi" w:cstheme="minorHAnsi"/>
          <w:sz w:val="22"/>
          <w:szCs w:val="22"/>
        </w:rPr>
        <w:t xml:space="preserve"> plan sanitaire, le bétail pourrait être exposé à des risques de maladies hydriques induites par les activités agricoles (</w:t>
      </w:r>
      <w:proofErr w:type="spellStart"/>
      <w:r w:rsidRPr="00E01239">
        <w:rPr>
          <w:rFonts w:asciiTheme="minorHAnsi" w:hAnsiTheme="minorHAnsi" w:cstheme="minorHAnsi"/>
          <w:sz w:val="22"/>
          <w:szCs w:val="22"/>
        </w:rPr>
        <w:t>Chystosomonose</w:t>
      </w:r>
      <w:proofErr w:type="spellEnd"/>
      <w:r w:rsidRPr="00E01239">
        <w:rPr>
          <w:rFonts w:asciiTheme="minorHAnsi" w:hAnsiTheme="minorHAnsi" w:cstheme="minorHAnsi"/>
          <w:sz w:val="22"/>
          <w:szCs w:val="22"/>
        </w:rPr>
        <w:t xml:space="preserve"> et distomatoses).</w:t>
      </w:r>
    </w:p>
    <w:p w14:paraId="3CD9BC1C" w14:textId="24381BDD" w:rsidR="00337B20" w:rsidRPr="00E01239" w:rsidRDefault="00337B20" w:rsidP="00263B8A">
      <w:pPr>
        <w:spacing w:before="120" w:line="280" w:lineRule="exact"/>
        <w:jc w:val="both"/>
        <w:rPr>
          <w:rFonts w:asciiTheme="minorHAnsi" w:hAnsiTheme="minorHAnsi" w:cstheme="minorHAnsi"/>
          <w:sz w:val="22"/>
          <w:szCs w:val="22"/>
        </w:rPr>
      </w:pPr>
    </w:p>
    <w:p w14:paraId="4AE4F296" w14:textId="77777777" w:rsidR="00A0097D" w:rsidRPr="00E01239" w:rsidRDefault="00A0097D" w:rsidP="0011733B">
      <w:pPr>
        <w:pStyle w:val="Titre4"/>
        <w:spacing w:before="120" w:line="280" w:lineRule="exact"/>
        <w:ind w:left="1843" w:hanging="1134"/>
        <w:contextualSpacing w:val="0"/>
        <w:rPr>
          <w:rFonts w:asciiTheme="minorHAnsi" w:hAnsiTheme="minorHAnsi" w:cstheme="minorHAnsi"/>
          <w:b w:val="0"/>
          <w:u w:val="single"/>
        </w:rPr>
      </w:pPr>
      <w:bookmarkStart w:id="679" w:name="_Toc480810926"/>
      <w:bookmarkStart w:id="680" w:name="_Toc30067919"/>
      <w:bookmarkStart w:id="681" w:name="_Toc35244778"/>
      <w:bookmarkStart w:id="682" w:name="_Toc144654137"/>
      <w:r w:rsidRPr="00E01239">
        <w:rPr>
          <w:rFonts w:asciiTheme="minorHAnsi" w:hAnsiTheme="minorHAnsi" w:cstheme="minorHAnsi"/>
          <w:u w:val="single"/>
        </w:rPr>
        <w:t>Exposition des producteurs et des riverains</w:t>
      </w:r>
      <w:bookmarkEnd w:id="679"/>
      <w:bookmarkEnd w:id="680"/>
      <w:bookmarkEnd w:id="681"/>
      <w:r w:rsidRPr="00E01239">
        <w:rPr>
          <w:rFonts w:asciiTheme="minorHAnsi" w:hAnsiTheme="minorHAnsi" w:cstheme="minorHAnsi"/>
          <w:u w:val="single"/>
        </w:rPr>
        <w:t xml:space="preserve"> aux maladies liées à l’eau</w:t>
      </w:r>
      <w:bookmarkEnd w:id="682"/>
    </w:p>
    <w:p w14:paraId="4C3B42C0" w14:textId="77777777" w:rsidR="00A0097D" w:rsidRPr="00E01239" w:rsidRDefault="00A0097D"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Avec l’exploitation agricole, on pourrait craindre un développement de maladies liées à l’eau. En effet, le mauvais drainage du réseau agricole et le mauvais assainissement des zones d’habitation créent des conditions propices au développement de diverses maladies par la stagnation des eaux souvent usées ; c'est le cas du paludisme dont les deux espèces de moustiques connues comme vecteurs dans la région (</w:t>
      </w:r>
      <w:proofErr w:type="spellStart"/>
      <w:r w:rsidRPr="00E01239">
        <w:rPr>
          <w:rFonts w:asciiTheme="minorHAnsi" w:hAnsiTheme="minorHAnsi" w:cstheme="minorHAnsi"/>
          <w:sz w:val="22"/>
          <w:szCs w:val="22"/>
        </w:rPr>
        <w:t>Anopheles</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gambiae</w:t>
      </w:r>
      <w:proofErr w:type="spellEnd"/>
      <w:r w:rsidRPr="00E01239">
        <w:rPr>
          <w:rFonts w:asciiTheme="minorHAnsi" w:hAnsiTheme="minorHAnsi" w:cstheme="minorHAnsi"/>
          <w:sz w:val="22"/>
          <w:szCs w:val="22"/>
        </w:rPr>
        <w:t xml:space="preserve">, toute l'année, et </w:t>
      </w:r>
      <w:proofErr w:type="spellStart"/>
      <w:r w:rsidRPr="00E01239">
        <w:rPr>
          <w:rFonts w:asciiTheme="minorHAnsi" w:hAnsiTheme="minorHAnsi" w:cstheme="minorHAnsi"/>
          <w:sz w:val="22"/>
          <w:szCs w:val="22"/>
        </w:rPr>
        <w:t>Anopheles</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arabiensis</w:t>
      </w:r>
      <w:proofErr w:type="spellEnd"/>
      <w:r w:rsidRPr="00E01239">
        <w:rPr>
          <w:rFonts w:asciiTheme="minorHAnsi" w:hAnsiTheme="minorHAnsi" w:cstheme="minorHAnsi"/>
          <w:sz w:val="22"/>
          <w:szCs w:val="22"/>
        </w:rPr>
        <w:t xml:space="preserve"> en saison sèche) se reproduisent dans ces eaux stagnantes. La présence d'une abondante végétation aquatique dans les canaux permet en outre le développement des mollusques hôtes intermédiaires dans le cycle de la bilharziose (</w:t>
      </w:r>
      <w:proofErr w:type="spellStart"/>
      <w:r w:rsidRPr="00E01239">
        <w:rPr>
          <w:rFonts w:asciiTheme="minorHAnsi" w:hAnsiTheme="minorHAnsi" w:cstheme="minorHAnsi"/>
          <w:sz w:val="22"/>
          <w:szCs w:val="22"/>
        </w:rPr>
        <w:t>Bulinus</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truncatus</w:t>
      </w:r>
      <w:proofErr w:type="spellEnd"/>
      <w:r w:rsidRPr="00E01239">
        <w:rPr>
          <w:rFonts w:asciiTheme="minorHAnsi" w:hAnsiTheme="minorHAnsi" w:cstheme="minorHAnsi"/>
          <w:sz w:val="22"/>
          <w:szCs w:val="22"/>
        </w:rPr>
        <w:t xml:space="preserve"> pour la bilharziose intestinale, et </w:t>
      </w:r>
      <w:proofErr w:type="spellStart"/>
      <w:r w:rsidRPr="00E01239">
        <w:rPr>
          <w:rFonts w:asciiTheme="minorHAnsi" w:hAnsiTheme="minorHAnsi" w:cstheme="minorHAnsi"/>
          <w:sz w:val="22"/>
          <w:szCs w:val="22"/>
        </w:rPr>
        <w:t>Biomphalaria</w:t>
      </w:r>
      <w:proofErr w:type="spellEnd"/>
      <w:r w:rsidRPr="00E01239">
        <w:rPr>
          <w:rFonts w:asciiTheme="minorHAnsi" w:hAnsiTheme="minorHAnsi" w:cstheme="minorHAnsi"/>
          <w:sz w:val="22"/>
          <w:szCs w:val="22"/>
        </w:rPr>
        <w:t xml:space="preserve"> </w:t>
      </w:r>
      <w:proofErr w:type="spellStart"/>
      <w:r w:rsidRPr="00E01239">
        <w:rPr>
          <w:rFonts w:asciiTheme="minorHAnsi" w:hAnsiTheme="minorHAnsi" w:cstheme="minorHAnsi"/>
          <w:sz w:val="22"/>
          <w:szCs w:val="22"/>
        </w:rPr>
        <w:t>pfeifferi</w:t>
      </w:r>
      <w:proofErr w:type="spellEnd"/>
      <w:r w:rsidRPr="00E01239">
        <w:rPr>
          <w:rFonts w:asciiTheme="minorHAnsi" w:hAnsiTheme="minorHAnsi" w:cstheme="minorHAnsi"/>
          <w:sz w:val="22"/>
          <w:szCs w:val="22"/>
        </w:rPr>
        <w:t xml:space="preserve"> pour la bilharziose urinaire). La </w:t>
      </w:r>
      <w:r w:rsidRPr="00E01239">
        <w:rPr>
          <w:rFonts w:asciiTheme="minorHAnsi" w:hAnsiTheme="minorHAnsi" w:cstheme="minorHAnsi"/>
          <w:sz w:val="22"/>
          <w:szCs w:val="22"/>
        </w:rPr>
        <w:lastRenderedPageBreak/>
        <w:t>présence de résidus toxiques d'origine agricole est également un facteur de prolifération des maladies. Les risques liés à la prolifération des IST/SIDA issus de la période de construction du projet pourront se maintenir du fait de l’afflux des ouvriers agricoles et des exploitants à la recherche de parcelles irriguées.</w:t>
      </w:r>
    </w:p>
    <w:p w14:paraId="1791AEA0" w14:textId="77777777" w:rsidR="00A0097D" w:rsidRPr="00E01239" w:rsidRDefault="00A0097D" w:rsidP="00263B8A">
      <w:pPr>
        <w:spacing w:before="120" w:line="280" w:lineRule="exact"/>
        <w:jc w:val="both"/>
        <w:rPr>
          <w:rFonts w:asciiTheme="minorHAnsi" w:hAnsiTheme="minorHAnsi" w:cstheme="minorHAnsi"/>
          <w:sz w:val="22"/>
          <w:szCs w:val="22"/>
        </w:rPr>
      </w:pPr>
    </w:p>
    <w:p w14:paraId="31C3A795" w14:textId="29521299" w:rsidR="00337B20" w:rsidRPr="00E01239" w:rsidRDefault="00337B20" w:rsidP="0011733B">
      <w:pPr>
        <w:pStyle w:val="Titre4"/>
        <w:spacing w:before="120" w:line="280" w:lineRule="exact"/>
        <w:ind w:left="1843" w:hanging="1134"/>
        <w:contextualSpacing w:val="0"/>
        <w:rPr>
          <w:rFonts w:asciiTheme="minorHAnsi" w:hAnsiTheme="minorHAnsi" w:cstheme="minorHAnsi"/>
          <w:b w:val="0"/>
          <w:u w:val="single"/>
        </w:rPr>
      </w:pPr>
      <w:bookmarkStart w:id="683" w:name="_Toc144654138"/>
      <w:r w:rsidRPr="00E01239">
        <w:rPr>
          <w:rFonts w:asciiTheme="minorHAnsi" w:hAnsiTheme="minorHAnsi" w:cstheme="minorHAnsi"/>
          <w:u w:val="single"/>
        </w:rPr>
        <w:t>Augmentation des prélèvements sur les ressources en eau de surface</w:t>
      </w:r>
      <w:bookmarkEnd w:id="683"/>
    </w:p>
    <w:p w14:paraId="3A00D7C5" w14:textId="5343CCBA" w:rsidR="00337B20" w:rsidRPr="00E01239" w:rsidRDefault="00337B20"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L’aménagement</w:t>
      </w:r>
      <w:r w:rsidR="00E5478E" w:rsidRPr="00E01239">
        <w:rPr>
          <w:rFonts w:asciiTheme="minorHAnsi" w:hAnsiTheme="minorHAnsi" w:cstheme="minorHAnsi"/>
          <w:sz w:val="22"/>
          <w:szCs w:val="22"/>
          <w:lang w:bidi="fr-FR"/>
        </w:rPr>
        <w:t xml:space="preserve"> et/ou la réhabilitation</w:t>
      </w:r>
      <w:r w:rsidRPr="00E01239">
        <w:rPr>
          <w:rFonts w:asciiTheme="minorHAnsi" w:hAnsiTheme="minorHAnsi" w:cstheme="minorHAnsi"/>
          <w:sz w:val="22"/>
          <w:szCs w:val="22"/>
          <w:lang w:bidi="fr-FR"/>
        </w:rPr>
        <w:t xml:space="preserve"> de milliers d’hectares de terres irriguées notamment dans la vallée du Fleuve Sénégal aura pour effet d’augmenter les besoins en eau d’irrigation et d’induire des pressions additionnelles sur </w:t>
      </w:r>
      <w:r w:rsidR="00A0097D" w:rsidRPr="00E01239">
        <w:rPr>
          <w:rFonts w:asciiTheme="minorHAnsi" w:hAnsiTheme="minorHAnsi" w:cstheme="minorHAnsi"/>
          <w:sz w:val="22"/>
          <w:szCs w:val="22"/>
          <w:lang w:bidi="fr-FR"/>
        </w:rPr>
        <w:t>ressources en eau de surface</w:t>
      </w:r>
      <w:r w:rsidRPr="00E01239">
        <w:rPr>
          <w:rFonts w:asciiTheme="minorHAnsi" w:hAnsiTheme="minorHAnsi" w:cstheme="minorHAnsi"/>
          <w:sz w:val="22"/>
          <w:szCs w:val="22"/>
          <w:lang w:bidi="fr-FR"/>
        </w:rPr>
        <w:t xml:space="preserve">. L’augmentation des prélèvements conjugués aux effets des changements climatiques sur </w:t>
      </w:r>
      <w:r w:rsidR="00A0097D" w:rsidRPr="00E01239">
        <w:rPr>
          <w:rFonts w:asciiTheme="minorHAnsi" w:hAnsiTheme="minorHAnsi" w:cstheme="minorHAnsi"/>
          <w:sz w:val="22"/>
          <w:szCs w:val="22"/>
          <w:lang w:bidi="fr-FR"/>
        </w:rPr>
        <w:t>ces plans d’eau</w:t>
      </w:r>
      <w:r w:rsidRPr="00E01239">
        <w:rPr>
          <w:rFonts w:asciiTheme="minorHAnsi" w:hAnsiTheme="minorHAnsi" w:cstheme="minorHAnsi"/>
          <w:sz w:val="22"/>
          <w:szCs w:val="22"/>
          <w:lang w:bidi="fr-FR"/>
        </w:rPr>
        <w:t xml:space="preserve"> pourrait potentiellement </w:t>
      </w:r>
      <w:r w:rsidR="00BC1565" w:rsidRPr="00E01239">
        <w:rPr>
          <w:rFonts w:asciiTheme="minorHAnsi" w:hAnsiTheme="minorHAnsi" w:cstheme="minorHAnsi"/>
          <w:sz w:val="22"/>
          <w:szCs w:val="22"/>
          <w:lang w:bidi="fr-FR"/>
        </w:rPr>
        <w:t>entraîner</w:t>
      </w:r>
      <w:r w:rsidRPr="00E01239">
        <w:rPr>
          <w:rFonts w:asciiTheme="minorHAnsi" w:hAnsiTheme="minorHAnsi" w:cstheme="minorHAnsi"/>
          <w:sz w:val="22"/>
          <w:szCs w:val="22"/>
          <w:lang w:bidi="fr-FR"/>
        </w:rPr>
        <w:t xml:space="preserve"> des conséquences sur d’éventuelles compétitions autour de la ressource notamment en rapport avec le catalogue d’usages et de services rendus par ce plan d’eau.</w:t>
      </w:r>
    </w:p>
    <w:p w14:paraId="40CA73A7" w14:textId="5576F858" w:rsidR="00A0097D" w:rsidRPr="00E01239" w:rsidRDefault="00A0097D" w:rsidP="00263B8A">
      <w:pPr>
        <w:spacing w:before="120" w:line="280" w:lineRule="exact"/>
        <w:rPr>
          <w:rFonts w:asciiTheme="minorHAnsi" w:hAnsiTheme="minorHAnsi" w:cstheme="minorHAnsi"/>
          <w:sz w:val="22"/>
          <w:szCs w:val="22"/>
        </w:rPr>
      </w:pPr>
    </w:p>
    <w:p w14:paraId="094BD623" w14:textId="77777777" w:rsidR="00A0097D" w:rsidRPr="00E01239" w:rsidRDefault="00A0097D" w:rsidP="0011733B">
      <w:pPr>
        <w:pStyle w:val="Titre4"/>
        <w:spacing w:before="120" w:line="280" w:lineRule="exact"/>
        <w:ind w:left="1843" w:hanging="1134"/>
        <w:contextualSpacing w:val="0"/>
        <w:rPr>
          <w:rFonts w:asciiTheme="minorHAnsi" w:hAnsiTheme="minorHAnsi" w:cstheme="minorHAnsi"/>
          <w:b w:val="0"/>
          <w:u w:val="single"/>
        </w:rPr>
      </w:pPr>
      <w:bookmarkStart w:id="684" w:name="_Toc480810928"/>
      <w:bookmarkStart w:id="685" w:name="_Toc30067921"/>
      <w:bookmarkStart w:id="686" w:name="_Toc35244780"/>
      <w:bookmarkStart w:id="687" w:name="_Toc144654139"/>
      <w:r w:rsidRPr="00E01239">
        <w:rPr>
          <w:rFonts w:asciiTheme="minorHAnsi" w:hAnsiTheme="minorHAnsi" w:cstheme="minorHAnsi"/>
          <w:u w:val="single"/>
        </w:rPr>
        <w:t>Impacts sur le foncier et la dynamique organisationnelle des producteurs</w:t>
      </w:r>
      <w:bookmarkEnd w:id="684"/>
      <w:bookmarkEnd w:id="685"/>
      <w:bookmarkEnd w:id="686"/>
      <w:bookmarkEnd w:id="687"/>
    </w:p>
    <w:p w14:paraId="3D62B4C3" w14:textId="1033EF8D" w:rsidR="00A0097D" w:rsidRPr="00E01239" w:rsidRDefault="00A0097D"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Les procédures de réattribution des parcelles aux producteurs </w:t>
      </w:r>
      <w:r w:rsidR="00E5478E" w:rsidRPr="00E01239">
        <w:rPr>
          <w:rFonts w:asciiTheme="minorHAnsi" w:hAnsiTheme="minorHAnsi" w:cstheme="minorHAnsi"/>
          <w:sz w:val="22"/>
          <w:szCs w:val="22"/>
          <w:lang w:bidi="fr-FR"/>
        </w:rPr>
        <w:t xml:space="preserve">après les opérations de réhabilitation des périmètres irrigués </w:t>
      </w:r>
      <w:r w:rsidR="0025124D" w:rsidRPr="00E01239">
        <w:rPr>
          <w:rFonts w:asciiTheme="minorHAnsi" w:hAnsiTheme="minorHAnsi" w:cstheme="minorHAnsi"/>
          <w:sz w:val="22"/>
          <w:szCs w:val="22"/>
          <w:lang w:bidi="fr-FR"/>
        </w:rPr>
        <w:t>villageois</w:t>
      </w:r>
      <w:r w:rsidR="00E5478E" w:rsidRPr="00E01239">
        <w:rPr>
          <w:rFonts w:asciiTheme="minorHAnsi" w:hAnsiTheme="minorHAnsi" w:cstheme="minorHAnsi"/>
          <w:sz w:val="22"/>
          <w:szCs w:val="22"/>
          <w:lang w:bidi="fr-FR"/>
        </w:rPr>
        <w:t xml:space="preserve"> </w:t>
      </w:r>
      <w:r w:rsidRPr="00E01239">
        <w:rPr>
          <w:rFonts w:asciiTheme="minorHAnsi" w:hAnsiTheme="minorHAnsi" w:cstheme="minorHAnsi"/>
          <w:sz w:val="22"/>
          <w:szCs w:val="22"/>
          <w:lang w:bidi="fr-FR"/>
        </w:rPr>
        <w:t>pourront être à l’origine de tensions et conflits si les procédures ne sont pas transparentes. Aussi</w:t>
      </w:r>
      <w:r w:rsidR="00645CBA">
        <w:rPr>
          <w:rFonts w:asciiTheme="minorHAnsi" w:hAnsiTheme="minorHAnsi" w:cstheme="minorHAnsi"/>
          <w:sz w:val="22"/>
          <w:szCs w:val="22"/>
          <w:lang w:bidi="fr-FR"/>
        </w:rPr>
        <w:t>,</w:t>
      </w:r>
      <w:r w:rsidRPr="00E01239">
        <w:rPr>
          <w:rFonts w:asciiTheme="minorHAnsi" w:hAnsiTheme="minorHAnsi" w:cstheme="minorHAnsi"/>
          <w:sz w:val="22"/>
          <w:szCs w:val="22"/>
          <w:lang w:bidi="fr-FR"/>
        </w:rPr>
        <w:t xml:space="preserve"> la </w:t>
      </w:r>
      <w:r w:rsidR="0025124D" w:rsidRPr="00E01239">
        <w:rPr>
          <w:rFonts w:asciiTheme="minorHAnsi" w:hAnsiTheme="minorHAnsi" w:cstheme="minorHAnsi"/>
          <w:sz w:val="22"/>
          <w:szCs w:val="22"/>
          <w:lang w:bidi="fr-FR"/>
        </w:rPr>
        <w:t>non-implication</w:t>
      </w:r>
      <w:r w:rsidRPr="00E01239">
        <w:rPr>
          <w:rFonts w:asciiTheme="minorHAnsi" w:hAnsiTheme="minorHAnsi" w:cstheme="minorHAnsi"/>
          <w:sz w:val="22"/>
          <w:szCs w:val="22"/>
          <w:lang w:bidi="fr-FR"/>
        </w:rPr>
        <w:t xml:space="preserve"> des groupes vulnérables (femmes et jeunes et handicapés) dans la distribution des parcelles pourrait renforcer leur vulnérabilité et creuser les inégalités de genre déjà très accentuées dans ces zones. Cette situation pourrait aussi affecter la dynamique organisationnelle des producteurs. </w:t>
      </w:r>
    </w:p>
    <w:p w14:paraId="05303F5A" w14:textId="26FB0ED4" w:rsidR="00A0097D" w:rsidRPr="00E01239" w:rsidRDefault="00A0097D" w:rsidP="00263B8A">
      <w:pPr>
        <w:spacing w:before="120" w:line="280" w:lineRule="exact"/>
        <w:jc w:val="both"/>
        <w:rPr>
          <w:rFonts w:asciiTheme="minorHAnsi" w:hAnsiTheme="minorHAnsi" w:cstheme="minorHAnsi"/>
          <w:sz w:val="22"/>
          <w:szCs w:val="22"/>
          <w:lang w:bidi="fr-FR"/>
        </w:rPr>
      </w:pPr>
    </w:p>
    <w:p w14:paraId="7DB726E7" w14:textId="77777777" w:rsidR="00A0097D" w:rsidRPr="00E01239" w:rsidRDefault="00A0097D" w:rsidP="0011733B">
      <w:pPr>
        <w:pStyle w:val="Titre4"/>
        <w:spacing w:before="120" w:line="280" w:lineRule="exact"/>
        <w:ind w:left="1843" w:hanging="1134"/>
        <w:contextualSpacing w:val="0"/>
        <w:rPr>
          <w:rFonts w:asciiTheme="minorHAnsi" w:hAnsiTheme="minorHAnsi" w:cstheme="minorHAnsi"/>
          <w:b w:val="0"/>
          <w:u w:val="single"/>
        </w:rPr>
      </w:pPr>
      <w:bookmarkStart w:id="688" w:name="_Toc480810931"/>
      <w:bookmarkStart w:id="689" w:name="_Toc30067923"/>
      <w:bookmarkStart w:id="690" w:name="_Toc35244782"/>
      <w:bookmarkStart w:id="691" w:name="_Toc144654140"/>
      <w:r w:rsidRPr="00E01239">
        <w:rPr>
          <w:rFonts w:asciiTheme="minorHAnsi" w:hAnsiTheme="minorHAnsi" w:cstheme="minorHAnsi"/>
          <w:u w:val="single"/>
        </w:rPr>
        <w:t>Pollution des eaux de surface et nuisances sonores induites par le fonctionnement et l’entretien des stations de pompage</w:t>
      </w:r>
      <w:bookmarkEnd w:id="688"/>
      <w:bookmarkEnd w:id="689"/>
      <w:bookmarkEnd w:id="690"/>
      <w:bookmarkEnd w:id="691"/>
      <w:r w:rsidRPr="00E01239">
        <w:rPr>
          <w:rFonts w:asciiTheme="minorHAnsi" w:hAnsiTheme="minorHAnsi" w:cstheme="minorHAnsi"/>
          <w:u w:val="single"/>
        </w:rPr>
        <w:t xml:space="preserve"> </w:t>
      </w:r>
    </w:p>
    <w:p w14:paraId="765C5D52" w14:textId="43B7602C" w:rsidR="00A0097D" w:rsidRPr="00E01239" w:rsidRDefault="00A0097D"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Les risques majeurs sont la pollution des eaux et des sols par les déchets d’entretien, les accidents liés aux maintenances et les nuisances sonores liées au fonctionnement des turbines. L’entretien des stations de pompage va générer des déchets solides (pièces d’usures ; huiles usagées etc.) qu’il s’agira de bien collecter et en vue de leur évacuation à des sites autorisés pour éviter des encombrements. Les déchets comprennent aussi les déchets dangereux comme les batteries usagées pour les panneaux solaires d’alimentation de la pompe.</w:t>
      </w:r>
    </w:p>
    <w:p w14:paraId="5074FC83" w14:textId="702F7A63" w:rsidR="00A0097D" w:rsidRPr="00E01239" w:rsidRDefault="00A0097D" w:rsidP="00263B8A">
      <w:pPr>
        <w:spacing w:before="120" w:line="280" w:lineRule="exact"/>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L’entretien des stations de pompage essentiellement composée de pompes et d’équipements électriques comporte des risques d’accidents surtout pour le personnel. Dans la station de pompage, le bruit provient de composants tels les pompes, les moteurs et les transformateurs électriques. Les niveaux sonores varient en fonction du nombre de pompes en opération. </w:t>
      </w:r>
    </w:p>
    <w:p w14:paraId="0874A3A8" w14:textId="77777777" w:rsidR="00A0097D" w:rsidRPr="00E01239" w:rsidRDefault="00A0097D" w:rsidP="00263B8A">
      <w:pPr>
        <w:spacing w:before="120" w:line="280" w:lineRule="exact"/>
        <w:jc w:val="both"/>
        <w:rPr>
          <w:rFonts w:asciiTheme="minorHAnsi" w:hAnsiTheme="minorHAnsi" w:cstheme="minorHAnsi"/>
          <w:sz w:val="22"/>
          <w:szCs w:val="22"/>
          <w:lang w:bidi="fr-FR"/>
        </w:rPr>
      </w:pPr>
    </w:p>
    <w:p w14:paraId="42D252F4" w14:textId="124B7D86" w:rsidR="00C605C5" w:rsidRPr="00E01239" w:rsidRDefault="00C605C5" w:rsidP="0011733B">
      <w:pPr>
        <w:pStyle w:val="Titre3"/>
        <w:spacing w:before="120" w:line="280" w:lineRule="exact"/>
        <w:ind w:left="1276"/>
        <w:contextualSpacing w:val="0"/>
        <w:rPr>
          <w:rFonts w:asciiTheme="minorHAnsi" w:hAnsiTheme="minorHAnsi" w:cstheme="minorHAnsi"/>
        </w:rPr>
      </w:pPr>
      <w:bookmarkStart w:id="692" w:name="_Toc144654141"/>
      <w:r w:rsidRPr="00E01239">
        <w:rPr>
          <w:rFonts w:asciiTheme="minorHAnsi" w:hAnsiTheme="minorHAnsi" w:cstheme="minorHAnsi"/>
        </w:rPr>
        <w:t>Identification des principaux impacts négatifs liés à l’exploitation des infrastructures hydrauliques</w:t>
      </w:r>
      <w:bookmarkEnd w:id="692"/>
    </w:p>
    <w:p w14:paraId="751B49CE" w14:textId="77777777" w:rsidR="00C605C5" w:rsidRPr="00E01239" w:rsidRDefault="00C605C5" w:rsidP="00263B8A">
      <w:pPr>
        <w:spacing w:before="120" w:line="280" w:lineRule="exact"/>
        <w:rPr>
          <w:rFonts w:asciiTheme="minorHAnsi" w:hAnsiTheme="minorHAnsi" w:cstheme="minorHAnsi"/>
        </w:rPr>
      </w:pPr>
    </w:p>
    <w:p w14:paraId="5F6FA74B" w14:textId="77777777" w:rsidR="00C605C5" w:rsidRPr="00E01239" w:rsidRDefault="00C605C5" w:rsidP="0011733B">
      <w:pPr>
        <w:pStyle w:val="Titre4"/>
        <w:spacing w:before="120" w:line="280" w:lineRule="exact"/>
        <w:ind w:left="1843" w:hanging="1134"/>
        <w:contextualSpacing w:val="0"/>
        <w:rPr>
          <w:rFonts w:asciiTheme="minorHAnsi" w:hAnsiTheme="minorHAnsi" w:cstheme="minorHAnsi"/>
          <w:u w:val="single"/>
        </w:rPr>
      </w:pPr>
      <w:bookmarkStart w:id="693" w:name="_Toc144654142"/>
      <w:r w:rsidRPr="00E01239">
        <w:rPr>
          <w:rFonts w:asciiTheme="minorHAnsi" w:hAnsiTheme="minorHAnsi" w:cstheme="minorHAnsi"/>
          <w:u w:val="single"/>
        </w:rPr>
        <w:t>Conflits sociaux</w:t>
      </w:r>
      <w:bookmarkEnd w:id="693"/>
    </w:p>
    <w:p w14:paraId="5971C395" w14:textId="768EB3CF" w:rsidR="00C605C5" w:rsidRPr="00E01239" w:rsidRDefault="00C605C5" w:rsidP="00263B8A">
      <w:pPr>
        <w:spacing w:before="120" w:line="280" w:lineRule="exact"/>
        <w:jc w:val="both"/>
        <w:rPr>
          <w:rFonts w:asciiTheme="minorHAnsi" w:hAnsiTheme="minorHAnsi" w:cstheme="minorHAnsi"/>
          <w:color w:val="000000"/>
          <w:sz w:val="22"/>
          <w:szCs w:val="22"/>
          <w:shd w:val="clear" w:color="auto" w:fill="FFFFFF"/>
        </w:rPr>
      </w:pPr>
      <w:r w:rsidRPr="00E01239">
        <w:rPr>
          <w:rFonts w:asciiTheme="minorHAnsi" w:hAnsiTheme="minorHAnsi" w:cstheme="minorHAnsi"/>
          <w:color w:val="000000"/>
          <w:sz w:val="22"/>
          <w:szCs w:val="22"/>
          <w:shd w:val="clear" w:color="auto" w:fill="FFFFFF"/>
        </w:rPr>
        <w:t>La gestion des ouvrages hydrauliques (mini forages) constitue une source de conflit social généralement induit par un manque d’organisation consensuelle autour des différents usages. La tarification du m</w:t>
      </w:r>
      <w:r w:rsidRPr="00E01239">
        <w:rPr>
          <w:rFonts w:asciiTheme="minorHAnsi" w:hAnsiTheme="minorHAnsi" w:cstheme="minorHAnsi"/>
          <w:color w:val="000000"/>
          <w:sz w:val="22"/>
          <w:szCs w:val="22"/>
          <w:shd w:val="clear" w:color="auto" w:fill="FFFFFF"/>
          <w:vertAlign w:val="superscript"/>
        </w:rPr>
        <w:t>3</w:t>
      </w:r>
      <w:r w:rsidRPr="00E01239">
        <w:rPr>
          <w:rFonts w:asciiTheme="minorHAnsi" w:hAnsiTheme="minorHAnsi" w:cstheme="minorHAnsi"/>
          <w:color w:val="000000"/>
          <w:sz w:val="22"/>
          <w:szCs w:val="22"/>
          <w:shd w:val="clear" w:color="auto" w:fill="FFFFFF"/>
        </w:rPr>
        <w:t xml:space="preserve"> d’eau, les modalités de recouvrement, la maintenance des ouvrages, la qualité de l’eau</w:t>
      </w:r>
      <w:r w:rsidR="004D32EB" w:rsidRPr="00E01239">
        <w:rPr>
          <w:rFonts w:asciiTheme="minorHAnsi" w:hAnsiTheme="minorHAnsi" w:cstheme="minorHAnsi"/>
          <w:color w:val="000000"/>
          <w:sz w:val="22"/>
          <w:szCs w:val="22"/>
          <w:shd w:val="clear" w:color="auto" w:fill="FFFFFF"/>
        </w:rPr>
        <w:t>, la conciliation des besoins en eau des éleveurs et ceux des agriculteurs</w:t>
      </w:r>
      <w:r w:rsidRPr="00E01239">
        <w:rPr>
          <w:rFonts w:asciiTheme="minorHAnsi" w:hAnsiTheme="minorHAnsi" w:cstheme="minorHAnsi"/>
          <w:color w:val="000000"/>
          <w:sz w:val="22"/>
          <w:szCs w:val="22"/>
          <w:shd w:val="clear" w:color="auto" w:fill="FFFFFF"/>
        </w:rPr>
        <w:t xml:space="preserve"> sont souvent des sources de tensions entre les gestionnaires de ces ouvrages et les communautés desservies. </w:t>
      </w:r>
    </w:p>
    <w:p w14:paraId="7C691513" w14:textId="77777777" w:rsidR="00C605C5" w:rsidRPr="00E01239" w:rsidRDefault="00C605C5" w:rsidP="00263B8A">
      <w:pPr>
        <w:autoSpaceDE w:val="0"/>
        <w:autoSpaceDN w:val="0"/>
        <w:adjustRightInd w:val="0"/>
        <w:spacing w:before="120" w:line="280" w:lineRule="exact"/>
        <w:jc w:val="both"/>
        <w:rPr>
          <w:rFonts w:asciiTheme="minorHAnsi" w:hAnsiTheme="minorHAnsi" w:cstheme="minorHAnsi"/>
          <w:sz w:val="22"/>
          <w:szCs w:val="22"/>
        </w:rPr>
      </w:pPr>
    </w:p>
    <w:p w14:paraId="665A73F5" w14:textId="77777777" w:rsidR="00C605C5" w:rsidRPr="00E01239" w:rsidRDefault="00C605C5" w:rsidP="0011733B">
      <w:pPr>
        <w:pStyle w:val="Titre4"/>
        <w:spacing w:before="120" w:line="280" w:lineRule="exact"/>
        <w:ind w:left="1843" w:hanging="1134"/>
        <w:contextualSpacing w:val="0"/>
        <w:rPr>
          <w:rFonts w:asciiTheme="minorHAnsi" w:hAnsiTheme="minorHAnsi" w:cstheme="minorHAnsi"/>
          <w:u w:val="single"/>
        </w:rPr>
      </w:pPr>
      <w:bookmarkStart w:id="694" w:name="_Toc144654143"/>
      <w:r w:rsidRPr="00E01239">
        <w:rPr>
          <w:rFonts w:asciiTheme="minorHAnsi" w:hAnsiTheme="minorHAnsi" w:cstheme="minorHAnsi"/>
          <w:u w:val="single"/>
        </w:rPr>
        <w:t>Altération de la qualité de l’eau potable par des phénomènes externes</w:t>
      </w:r>
      <w:bookmarkEnd w:id="694"/>
    </w:p>
    <w:p w14:paraId="371F7A29" w14:textId="77777777" w:rsidR="00C605C5" w:rsidRPr="00E01239" w:rsidRDefault="00C605C5" w:rsidP="00263B8A">
      <w:pPr>
        <w:spacing w:before="120" w:line="280" w:lineRule="exact"/>
        <w:jc w:val="both"/>
        <w:rPr>
          <w:rFonts w:asciiTheme="minorHAnsi" w:hAnsiTheme="minorHAnsi" w:cstheme="minorHAnsi"/>
          <w:color w:val="000000"/>
          <w:sz w:val="22"/>
          <w:szCs w:val="22"/>
          <w:shd w:val="clear" w:color="auto" w:fill="FFFFFF"/>
        </w:rPr>
      </w:pPr>
      <w:r w:rsidRPr="00E01239">
        <w:rPr>
          <w:rFonts w:asciiTheme="minorHAnsi" w:hAnsiTheme="minorHAnsi" w:cstheme="minorHAnsi"/>
          <w:color w:val="000000"/>
          <w:sz w:val="22"/>
          <w:szCs w:val="22"/>
          <w:shd w:val="clear" w:color="auto" w:fill="FFFFFF"/>
        </w:rPr>
        <w:t xml:space="preserve">En milieu rural, l’appréciation de la qualité de l’eau de consommation courante s’est toujours appesantie sur les études de caractérisation au niveau des points de consommation (end of pipe) souvent à l’échelle des ménages et autres usagers notamment pour les puits pastoraux. Une telle approche présente une limite objective dans le sens qu’elle ne permet pas d’identifier les causes potentielles de la contamination de l’eau qui, du reste, sont importantes à maitriser pour définir des mesures correctives pour améliorer la ressource mise à disposition des communautés.  </w:t>
      </w:r>
    </w:p>
    <w:p w14:paraId="4D9E4FE9" w14:textId="5D29EC78" w:rsidR="00C605C5" w:rsidRPr="00E01239" w:rsidRDefault="00C605C5" w:rsidP="00263B8A">
      <w:pPr>
        <w:spacing w:before="120" w:line="280" w:lineRule="exact"/>
        <w:jc w:val="both"/>
        <w:rPr>
          <w:rFonts w:asciiTheme="minorHAnsi" w:hAnsiTheme="minorHAnsi" w:cstheme="minorHAnsi"/>
          <w:color w:val="000000"/>
          <w:sz w:val="22"/>
          <w:szCs w:val="22"/>
          <w:shd w:val="clear" w:color="auto" w:fill="FFFFFF"/>
        </w:rPr>
      </w:pPr>
      <w:r w:rsidRPr="00E01239">
        <w:rPr>
          <w:rFonts w:asciiTheme="minorHAnsi" w:hAnsiTheme="minorHAnsi" w:cstheme="minorHAnsi"/>
          <w:color w:val="000000"/>
          <w:sz w:val="22"/>
          <w:szCs w:val="22"/>
          <w:shd w:val="clear" w:color="auto" w:fill="FFFFFF"/>
        </w:rPr>
        <w:t>L’aménagement et le développement d’activités non appropriées à proximité des ouvrages hydrauliques constituent des risques d’altération de la qualité de l’eau. Pour exemples, l’aménagement d’ouvrages d’assainissement à côté des ouvrages hydrauliques peut induire une infiltration de vecteurs pathogènes dans l’eau de consommation courante.</w:t>
      </w:r>
    </w:p>
    <w:p w14:paraId="4A0F1B81" w14:textId="77777777" w:rsidR="00C605C5" w:rsidRPr="00E01239" w:rsidRDefault="00C605C5" w:rsidP="00263B8A">
      <w:pPr>
        <w:pStyle w:val="Corpsdetexte"/>
        <w:spacing w:before="120" w:after="0" w:line="280" w:lineRule="exact"/>
        <w:rPr>
          <w:rFonts w:asciiTheme="minorHAnsi" w:hAnsiTheme="minorHAnsi" w:cstheme="minorHAnsi"/>
          <w:sz w:val="22"/>
          <w:szCs w:val="22"/>
        </w:rPr>
      </w:pPr>
    </w:p>
    <w:p w14:paraId="60726B29" w14:textId="5C718D3C" w:rsidR="00733C77" w:rsidRPr="00E01239" w:rsidRDefault="00733C77" w:rsidP="0011733B">
      <w:pPr>
        <w:pStyle w:val="Titre3"/>
        <w:spacing w:before="120" w:line="280" w:lineRule="exact"/>
        <w:ind w:left="1276"/>
        <w:contextualSpacing w:val="0"/>
        <w:rPr>
          <w:rFonts w:asciiTheme="minorHAnsi" w:hAnsiTheme="minorHAnsi" w:cstheme="minorHAnsi"/>
        </w:rPr>
      </w:pPr>
      <w:bookmarkStart w:id="695" w:name="_Toc144654144"/>
      <w:r w:rsidRPr="00E01239">
        <w:rPr>
          <w:rFonts w:asciiTheme="minorHAnsi" w:hAnsiTheme="minorHAnsi" w:cstheme="minorHAnsi"/>
        </w:rPr>
        <w:t>Identification des principaux impacts négatifs liés à l’exploitation des infrastructures pastorales</w:t>
      </w:r>
      <w:bookmarkEnd w:id="695"/>
    </w:p>
    <w:p w14:paraId="0B440DDE" w14:textId="4CD4B3AC" w:rsidR="00804B5E" w:rsidRPr="00E01239" w:rsidRDefault="00804B5E" w:rsidP="00263B8A">
      <w:pPr>
        <w:spacing w:before="120" w:line="280" w:lineRule="exact"/>
        <w:rPr>
          <w:rFonts w:asciiTheme="minorHAnsi" w:hAnsiTheme="minorHAnsi" w:cstheme="minorHAnsi"/>
        </w:rPr>
      </w:pPr>
    </w:p>
    <w:p w14:paraId="5AE6B97E" w14:textId="08FA7E6A" w:rsidR="00804B5E" w:rsidRPr="00E01239" w:rsidRDefault="00804B5E" w:rsidP="0011733B">
      <w:pPr>
        <w:pStyle w:val="Titre4"/>
        <w:spacing w:before="120" w:line="280" w:lineRule="exact"/>
        <w:ind w:left="1843" w:hanging="992"/>
        <w:contextualSpacing w:val="0"/>
        <w:rPr>
          <w:rFonts w:asciiTheme="minorHAnsi" w:hAnsiTheme="minorHAnsi" w:cstheme="minorHAnsi"/>
          <w:u w:val="single"/>
        </w:rPr>
      </w:pPr>
      <w:bookmarkStart w:id="696" w:name="_Toc116408745"/>
      <w:bookmarkStart w:id="697" w:name="_Toc144654145"/>
      <w:r w:rsidRPr="00E01239">
        <w:rPr>
          <w:rFonts w:asciiTheme="minorHAnsi" w:hAnsiTheme="minorHAnsi" w:cstheme="minorHAnsi"/>
          <w:u w:val="single"/>
        </w:rPr>
        <w:t>Impacts et risques spécifiques en phase de conception des infrastructures pastorales</w:t>
      </w:r>
      <w:bookmarkEnd w:id="696"/>
      <w:bookmarkEnd w:id="697"/>
    </w:p>
    <w:p w14:paraId="60670D4F" w14:textId="0CD04CA0" w:rsidR="00804B5E" w:rsidRPr="00E01239" w:rsidRDefault="00804B5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La phase de planification et de conception des principales infrastructures pastorales (laboratoires régionaux, forages pastoraux, etc.), constitue une étape clé du cycle de mise en œuvre du FRSP-SN. Elle est fondamentale car garante d’une intégration précoce de mesures d’évitement d’impacts environnementaux et sociaux négatifs dans la conception des infrastructures et dans le choix des sites d’implantation.</w:t>
      </w:r>
    </w:p>
    <w:p w14:paraId="6C76772C" w14:textId="77777777" w:rsidR="00804B5E" w:rsidRPr="00E01239" w:rsidRDefault="00804B5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Une conception n’intégrant pas ce principe pourrait induire un ensemble d’impacts environnementaux et sociaux qui nécessiteront d’importantes mesures de mitigation en phase de mise en œuvre et un renchérissement éventuel des coûts du projet.</w:t>
      </w:r>
    </w:p>
    <w:p w14:paraId="17C6CD45" w14:textId="6091F2DD" w:rsidR="00804B5E" w:rsidRPr="00E01239" w:rsidRDefault="00804B5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risques et impacts potentiels en phase de planification et de conception des infrastructures pastorales sont :</w:t>
      </w:r>
    </w:p>
    <w:p w14:paraId="40BD9454" w14:textId="77777777" w:rsidR="00804B5E" w:rsidRPr="00E01239" w:rsidRDefault="00804B5E" w:rsidP="00027669">
      <w:pPr>
        <w:pStyle w:val="Paragraphedeliste"/>
        <w:numPr>
          <w:ilvl w:val="0"/>
          <w:numId w:val="131"/>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Risques infectieux induits par le contact avec les animaux et la manipulation des produits pharmaceutiques et aux instruments médicaux</w:t>
      </w:r>
    </w:p>
    <w:p w14:paraId="43F02033" w14:textId="77777777" w:rsidR="00804B5E" w:rsidRPr="00E01239" w:rsidRDefault="00804B5E" w:rsidP="00027669">
      <w:pPr>
        <w:pStyle w:val="Paragraphedeliste"/>
        <w:numPr>
          <w:ilvl w:val="0"/>
          <w:numId w:val="131"/>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Risque de contamination par les déchets biomédicaux</w:t>
      </w:r>
    </w:p>
    <w:p w14:paraId="6E101B84" w14:textId="77777777" w:rsidR="00804B5E" w:rsidRPr="00E01239" w:rsidRDefault="00804B5E" w:rsidP="00027669">
      <w:pPr>
        <w:pStyle w:val="Paragraphedeliste"/>
        <w:numPr>
          <w:ilvl w:val="0"/>
          <w:numId w:val="131"/>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Risques infectieux induits par la manipulation des déchets biomédicaux </w:t>
      </w:r>
    </w:p>
    <w:p w14:paraId="7AFC92BB" w14:textId="77777777" w:rsidR="00804B5E" w:rsidRPr="00E01239" w:rsidRDefault="00804B5E" w:rsidP="00027669">
      <w:pPr>
        <w:pStyle w:val="Paragraphedeliste"/>
        <w:numPr>
          <w:ilvl w:val="0"/>
          <w:numId w:val="131"/>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Risques d’incendie liés notamment à la présence de matières combustibles dans les marchés de bétails, les abattoirs et unités de transformation des cuirs et peaux.</w:t>
      </w:r>
    </w:p>
    <w:p w14:paraId="469612D5" w14:textId="77777777" w:rsidR="00804B5E" w:rsidRPr="00E01239" w:rsidRDefault="00804B5E" w:rsidP="00027669">
      <w:pPr>
        <w:pStyle w:val="Paragraphedeliste"/>
        <w:numPr>
          <w:ilvl w:val="0"/>
          <w:numId w:val="131"/>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Epuisement de la ressource en eau</w:t>
      </w:r>
    </w:p>
    <w:p w14:paraId="065D5BCF" w14:textId="77777777" w:rsidR="00804B5E" w:rsidRPr="00E01239" w:rsidRDefault="00804B5E" w:rsidP="00027669">
      <w:pPr>
        <w:pStyle w:val="Paragraphedeliste"/>
        <w:numPr>
          <w:ilvl w:val="0"/>
          <w:numId w:val="131"/>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Compétition autour de la ressource en eau</w:t>
      </w:r>
    </w:p>
    <w:p w14:paraId="4697D34A" w14:textId="77777777" w:rsidR="00804B5E" w:rsidRPr="00E01239" w:rsidRDefault="00804B5E" w:rsidP="00027669">
      <w:pPr>
        <w:pStyle w:val="Paragraphedeliste"/>
        <w:numPr>
          <w:ilvl w:val="0"/>
          <w:numId w:val="131"/>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Risque de pertes de terres agricoles, source de revenu et moyen d’existence par empiètement</w:t>
      </w:r>
    </w:p>
    <w:p w14:paraId="49919579" w14:textId="77777777" w:rsidR="00804B5E" w:rsidRPr="00E01239" w:rsidRDefault="00804B5E" w:rsidP="00027669">
      <w:pPr>
        <w:pStyle w:val="Paragraphedeliste"/>
        <w:numPr>
          <w:ilvl w:val="0"/>
          <w:numId w:val="131"/>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Infestations de ravageurs au niveau des unités laitières.</w:t>
      </w:r>
    </w:p>
    <w:p w14:paraId="7F0EF986" w14:textId="164D7868" w:rsidR="004F5604" w:rsidRPr="00E01239" w:rsidRDefault="004F5604" w:rsidP="0011733B">
      <w:pPr>
        <w:pStyle w:val="Titre4"/>
        <w:spacing w:before="120" w:line="280" w:lineRule="exact"/>
        <w:ind w:left="1843" w:hanging="992"/>
        <w:contextualSpacing w:val="0"/>
        <w:rPr>
          <w:rFonts w:asciiTheme="minorHAnsi" w:hAnsiTheme="minorHAnsi" w:cstheme="minorHAnsi"/>
          <w:u w:val="single"/>
        </w:rPr>
      </w:pPr>
      <w:bookmarkStart w:id="698" w:name="_Toc144654146"/>
      <w:r w:rsidRPr="00E01239">
        <w:rPr>
          <w:rFonts w:asciiTheme="minorHAnsi" w:hAnsiTheme="minorHAnsi" w:cstheme="minorHAnsi"/>
          <w:u w:val="single"/>
        </w:rPr>
        <w:t>Augmentation de l’empreinte carbone des systèmes alimentaires</w:t>
      </w:r>
      <w:bookmarkEnd w:id="698"/>
      <w:r w:rsidRPr="00E01239">
        <w:rPr>
          <w:rFonts w:asciiTheme="minorHAnsi" w:hAnsiTheme="minorHAnsi" w:cstheme="minorHAnsi"/>
          <w:u w:val="single"/>
        </w:rPr>
        <w:t xml:space="preserve"> </w:t>
      </w:r>
    </w:p>
    <w:p w14:paraId="4C790A36" w14:textId="3379A05B" w:rsidR="00463F14" w:rsidRPr="00E01239" w:rsidRDefault="002F5380"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Différentes activités prévues dans le cadre du </w:t>
      </w:r>
      <w:r w:rsidR="00806A39" w:rsidRPr="00E01239">
        <w:rPr>
          <w:rFonts w:asciiTheme="minorHAnsi" w:hAnsiTheme="minorHAnsi" w:cstheme="minorHAnsi"/>
          <w:sz w:val="22"/>
          <w:szCs w:val="22"/>
        </w:rPr>
        <w:t>FSRP-SN</w:t>
      </w:r>
      <w:r w:rsidR="00806A39" w:rsidRPr="00E01239" w:rsidDel="00806A39">
        <w:rPr>
          <w:rFonts w:asciiTheme="minorHAnsi" w:hAnsiTheme="minorHAnsi" w:cstheme="minorHAnsi"/>
          <w:sz w:val="22"/>
          <w:szCs w:val="22"/>
        </w:rPr>
        <w:t xml:space="preserve"> </w:t>
      </w:r>
      <w:r w:rsidRPr="00E01239">
        <w:rPr>
          <w:rFonts w:asciiTheme="minorHAnsi" w:hAnsiTheme="minorHAnsi" w:cstheme="minorHAnsi"/>
          <w:sz w:val="22"/>
          <w:szCs w:val="22"/>
        </w:rPr>
        <w:t xml:space="preserve">sont de nature à favoriser l’augmentation des émissions de gaz à effet de serre et </w:t>
      </w:r>
      <w:r w:rsidR="001C6DB9">
        <w:rPr>
          <w:rFonts w:asciiTheme="minorHAnsi" w:hAnsiTheme="minorHAnsi" w:cstheme="minorHAnsi"/>
          <w:sz w:val="22"/>
          <w:szCs w:val="22"/>
        </w:rPr>
        <w:t>de</w:t>
      </w:r>
      <w:r w:rsidR="001C6DB9" w:rsidRPr="00E01239">
        <w:rPr>
          <w:rFonts w:asciiTheme="minorHAnsi" w:hAnsiTheme="minorHAnsi" w:cstheme="minorHAnsi"/>
          <w:sz w:val="22"/>
          <w:szCs w:val="22"/>
        </w:rPr>
        <w:t xml:space="preserve"> </w:t>
      </w:r>
      <w:r w:rsidRPr="00E01239">
        <w:rPr>
          <w:rFonts w:asciiTheme="minorHAnsi" w:hAnsiTheme="minorHAnsi" w:cstheme="minorHAnsi"/>
          <w:sz w:val="22"/>
          <w:szCs w:val="22"/>
        </w:rPr>
        <w:t xml:space="preserve">l’empreinte carbone </w:t>
      </w:r>
      <w:r w:rsidR="00733C77" w:rsidRPr="00E01239">
        <w:rPr>
          <w:rFonts w:asciiTheme="minorHAnsi" w:hAnsiTheme="minorHAnsi" w:cstheme="minorHAnsi"/>
          <w:sz w:val="22"/>
          <w:szCs w:val="22"/>
        </w:rPr>
        <w:t>d</w:t>
      </w:r>
      <w:r w:rsidR="00360354" w:rsidRPr="00E01239">
        <w:rPr>
          <w:rFonts w:asciiTheme="minorHAnsi" w:hAnsiTheme="minorHAnsi" w:cstheme="minorHAnsi"/>
          <w:sz w:val="22"/>
          <w:szCs w:val="22"/>
        </w:rPr>
        <w:t xml:space="preserve">u secteur de l’élevage. En effet, la </w:t>
      </w:r>
      <w:r w:rsidR="00463F14" w:rsidRPr="00E01239">
        <w:rPr>
          <w:rFonts w:asciiTheme="minorHAnsi" w:hAnsiTheme="minorHAnsi" w:cstheme="minorHAnsi"/>
          <w:sz w:val="22"/>
          <w:szCs w:val="22"/>
        </w:rPr>
        <w:lastRenderedPageBreak/>
        <w:t>fermentation entérique des ruminants et les déjections des élevages sont sources de production d’importantes quantités de méthane dans un contexte d’intensification des activités pastorales avec une concentration des foyers de production de méthane.</w:t>
      </w:r>
    </w:p>
    <w:p w14:paraId="509AA966" w14:textId="58618A24" w:rsidR="0016521A" w:rsidRPr="00E01239" w:rsidRDefault="0016521A" w:rsidP="00263B8A">
      <w:pPr>
        <w:spacing w:before="120" w:line="280" w:lineRule="exact"/>
        <w:rPr>
          <w:rFonts w:asciiTheme="minorHAnsi" w:hAnsiTheme="minorHAnsi" w:cstheme="minorHAnsi"/>
          <w:sz w:val="22"/>
          <w:szCs w:val="22"/>
        </w:rPr>
      </w:pPr>
    </w:p>
    <w:p w14:paraId="60A474E8" w14:textId="127B1CDB" w:rsidR="002B0DC9" w:rsidRPr="00E01239" w:rsidRDefault="00337B20" w:rsidP="0011733B">
      <w:pPr>
        <w:pStyle w:val="Titre4"/>
        <w:spacing w:before="120" w:line="280" w:lineRule="exact"/>
        <w:ind w:left="1843" w:hanging="992"/>
        <w:contextualSpacing w:val="0"/>
        <w:rPr>
          <w:rFonts w:asciiTheme="minorHAnsi" w:hAnsiTheme="minorHAnsi" w:cstheme="minorHAnsi"/>
          <w:u w:val="single"/>
        </w:rPr>
      </w:pPr>
      <w:bookmarkStart w:id="699" w:name="_Toc144654147"/>
      <w:r w:rsidRPr="00E01239">
        <w:rPr>
          <w:rFonts w:asciiTheme="minorHAnsi" w:hAnsiTheme="minorHAnsi" w:cstheme="minorHAnsi"/>
          <w:u w:val="single"/>
        </w:rPr>
        <w:t>Risques</w:t>
      </w:r>
      <w:r w:rsidR="002B0DC9" w:rsidRPr="00E01239">
        <w:rPr>
          <w:rFonts w:asciiTheme="minorHAnsi" w:hAnsiTheme="minorHAnsi" w:cstheme="minorHAnsi"/>
          <w:u w:val="single"/>
        </w:rPr>
        <w:t xml:space="preserve"> chimique</w:t>
      </w:r>
      <w:r w:rsidRPr="00E01239">
        <w:rPr>
          <w:rFonts w:asciiTheme="minorHAnsi" w:hAnsiTheme="minorHAnsi" w:cstheme="minorHAnsi"/>
          <w:u w:val="single"/>
        </w:rPr>
        <w:t>s</w:t>
      </w:r>
      <w:r w:rsidR="002B0DC9" w:rsidRPr="00E01239">
        <w:rPr>
          <w:rFonts w:asciiTheme="minorHAnsi" w:hAnsiTheme="minorHAnsi" w:cstheme="minorHAnsi"/>
          <w:u w:val="single"/>
        </w:rPr>
        <w:t xml:space="preserve"> </w:t>
      </w:r>
      <w:r w:rsidRPr="00E01239">
        <w:rPr>
          <w:rFonts w:asciiTheme="minorHAnsi" w:hAnsiTheme="minorHAnsi" w:cstheme="minorHAnsi"/>
          <w:u w:val="single"/>
        </w:rPr>
        <w:t>liés aux déchets produits dans le secteur de l’élevage</w:t>
      </w:r>
      <w:bookmarkEnd w:id="699"/>
    </w:p>
    <w:p w14:paraId="2F8EAE1C" w14:textId="17AEEFB3" w:rsidR="003A1798" w:rsidRPr="00E01239" w:rsidRDefault="003A1798"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Au-delà des pesticides utilisés dans le secteur agricole, le secteur de l’élevage génère plusieurs types de déchets, parfois dangereux :</w:t>
      </w:r>
    </w:p>
    <w:p w14:paraId="2D2E5921" w14:textId="67AE3EE5" w:rsidR="003A1798" w:rsidRPr="00E01239" w:rsidRDefault="003A1798" w:rsidP="00027669">
      <w:pPr>
        <w:pStyle w:val="Paragraphedeliste"/>
        <w:numPr>
          <w:ilvl w:val="0"/>
          <w:numId w:val="115"/>
        </w:numPr>
        <w:autoSpaceDE w:val="0"/>
        <w:autoSpaceDN w:val="0"/>
        <w:adjustRightInd w:val="0"/>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Fumiers et litières</w:t>
      </w:r>
    </w:p>
    <w:p w14:paraId="22AFD513" w14:textId="63986F68" w:rsidR="003A1798" w:rsidRPr="00E01239" w:rsidRDefault="003A1798" w:rsidP="00027669">
      <w:pPr>
        <w:pStyle w:val="Paragraphedeliste"/>
        <w:numPr>
          <w:ilvl w:val="0"/>
          <w:numId w:val="115"/>
        </w:numPr>
        <w:autoSpaceDE w:val="0"/>
        <w:autoSpaceDN w:val="0"/>
        <w:adjustRightInd w:val="0"/>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Déjections des animaux (fientes, lisier, Purin)</w:t>
      </w:r>
    </w:p>
    <w:p w14:paraId="69F6DC65" w14:textId="4313FCE3" w:rsidR="003A1798" w:rsidRPr="00E01239" w:rsidRDefault="003A1798" w:rsidP="00027669">
      <w:pPr>
        <w:pStyle w:val="Paragraphedeliste"/>
        <w:numPr>
          <w:ilvl w:val="0"/>
          <w:numId w:val="115"/>
        </w:numPr>
        <w:autoSpaceDE w:val="0"/>
        <w:autoSpaceDN w:val="0"/>
        <w:adjustRightInd w:val="0"/>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Déchets physiques (pailles, aliments de bétail)</w:t>
      </w:r>
    </w:p>
    <w:p w14:paraId="3482091A" w14:textId="5918334F" w:rsidR="003A1798" w:rsidRPr="00E01239" w:rsidRDefault="003A1798" w:rsidP="00027669">
      <w:pPr>
        <w:pStyle w:val="Paragraphedeliste"/>
        <w:numPr>
          <w:ilvl w:val="0"/>
          <w:numId w:val="115"/>
        </w:numPr>
        <w:autoSpaceDE w:val="0"/>
        <w:autoSpaceDN w:val="0"/>
        <w:adjustRightInd w:val="0"/>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Déchets liquides (eaux de nettoyage, eaux vannes) provenant notamment des aires d’abattage</w:t>
      </w:r>
      <w:r w:rsidR="007F118B" w:rsidRPr="00E01239">
        <w:rPr>
          <w:rFonts w:asciiTheme="minorHAnsi" w:hAnsiTheme="minorHAnsi" w:cstheme="minorHAnsi"/>
          <w:sz w:val="22"/>
          <w:szCs w:val="22"/>
        </w:rPr>
        <w:t xml:space="preserve"> et des abattoirs</w:t>
      </w:r>
    </w:p>
    <w:p w14:paraId="10753212" w14:textId="5C2FE125" w:rsidR="007F118B" w:rsidRPr="00E01239" w:rsidRDefault="007F118B" w:rsidP="00027669">
      <w:pPr>
        <w:pStyle w:val="Paragraphedeliste"/>
        <w:numPr>
          <w:ilvl w:val="0"/>
          <w:numId w:val="115"/>
        </w:numPr>
        <w:autoSpaceDE w:val="0"/>
        <w:autoSpaceDN w:val="0"/>
        <w:adjustRightInd w:val="0"/>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Cornes, peaux d’animaux, produits de panse provenant spécifiquement des abattoirs et aires d’abattage</w:t>
      </w:r>
    </w:p>
    <w:p w14:paraId="33DD358A" w14:textId="0F616CA8" w:rsidR="007F118B" w:rsidRPr="00E01239" w:rsidRDefault="007F118B" w:rsidP="00027669">
      <w:pPr>
        <w:pStyle w:val="Paragraphedeliste"/>
        <w:numPr>
          <w:ilvl w:val="0"/>
          <w:numId w:val="115"/>
        </w:numPr>
        <w:autoSpaceDE w:val="0"/>
        <w:autoSpaceDN w:val="0"/>
        <w:adjustRightInd w:val="0"/>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Pestes et pesticides issus des exploitations fourragères</w:t>
      </w:r>
    </w:p>
    <w:p w14:paraId="279221D4" w14:textId="149C029A" w:rsidR="007F118B" w:rsidRPr="00E01239" w:rsidRDefault="007F118B" w:rsidP="00027669">
      <w:pPr>
        <w:pStyle w:val="Paragraphedeliste"/>
        <w:numPr>
          <w:ilvl w:val="0"/>
          <w:numId w:val="115"/>
        </w:numPr>
        <w:autoSpaceDE w:val="0"/>
        <w:autoSpaceDN w:val="0"/>
        <w:adjustRightInd w:val="0"/>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Déchets biomédicaux (flacons, seringues, déchets pharmaceutiques, etc.) provenant des services vétérinaires et des opérations de vaccination</w:t>
      </w:r>
    </w:p>
    <w:p w14:paraId="20086D34" w14:textId="77777777" w:rsidR="007F118B" w:rsidRPr="00E01239" w:rsidRDefault="007F118B"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médicaments utilisés par les vétérinaires privés proviennent souvent de sources connues, et les produits sont certifiés et distribués par le Laboratoire National d’Élevage et de Recherche vétérinaire.</w:t>
      </w:r>
    </w:p>
    <w:p w14:paraId="7E523662" w14:textId="77777777" w:rsidR="007F118B" w:rsidRPr="00E01239" w:rsidRDefault="007F118B"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Au niveau des zones transfrontalières, des circuits parallèles, informels de vente de pesticides non homologués sont recensés. Au Sénégal, les statistiques en matière d’approvisionnement de pesticides destinés à la santé animale ne sont pas maitrisées. </w:t>
      </w:r>
    </w:p>
    <w:p w14:paraId="32FD4D48" w14:textId="77777777" w:rsidR="007F118B" w:rsidRPr="00E01239" w:rsidRDefault="007F118B"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Dans le domaine de l’élevage, les pesticides sont utilisés pour lutter contre les ectoparasites (tiques, poux, etc.) et sont essentiellement constitués des organochlorés, </w:t>
      </w:r>
      <w:proofErr w:type="spellStart"/>
      <w:r w:rsidRPr="00E01239">
        <w:rPr>
          <w:rFonts w:asciiTheme="minorHAnsi" w:hAnsiTheme="minorHAnsi" w:cstheme="minorHAnsi"/>
          <w:sz w:val="22"/>
          <w:szCs w:val="22"/>
        </w:rPr>
        <w:t>ivermectine</w:t>
      </w:r>
      <w:proofErr w:type="spellEnd"/>
      <w:r w:rsidRPr="00E01239">
        <w:rPr>
          <w:rFonts w:asciiTheme="minorHAnsi" w:hAnsiTheme="minorHAnsi" w:cstheme="minorHAnsi"/>
          <w:sz w:val="22"/>
          <w:szCs w:val="22"/>
        </w:rPr>
        <w:t>, etc.</w:t>
      </w:r>
    </w:p>
    <w:p w14:paraId="3A8A8A6A" w14:textId="77777777" w:rsidR="007F118B" w:rsidRPr="00E01239" w:rsidRDefault="007F118B"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L’importation et la commercialisation des produits et médicaments vétérinaires sont aujourd’hui entièrement dans les mains du secteur privé, à l’exception des vaccins achetés par l’Etat au Laboratoire National de l’Elevage et de Recherches vétérinaires (dépendant de l’Institut sénégalais de recherches agricoles (ISRA) pour la peste des petits ruminants (PPR), le vaccin contre la maladie de Newcastle (I2), le vaccin </w:t>
      </w:r>
      <w:proofErr w:type="spellStart"/>
      <w:r w:rsidRPr="00E01239">
        <w:rPr>
          <w:rFonts w:asciiTheme="minorHAnsi" w:hAnsiTheme="minorHAnsi" w:cstheme="minorHAnsi"/>
          <w:sz w:val="22"/>
          <w:szCs w:val="22"/>
        </w:rPr>
        <w:t>polyequipeste</w:t>
      </w:r>
      <w:proofErr w:type="spellEnd"/>
      <w:r w:rsidRPr="00E01239">
        <w:rPr>
          <w:rFonts w:asciiTheme="minorHAnsi" w:hAnsiTheme="minorHAnsi" w:cstheme="minorHAnsi"/>
          <w:sz w:val="22"/>
          <w:szCs w:val="22"/>
        </w:rPr>
        <w:t xml:space="preserve"> contre la peste équine et la vaccin contre la dermatose nodulaire contagieuse bovine (CLAVESEC) ou importé pour les autres maladies par des vétérinaires grossistes.</w:t>
      </w:r>
    </w:p>
    <w:p w14:paraId="794B2171" w14:textId="042D2A86" w:rsidR="007F118B" w:rsidRPr="00E01239" w:rsidRDefault="4F25C061" w:rsidP="7CB1727A">
      <w:pPr>
        <w:autoSpaceDE w:val="0"/>
        <w:autoSpaceDN w:val="0"/>
        <w:adjustRightInd w:val="0"/>
        <w:spacing w:before="120" w:line="280" w:lineRule="exact"/>
        <w:jc w:val="both"/>
        <w:rPr>
          <w:rFonts w:asciiTheme="minorHAnsi" w:hAnsiTheme="minorHAnsi" w:cstheme="minorBidi"/>
          <w:sz w:val="22"/>
          <w:szCs w:val="22"/>
        </w:rPr>
      </w:pPr>
      <w:r w:rsidRPr="00E01239">
        <w:rPr>
          <w:rFonts w:asciiTheme="minorHAnsi" w:hAnsiTheme="minorHAnsi" w:cstheme="minorBidi"/>
          <w:sz w:val="22"/>
          <w:szCs w:val="22"/>
        </w:rPr>
        <w:t xml:space="preserve">Le tableau </w:t>
      </w:r>
      <w:r w:rsidR="29227F6A" w:rsidRPr="00E01239">
        <w:rPr>
          <w:rFonts w:asciiTheme="minorHAnsi" w:hAnsiTheme="minorHAnsi" w:cstheme="minorBidi"/>
          <w:sz w:val="22"/>
          <w:szCs w:val="22"/>
        </w:rPr>
        <w:t>n°</w:t>
      </w:r>
      <w:r w:rsidR="09BAC9C8" w:rsidRPr="00E01239">
        <w:rPr>
          <w:rFonts w:asciiTheme="minorHAnsi" w:hAnsiTheme="minorHAnsi" w:cstheme="minorBidi"/>
          <w:sz w:val="22"/>
          <w:szCs w:val="22"/>
        </w:rPr>
        <w:t>17</w:t>
      </w:r>
      <w:r w:rsidR="29227F6A" w:rsidRPr="00E01239">
        <w:rPr>
          <w:rFonts w:asciiTheme="minorHAnsi" w:hAnsiTheme="minorHAnsi" w:cstheme="minorBidi"/>
          <w:sz w:val="22"/>
          <w:szCs w:val="22"/>
        </w:rPr>
        <w:t xml:space="preserve"> </w:t>
      </w:r>
      <w:bookmarkStart w:id="700" w:name="_Int_NDb7Qkrt"/>
      <w:proofErr w:type="gramStart"/>
      <w:r w:rsidRPr="00E01239">
        <w:rPr>
          <w:rFonts w:asciiTheme="minorHAnsi" w:hAnsiTheme="minorHAnsi" w:cstheme="minorBidi"/>
          <w:sz w:val="22"/>
          <w:szCs w:val="22"/>
        </w:rPr>
        <w:t>suivant</w:t>
      </w:r>
      <w:bookmarkEnd w:id="700"/>
      <w:proofErr w:type="gramEnd"/>
      <w:r w:rsidRPr="00E01239">
        <w:rPr>
          <w:rFonts w:asciiTheme="minorHAnsi" w:hAnsiTheme="minorHAnsi" w:cstheme="minorBidi"/>
          <w:sz w:val="22"/>
          <w:szCs w:val="22"/>
        </w:rPr>
        <w:t xml:space="preserve"> présente la composition des déchets vétérinaires produits dans les zones pastorales.</w:t>
      </w:r>
    </w:p>
    <w:p w14:paraId="4B4AA1AB" w14:textId="77777777" w:rsidR="007F118B" w:rsidRPr="00E01239" w:rsidRDefault="007F118B" w:rsidP="007F118B">
      <w:pPr>
        <w:pStyle w:val="Lgende"/>
        <w:ind w:left="851" w:right="1276"/>
        <w:jc w:val="center"/>
        <w:rPr>
          <w:rFonts w:asciiTheme="minorHAnsi" w:hAnsiTheme="minorHAnsi" w:cstheme="minorHAnsi"/>
          <w:sz w:val="22"/>
          <w:szCs w:val="22"/>
        </w:rPr>
      </w:pPr>
      <w:bookmarkStart w:id="701" w:name="_Toc116736219"/>
    </w:p>
    <w:p w14:paraId="4934B16D" w14:textId="77777777" w:rsidR="00F73EAB" w:rsidRPr="00E01239" w:rsidRDefault="00F73EAB">
      <w:pPr>
        <w:rPr>
          <w:rFonts w:asciiTheme="minorHAnsi" w:hAnsiTheme="minorHAnsi" w:cstheme="minorHAnsi"/>
          <w:b/>
          <w:bCs/>
          <w:sz w:val="22"/>
          <w:szCs w:val="22"/>
        </w:rPr>
      </w:pPr>
      <w:r w:rsidRPr="00E01239">
        <w:rPr>
          <w:rFonts w:asciiTheme="minorHAnsi" w:hAnsiTheme="minorHAnsi" w:cstheme="minorHAnsi"/>
          <w:sz w:val="22"/>
          <w:szCs w:val="22"/>
        </w:rPr>
        <w:br w:type="page"/>
      </w:r>
    </w:p>
    <w:p w14:paraId="3709DF89" w14:textId="7450C892" w:rsidR="007F118B" w:rsidRPr="00E01239" w:rsidRDefault="007F118B" w:rsidP="007F118B">
      <w:pPr>
        <w:pStyle w:val="Lgende"/>
        <w:ind w:left="851" w:right="1276"/>
        <w:jc w:val="center"/>
        <w:rPr>
          <w:rFonts w:asciiTheme="minorHAnsi" w:hAnsiTheme="minorHAnsi" w:cstheme="minorHAnsi"/>
          <w:i/>
          <w:iCs/>
          <w:sz w:val="22"/>
          <w:szCs w:val="22"/>
        </w:rPr>
      </w:pPr>
      <w:bookmarkStart w:id="702" w:name="_Toc144654197"/>
      <w:r w:rsidRPr="00E01239">
        <w:rPr>
          <w:rFonts w:asciiTheme="minorHAnsi" w:hAnsiTheme="minorHAnsi" w:cstheme="minorHAnsi"/>
          <w:sz w:val="22"/>
          <w:szCs w:val="22"/>
        </w:rPr>
        <w:lastRenderedPageBreak/>
        <w:t xml:space="preserve">Tableau </w:t>
      </w:r>
      <w:r w:rsidRPr="00E01239">
        <w:rPr>
          <w:rFonts w:asciiTheme="minorHAnsi" w:hAnsiTheme="minorHAnsi" w:cstheme="minorHAnsi"/>
          <w:b w:val="0"/>
          <w:bCs w:val="0"/>
          <w:i/>
          <w:iCs/>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b w:val="0"/>
          <w:bCs w:val="0"/>
          <w:i/>
          <w:iCs/>
          <w:sz w:val="22"/>
          <w:szCs w:val="22"/>
        </w:rPr>
        <w:fldChar w:fldCharType="separate"/>
      </w:r>
      <w:r w:rsidR="005C3166">
        <w:rPr>
          <w:rFonts w:asciiTheme="minorHAnsi" w:hAnsiTheme="minorHAnsi" w:cstheme="minorHAnsi"/>
          <w:noProof/>
          <w:sz w:val="22"/>
          <w:szCs w:val="22"/>
        </w:rPr>
        <w:t>17</w:t>
      </w:r>
      <w:r w:rsidRPr="00E01239">
        <w:rPr>
          <w:rFonts w:asciiTheme="minorHAnsi" w:hAnsiTheme="minorHAnsi" w:cstheme="minorHAnsi"/>
          <w:b w:val="0"/>
          <w:bCs w:val="0"/>
          <w:i/>
          <w:iCs/>
          <w:sz w:val="22"/>
          <w:szCs w:val="22"/>
        </w:rPr>
        <w:fldChar w:fldCharType="end"/>
      </w:r>
      <w:r w:rsidRPr="00E01239">
        <w:rPr>
          <w:rFonts w:asciiTheme="minorHAnsi" w:hAnsiTheme="minorHAnsi" w:cstheme="minorHAnsi"/>
          <w:sz w:val="22"/>
          <w:szCs w:val="22"/>
        </w:rPr>
        <w:t> : Composition des déchets vétérinaires</w:t>
      </w:r>
      <w:bookmarkEnd w:id="701"/>
      <w:bookmarkEnd w:id="702"/>
      <w:r w:rsidRPr="00E01239">
        <w:rPr>
          <w:rFonts w:asciiTheme="minorHAnsi" w:hAnsiTheme="minorHAnsi" w:cstheme="minorHAnsi"/>
          <w:sz w:val="22"/>
          <w:szCs w:val="22"/>
        </w:rPr>
        <w:t xml:space="preserve">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19"/>
        <w:gridCol w:w="3021"/>
        <w:gridCol w:w="3021"/>
      </w:tblGrid>
      <w:tr w:rsidR="007F118B" w:rsidRPr="00E01239" w14:paraId="036A7B26" w14:textId="77777777" w:rsidTr="00582C4E">
        <w:trPr>
          <w:trHeight w:val="113"/>
          <w:tblHeader/>
          <w:jc w:val="center"/>
        </w:trPr>
        <w:tc>
          <w:tcPr>
            <w:tcW w:w="1666" w:type="pct"/>
            <w:shd w:val="clear" w:color="auto" w:fill="1F4E79" w:themeFill="accent1" w:themeFillShade="80"/>
            <w:vAlign w:val="center"/>
          </w:tcPr>
          <w:p w14:paraId="10D161D7" w14:textId="77777777" w:rsidR="007F118B" w:rsidRPr="00E01239" w:rsidRDefault="007F118B" w:rsidP="000C38B8">
            <w:pPr>
              <w:jc w:val="center"/>
              <w:rPr>
                <w:rFonts w:asciiTheme="minorHAnsi" w:hAnsiTheme="minorHAnsi" w:cstheme="minorHAnsi"/>
                <w:color w:val="FFFFFF" w:themeColor="background1"/>
                <w:sz w:val="22"/>
                <w:szCs w:val="22"/>
              </w:rPr>
            </w:pPr>
            <w:r w:rsidRPr="00E01239">
              <w:rPr>
                <w:rFonts w:asciiTheme="minorHAnsi" w:hAnsiTheme="minorHAnsi" w:cstheme="minorHAnsi"/>
                <w:color w:val="FFFFFF" w:themeColor="background1"/>
                <w:sz w:val="22"/>
                <w:szCs w:val="22"/>
              </w:rPr>
              <w:t>Catégorie de déchets</w:t>
            </w:r>
          </w:p>
        </w:tc>
        <w:tc>
          <w:tcPr>
            <w:tcW w:w="1667" w:type="pct"/>
            <w:shd w:val="clear" w:color="auto" w:fill="1F4E79" w:themeFill="accent1" w:themeFillShade="80"/>
            <w:vAlign w:val="center"/>
          </w:tcPr>
          <w:p w14:paraId="4BA32B21" w14:textId="77777777" w:rsidR="007F118B" w:rsidRPr="00E01239" w:rsidRDefault="007F118B" w:rsidP="000C38B8">
            <w:pPr>
              <w:jc w:val="center"/>
              <w:rPr>
                <w:rFonts w:asciiTheme="minorHAnsi" w:hAnsiTheme="minorHAnsi" w:cstheme="minorHAnsi"/>
                <w:color w:val="FFFFFF" w:themeColor="background1"/>
                <w:sz w:val="22"/>
                <w:szCs w:val="22"/>
              </w:rPr>
            </w:pPr>
            <w:r w:rsidRPr="00E01239">
              <w:rPr>
                <w:rFonts w:asciiTheme="minorHAnsi" w:hAnsiTheme="minorHAnsi" w:cstheme="minorHAnsi"/>
                <w:color w:val="FFFFFF" w:themeColor="background1"/>
                <w:sz w:val="22"/>
                <w:szCs w:val="22"/>
              </w:rPr>
              <w:t>Compositions</w:t>
            </w:r>
          </w:p>
        </w:tc>
        <w:tc>
          <w:tcPr>
            <w:tcW w:w="1667" w:type="pct"/>
            <w:shd w:val="clear" w:color="auto" w:fill="1F4E79" w:themeFill="accent1" w:themeFillShade="80"/>
            <w:vAlign w:val="center"/>
          </w:tcPr>
          <w:p w14:paraId="4DBA6967" w14:textId="77777777" w:rsidR="007F118B" w:rsidRPr="00E01239" w:rsidRDefault="007F118B" w:rsidP="000C38B8">
            <w:pPr>
              <w:jc w:val="center"/>
              <w:rPr>
                <w:rFonts w:asciiTheme="minorHAnsi" w:hAnsiTheme="minorHAnsi" w:cstheme="minorHAnsi"/>
                <w:color w:val="FFFFFF" w:themeColor="background1"/>
                <w:sz w:val="22"/>
                <w:szCs w:val="22"/>
              </w:rPr>
            </w:pPr>
            <w:r w:rsidRPr="00E01239">
              <w:rPr>
                <w:rFonts w:asciiTheme="minorHAnsi" w:hAnsiTheme="minorHAnsi" w:cstheme="minorHAnsi"/>
                <w:color w:val="FFFFFF" w:themeColor="background1"/>
                <w:sz w:val="22"/>
                <w:szCs w:val="22"/>
              </w:rPr>
              <w:t>Sources de production</w:t>
            </w:r>
          </w:p>
        </w:tc>
      </w:tr>
      <w:tr w:rsidR="007F118B" w:rsidRPr="00E01239" w14:paraId="076D7405" w14:textId="77777777" w:rsidTr="000C38B8">
        <w:trPr>
          <w:trHeight w:val="113"/>
          <w:jc w:val="center"/>
        </w:trPr>
        <w:tc>
          <w:tcPr>
            <w:tcW w:w="1666" w:type="pct"/>
            <w:vAlign w:val="center"/>
          </w:tcPr>
          <w:p w14:paraId="27031568" w14:textId="77777777" w:rsidR="007F118B" w:rsidRPr="00E01239" w:rsidRDefault="007F118B" w:rsidP="000C38B8">
            <w:pPr>
              <w:autoSpaceDE w:val="0"/>
              <w:autoSpaceDN w:val="0"/>
              <w:adjustRightInd w:val="0"/>
              <w:rPr>
                <w:rFonts w:asciiTheme="minorHAnsi" w:hAnsiTheme="minorHAnsi" w:cstheme="minorHAnsi"/>
                <w:sz w:val="22"/>
                <w:szCs w:val="22"/>
              </w:rPr>
            </w:pPr>
            <w:r w:rsidRPr="00E01239">
              <w:rPr>
                <w:rFonts w:asciiTheme="minorHAnsi" w:hAnsiTheme="minorHAnsi" w:cstheme="minorHAnsi"/>
                <w:sz w:val="22"/>
                <w:szCs w:val="22"/>
              </w:rPr>
              <w:t>Déchets d’activité de soins</w:t>
            </w:r>
          </w:p>
        </w:tc>
        <w:tc>
          <w:tcPr>
            <w:tcW w:w="1667" w:type="pct"/>
            <w:vAlign w:val="center"/>
          </w:tcPr>
          <w:p w14:paraId="3C58FDE4" w14:textId="77777777" w:rsidR="007F118B" w:rsidRPr="00E01239" w:rsidRDefault="007F118B" w:rsidP="000C38B8">
            <w:pPr>
              <w:autoSpaceDE w:val="0"/>
              <w:autoSpaceDN w:val="0"/>
              <w:adjustRightInd w:val="0"/>
              <w:rPr>
                <w:rFonts w:asciiTheme="minorHAnsi" w:hAnsiTheme="minorHAnsi" w:cstheme="minorHAnsi"/>
                <w:sz w:val="22"/>
                <w:szCs w:val="22"/>
              </w:rPr>
            </w:pPr>
            <w:r w:rsidRPr="00E01239">
              <w:rPr>
                <w:rFonts w:asciiTheme="minorHAnsi" w:hAnsiTheme="minorHAnsi" w:cstheme="minorHAnsi"/>
                <w:sz w:val="22"/>
                <w:szCs w:val="22"/>
              </w:rPr>
              <w:t>Seringues, aiguilles, lames de bistouri, gants, compresses, cotons, sparadrap</w:t>
            </w:r>
          </w:p>
        </w:tc>
        <w:tc>
          <w:tcPr>
            <w:tcW w:w="1667" w:type="pct"/>
            <w:vAlign w:val="center"/>
          </w:tcPr>
          <w:p w14:paraId="3D10D5C4" w14:textId="77777777" w:rsidR="007F118B" w:rsidRPr="00E01239" w:rsidRDefault="007F118B" w:rsidP="00027669">
            <w:pPr>
              <w:pStyle w:val="Paragraphedeliste"/>
              <w:numPr>
                <w:ilvl w:val="0"/>
                <w:numId w:val="116"/>
              </w:numPr>
              <w:autoSpaceDE w:val="0"/>
              <w:autoSpaceDN w:val="0"/>
              <w:adjustRightInd w:val="0"/>
              <w:ind w:left="343" w:hanging="284"/>
              <w:contextualSpacing w:val="0"/>
              <w:rPr>
                <w:rFonts w:asciiTheme="minorHAnsi" w:hAnsiTheme="minorHAnsi" w:cstheme="minorHAnsi"/>
                <w:sz w:val="22"/>
                <w:szCs w:val="22"/>
              </w:rPr>
            </w:pPr>
            <w:r w:rsidRPr="00E01239">
              <w:rPr>
                <w:rFonts w:asciiTheme="minorHAnsi" w:hAnsiTheme="minorHAnsi" w:cstheme="minorHAnsi"/>
                <w:sz w:val="22"/>
                <w:szCs w:val="22"/>
              </w:rPr>
              <w:t>Poste vétérinaire</w:t>
            </w:r>
          </w:p>
          <w:p w14:paraId="49E5940C" w14:textId="77777777" w:rsidR="007F118B" w:rsidRPr="00E01239" w:rsidRDefault="007F118B" w:rsidP="00027669">
            <w:pPr>
              <w:pStyle w:val="Paragraphedeliste"/>
              <w:numPr>
                <w:ilvl w:val="0"/>
                <w:numId w:val="116"/>
              </w:numPr>
              <w:autoSpaceDE w:val="0"/>
              <w:autoSpaceDN w:val="0"/>
              <w:adjustRightInd w:val="0"/>
              <w:ind w:left="343" w:hanging="284"/>
              <w:contextualSpacing w:val="0"/>
              <w:rPr>
                <w:rFonts w:asciiTheme="minorHAnsi" w:hAnsiTheme="minorHAnsi" w:cstheme="minorHAnsi"/>
                <w:sz w:val="22"/>
                <w:szCs w:val="22"/>
              </w:rPr>
            </w:pPr>
            <w:r w:rsidRPr="00E01239">
              <w:rPr>
                <w:rFonts w:asciiTheme="minorHAnsi" w:hAnsiTheme="minorHAnsi" w:cstheme="minorHAnsi"/>
                <w:sz w:val="22"/>
                <w:szCs w:val="22"/>
              </w:rPr>
              <w:t>Parc à vaccination</w:t>
            </w:r>
          </w:p>
        </w:tc>
      </w:tr>
      <w:tr w:rsidR="007F118B" w:rsidRPr="00E01239" w14:paraId="45A2F6F7" w14:textId="77777777" w:rsidTr="000C38B8">
        <w:trPr>
          <w:trHeight w:val="113"/>
          <w:jc w:val="center"/>
        </w:trPr>
        <w:tc>
          <w:tcPr>
            <w:tcW w:w="1666" w:type="pct"/>
            <w:vAlign w:val="center"/>
          </w:tcPr>
          <w:p w14:paraId="0D088743" w14:textId="77777777" w:rsidR="007F118B" w:rsidRPr="00E01239" w:rsidRDefault="007F118B" w:rsidP="000C38B8">
            <w:pPr>
              <w:autoSpaceDE w:val="0"/>
              <w:autoSpaceDN w:val="0"/>
              <w:adjustRightInd w:val="0"/>
              <w:rPr>
                <w:rFonts w:asciiTheme="minorHAnsi" w:hAnsiTheme="minorHAnsi" w:cstheme="minorHAnsi"/>
                <w:sz w:val="22"/>
                <w:szCs w:val="22"/>
              </w:rPr>
            </w:pPr>
            <w:r w:rsidRPr="00E01239">
              <w:rPr>
                <w:rFonts w:asciiTheme="minorHAnsi" w:hAnsiTheme="minorHAnsi" w:cstheme="minorHAnsi"/>
                <w:sz w:val="22"/>
                <w:szCs w:val="22"/>
              </w:rPr>
              <w:t>Déchets pharmaceutiques</w:t>
            </w:r>
          </w:p>
        </w:tc>
        <w:tc>
          <w:tcPr>
            <w:tcW w:w="1667" w:type="pct"/>
            <w:vAlign w:val="center"/>
          </w:tcPr>
          <w:p w14:paraId="1B39C599" w14:textId="77777777" w:rsidR="007F118B" w:rsidRPr="00E01239" w:rsidRDefault="007F118B" w:rsidP="000C38B8">
            <w:pPr>
              <w:autoSpaceDE w:val="0"/>
              <w:autoSpaceDN w:val="0"/>
              <w:adjustRightInd w:val="0"/>
              <w:rPr>
                <w:rFonts w:asciiTheme="minorHAnsi" w:hAnsiTheme="minorHAnsi" w:cstheme="minorHAnsi"/>
                <w:sz w:val="22"/>
                <w:szCs w:val="22"/>
              </w:rPr>
            </w:pPr>
            <w:r w:rsidRPr="00E01239">
              <w:rPr>
                <w:rFonts w:asciiTheme="minorHAnsi" w:hAnsiTheme="minorHAnsi" w:cstheme="minorHAnsi"/>
                <w:sz w:val="22"/>
                <w:szCs w:val="22"/>
              </w:rPr>
              <w:t>Médicaments périmés, flacons, ampoules cassées, sachets emballages de médicaments</w:t>
            </w:r>
          </w:p>
        </w:tc>
        <w:tc>
          <w:tcPr>
            <w:tcW w:w="1667" w:type="pct"/>
            <w:vAlign w:val="center"/>
          </w:tcPr>
          <w:p w14:paraId="125E3129" w14:textId="77777777" w:rsidR="007F118B" w:rsidRPr="00E01239" w:rsidRDefault="007F118B" w:rsidP="00027669">
            <w:pPr>
              <w:pStyle w:val="Paragraphedeliste"/>
              <w:numPr>
                <w:ilvl w:val="0"/>
                <w:numId w:val="116"/>
              </w:numPr>
              <w:autoSpaceDE w:val="0"/>
              <w:autoSpaceDN w:val="0"/>
              <w:adjustRightInd w:val="0"/>
              <w:ind w:left="343" w:hanging="284"/>
              <w:contextualSpacing w:val="0"/>
              <w:rPr>
                <w:rFonts w:asciiTheme="minorHAnsi" w:hAnsiTheme="minorHAnsi" w:cstheme="minorHAnsi"/>
                <w:sz w:val="22"/>
                <w:szCs w:val="22"/>
              </w:rPr>
            </w:pPr>
            <w:r w:rsidRPr="00E01239">
              <w:rPr>
                <w:rFonts w:asciiTheme="minorHAnsi" w:hAnsiTheme="minorHAnsi" w:cstheme="minorHAnsi"/>
                <w:sz w:val="22"/>
                <w:szCs w:val="22"/>
              </w:rPr>
              <w:t>Poste vétérinaire</w:t>
            </w:r>
          </w:p>
          <w:p w14:paraId="4290BCAC" w14:textId="77777777" w:rsidR="007F118B" w:rsidRPr="00E01239" w:rsidRDefault="007F118B" w:rsidP="00027669">
            <w:pPr>
              <w:pStyle w:val="Paragraphedeliste"/>
              <w:numPr>
                <w:ilvl w:val="0"/>
                <w:numId w:val="116"/>
              </w:numPr>
              <w:autoSpaceDE w:val="0"/>
              <w:autoSpaceDN w:val="0"/>
              <w:adjustRightInd w:val="0"/>
              <w:ind w:left="343" w:hanging="284"/>
              <w:contextualSpacing w:val="0"/>
              <w:rPr>
                <w:rFonts w:asciiTheme="minorHAnsi" w:hAnsiTheme="minorHAnsi" w:cstheme="minorHAnsi"/>
                <w:sz w:val="22"/>
                <w:szCs w:val="22"/>
              </w:rPr>
            </w:pPr>
            <w:r w:rsidRPr="00E01239">
              <w:rPr>
                <w:rFonts w:asciiTheme="minorHAnsi" w:hAnsiTheme="minorHAnsi" w:cstheme="minorHAnsi"/>
                <w:sz w:val="22"/>
                <w:szCs w:val="22"/>
              </w:rPr>
              <w:t>Parc à vaccination</w:t>
            </w:r>
          </w:p>
        </w:tc>
      </w:tr>
      <w:tr w:rsidR="007F118B" w:rsidRPr="00E01239" w14:paraId="308419DC" w14:textId="77777777" w:rsidTr="000C38B8">
        <w:trPr>
          <w:trHeight w:val="113"/>
          <w:jc w:val="center"/>
        </w:trPr>
        <w:tc>
          <w:tcPr>
            <w:tcW w:w="1666" w:type="pct"/>
            <w:vAlign w:val="center"/>
          </w:tcPr>
          <w:p w14:paraId="17E92B76" w14:textId="77777777" w:rsidR="007F118B" w:rsidRPr="00E01239" w:rsidRDefault="007F118B" w:rsidP="000C38B8">
            <w:pPr>
              <w:rPr>
                <w:rFonts w:asciiTheme="minorHAnsi" w:hAnsiTheme="minorHAnsi" w:cstheme="minorHAnsi"/>
                <w:sz w:val="22"/>
                <w:szCs w:val="22"/>
              </w:rPr>
            </w:pPr>
            <w:r w:rsidRPr="00E01239">
              <w:rPr>
                <w:rFonts w:asciiTheme="minorHAnsi" w:hAnsiTheme="minorHAnsi" w:cstheme="minorHAnsi"/>
                <w:sz w:val="22"/>
                <w:szCs w:val="22"/>
              </w:rPr>
              <w:t>Déchets chimiques</w:t>
            </w:r>
          </w:p>
        </w:tc>
        <w:tc>
          <w:tcPr>
            <w:tcW w:w="1667" w:type="pct"/>
            <w:vAlign w:val="center"/>
          </w:tcPr>
          <w:p w14:paraId="67351D84" w14:textId="77777777" w:rsidR="007F118B" w:rsidRPr="00E01239" w:rsidRDefault="007F118B" w:rsidP="000C38B8">
            <w:pPr>
              <w:autoSpaceDE w:val="0"/>
              <w:autoSpaceDN w:val="0"/>
              <w:adjustRightInd w:val="0"/>
              <w:rPr>
                <w:rFonts w:asciiTheme="minorHAnsi" w:hAnsiTheme="minorHAnsi" w:cstheme="minorHAnsi"/>
                <w:sz w:val="22"/>
                <w:szCs w:val="22"/>
              </w:rPr>
            </w:pPr>
            <w:r w:rsidRPr="00E01239">
              <w:rPr>
                <w:rFonts w:asciiTheme="minorHAnsi" w:hAnsiTheme="minorHAnsi" w:cstheme="minorHAnsi"/>
                <w:sz w:val="22"/>
                <w:szCs w:val="22"/>
              </w:rPr>
              <w:t>Réactifs chimiques utilisés ou périmés</w:t>
            </w:r>
          </w:p>
        </w:tc>
        <w:tc>
          <w:tcPr>
            <w:tcW w:w="1667" w:type="pct"/>
            <w:vAlign w:val="center"/>
          </w:tcPr>
          <w:p w14:paraId="7BBA2E03" w14:textId="77777777" w:rsidR="007F118B" w:rsidRPr="00E01239" w:rsidRDefault="007F118B" w:rsidP="00027669">
            <w:pPr>
              <w:pStyle w:val="Paragraphedeliste"/>
              <w:numPr>
                <w:ilvl w:val="0"/>
                <w:numId w:val="116"/>
              </w:numPr>
              <w:autoSpaceDE w:val="0"/>
              <w:autoSpaceDN w:val="0"/>
              <w:adjustRightInd w:val="0"/>
              <w:ind w:left="343" w:hanging="284"/>
              <w:contextualSpacing w:val="0"/>
              <w:rPr>
                <w:rFonts w:asciiTheme="minorHAnsi" w:hAnsiTheme="minorHAnsi" w:cstheme="minorHAnsi"/>
                <w:sz w:val="22"/>
                <w:szCs w:val="22"/>
              </w:rPr>
            </w:pPr>
            <w:r w:rsidRPr="00E01239">
              <w:rPr>
                <w:rFonts w:asciiTheme="minorHAnsi" w:hAnsiTheme="minorHAnsi" w:cstheme="minorHAnsi"/>
                <w:sz w:val="22"/>
                <w:szCs w:val="22"/>
              </w:rPr>
              <w:t>Laboratoires d’analyse</w:t>
            </w:r>
          </w:p>
        </w:tc>
      </w:tr>
      <w:tr w:rsidR="007F118B" w:rsidRPr="00E01239" w14:paraId="6D96341E" w14:textId="77777777" w:rsidTr="000C38B8">
        <w:trPr>
          <w:trHeight w:val="113"/>
          <w:jc w:val="center"/>
        </w:trPr>
        <w:tc>
          <w:tcPr>
            <w:tcW w:w="1666" w:type="pct"/>
            <w:vAlign w:val="center"/>
          </w:tcPr>
          <w:p w14:paraId="56E0CEA2" w14:textId="77777777" w:rsidR="007F118B" w:rsidRPr="00E01239" w:rsidRDefault="007F118B" w:rsidP="000C38B8">
            <w:pPr>
              <w:rPr>
                <w:rFonts w:asciiTheme="minorHAnsi" w:hAnsiTheme="minorHAnsi" w:cstheme="minorHAnsi"/>
                <w:sz w:val="22"/>
                <w:szCs w:val="22"/>
              </w:rPr>
            </w:pPr>
            <w:r w:rsidRPr="00E01239">
              <w:rPr>
                <w:rFonts w:asciiTheme="minorHAnsi" w:hAnsiTheme="minorHAnsi" w:cstheme="minorHAnsi"/>
                <w:sz w:val="22"/>
                <w:szCs w:val="22"/>
              </w:rPr>
              <w:t>Déchets biologiques</w:t>
            </w:r>
          </w:p>
        </w:tc>
        <w:tc>
          <w:tcPr>
            <w:tcW w:w="1667" w:type="pct"/>
            <w:vAlign w:val="center"/>
          </w:tcPr>
          <w:p w14:paraId="09640229" w14:textId="77777777" w:rsidR="007F118B" w:rsidRPr="00E01239" w:rsidRDefault="007F118B" w:rsidP="000C38B8">
            <w:pPr>
              <w:autoSpaceDE w:val="0"/>
              <w:autoSpaceDN w:val="0"/>
              <w:adjustRightInd w:val="0"/>
              <w:rPr>
                <w:rFonts w:asciiTheme="minorHAnsi" w:hAnsiTheme="minorHAnsi" w:cstheme="minorHAnsi"/>
                <w:sz w:val="22"/>
                <w:szCs w:val="22"/>
              </w:rPr>
            </w:pPr>
            <w:r w:rsidRPr="00E01239">
              <w:rPr>
                <w:rFonts w:asciiTheme="minorHAnsi" w:hAnsiTheme="minorHAnsi" w:cstheme="minorHAnsi"/>
                <w:sz w:val="22"/>
                <w:szCs w:val="22"/>
              </w:rPr>
              <w:t>Cultures microbiennes, milieux de culture, reste des échantillons</w:t>
            </w:r>
          </w:p>
        </w:tc>
        <w:tc>
          <w:tcPr>
            <w:tcW w:w="1667" w:type="pct"/>
            <w:vAlign w:val="center"/>
          </w:tcPr>
          <w:p w14:paraId="5CB3822F" w14:textId="77777777" w:rsidR="007F118B" w:rsidRPr="00E01239" w:rsidRDefault="007F118B" w:rsidP="00027669">
            <w:pPr>
              <w:pStyle w:val="Paragraphedeliste"/>
              <w:numPr>
                <w:ilvl w:val="0"/>
                <w:numId w:val="116"/>
              </w:numPr>
              <w:autoSpaceDE w:val="0"/>
              <w:autoSpaceDN w:val="0"/>
              <w:adjustRightInd w:val="0"/>
              <w:ind w:left="343" w:hanging="284"/>
              <w:contextualSpacing w:val="0"/>
              <w:rPr>
                <w:rFonts w:asciiTheme="minorHAnsi" w:hAnsiTheme="minorHAnsi" w:cstheme="minorHAnsi"/>
                <w:sz w:val="22"/>
                <w:szCs w:val="22"/>
              </w:rPr>
            </w:pPr>
            <w:r w:rsidRPr="00E01239">
              <w:rPr>
                <w:rFonts w:asciiTheme="minorHAnsi" w:hAnsiTheme="minorHAnsi" w:cstheme="minorHAnsi"/>
                <w:sz w:val="22"/>
                <w:szCs w:val="22"/>
              </w:rPr>
              <w:t>Laboratoires d’analyse</w:t>
            </w:r>
          </w:p>
        </w:tc>
      </w:tr>
      <w:tr w:rsidR="007F118B" w:rsidRPr="00E01239" w14:paraId="76BD702D" w14:textId="77777777" w:rsidTr="000C38B8">
        <w:trPr>
          <w:trHeight w:val="113"/>
          <w:jc w:val="center"/>
        </w:trPr>
        <w:tc>
          <w:tcPr>
            <w:tcW w:w="1666" w:type="pct"/>
            <w:vAlign w:val="center"/>
          </w:tcPr>
          <w:p w14:paraId="365A4415" w14:textId="77C0D621" w:rsidR="007F118B" w:rsidRPr="00E01239" w:rsidRDefault="00E9025B" w:rsidP="000C38B8">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Déchets</w:t>
            </w:r>
            <w:r w:rsidR="007F118B" w:rsidRPr="00E01239">
              <w:rPr>
                <w:rFonts w:asciiTheme="minorHAnsi" w:hAnsiTheme="minorHAnsi" w:cstheme="minorHAnsi"/>
                <w:sz w:val="22"/>
                <w:szCs w:val="22"/>
              </w:rPr>
              <w:t xml:space="preserve"> et pièces anatomiques animales</w:t>
            </w:r>
          </w:p>
        </w:tc>
        <w:tc>
          <w:tcPr>
            <w:tcW w:w="1667" w:type="pct"/>
            <w:vAlign w:val="center"/>
          </w:tcPr>
          <w:p w14:paraId="3FF2A3BC" w14:textId="77777777" w:rsidR="007F118B" w:rsidRPr="00E01239" w:rsidRDefault="007F118B" w:rsidP="000C38B8">
            <w:pPr>
              <w:autoSpaceDE w:val="0"/>
              <w:autoSpaceDN w:val="0"/>
              <w:adjustRightInd w:val="0"/>
              <w:rPr>
                <w:rFonts w:asciiTheme="minorHAnsi" w:hAnsiTheme="minorHAnsi" w:cstheme="minorHAnsi"/>
                <w:sz w:val="22"/>
                <w:szCs w:val="22"/>
              </w:rPr>
            </w:pPr>
            <w:r w:rsidRPr="00E01239">
              <w:rPr>
                <w:rFonts w:asciiTheme="minorHAnsi" w:hAnsiTheme="minorHAnsi" w:cstheme="minorHAnsi"/>
                <w:sz w:val="22"/>
                <w:szCs w:val="22"/>
              </w:rPr>
              <w:t>Cadavres, placentas, fœtus mort-nés, avortons, déchets de dissection d’anatomie</w:t>
            </w:r>
          </w:p>
        </w:tc>
        <w:tc>
          <w:tcPr>
            <w:tcW w:w="1667" w:type="pct"/>
            <w:vAlign w:val="center"/>
          </w:tcPr>
          <w:p w14:paraId="5A802F6C" w14:textId="77777777" w:rsidR="007F118B" w:rsidRPr="00E01239" w:rsidRDefault="007F118B" w:rsidP="00027669">
            <w:pPr>
              <w:pStyle w:val="Paragraphedeliste"/>
              <w:numPr>
                <w:ilvl w:val="0"/>
                <w:numId w:val="116"/>
              </w:numPr>
              <w:autoSpaceDE w:val="0"/>
              <w:autoSpaceDN w:val="0"/>
              <w:adjustRightInd w:val="0"/>
              <w:ind w:left="343" w:hanging="284"/>
              <w:contextualSpacing w:val="0"/>
              <w:rPr>
                <w:rFonts w:asciiTheme="minorHAnsi" w:hAnsiTheme="minorHAnsi" w:cstheme="minorHAnsi"/>
                <w:sz w:val="22"/>
                <w:szCs w:val="22"/>
              </w:rPr>
            </w:pPr>
            <w:r w:rsidRPr="00E01239">
              <w:rPr>
                <w:rFonts w:asciiTheme="minorHAnsi" w:hAnsiTheme="minorHAnsi" w:cstheme="minorHAnsi"/>
                <w:sz w:val="22"/>
                <w:szCs w:val="22"/>
              </w:rPr>
              <w:t>Poste vétérinaire</w:t>
            </w:r>
          </w:p>
          <w:p w14:paraId="02A8310F" w14:textId="77777777" w:rsidR="007F118B" w:rsidRPr="00E01239" w:rsidRDefault="007F118B" w:rsidP="00027669">
            <w:pPr>
              <w:pStyle w:val="Paragraphedeliste"/>
              <w:numPr>
                <w:ilvl w:val="0"/>
                <w:numId w:val="116"/>
              </w:numPr>
              <w:autoSpaceDE w:val="0"/>
              <w:autoSpaceDN w:val="0"/>
              <w:adjustRightInd w:val="0"/>
              <w:ind w:left="343" w:hanging="284"/>
              <w:contextualSpacing w:val="0"/>
              <w:rPr>
                <w:rFonts w:asciiTheme="minorHAnsi" w:hAnsiTheme="minorHAnsi" w:cstheme="minorHAnsi"/>
                <w:sz w:val="22"/>
                <w:szCs w:val="22"/>
              </w:rPr>
            </w:pPr>
            <w:r w:rsidRPr="00E01239">
              <w:rPr>
                <w:rFonts w:asciiTheme="minorHAnsi" w:hAnsiTheme="minorHAnsi" w:cstheme="minorHAnsi"/>
                <w:sz w:val="22"/>
                <w:szCs w:val="22"/>
              </w:rPr>
              <w:t xml:space="preserve">Parc à vaccination </w:t>
            </w:r>
          </w:p>
          <w:p w14:paraId="096EB25E" w14:textId="77777777" w:rsidR="007F118B" w:rsidRPr="00E01239" w:rsidRDefault="007F118B" w:rsidP="00027669">
            <w:pPr>
              <w:pStyle w:val="Paragraphedeliste"/>
              <w:numPr>
                <w:ilvl w:val="0"/>
                <w:numId w:val="116"/>
              </w:numPr>
              <w:autoSpaceDE w:val="0"/>
              <w:autoSpaceDN w:val="0"/>
              <w:adjustRightInd w:val="0"/>
              <w:ind w:left="343" w:hanging="284"/>
              <w:contextualSpacing w:val="0"/>
              <w:rPr>
                <w:rFonts w:asciiTheme="minorHAnsi" w:hAnsiTheme="minorHAnsi" w:cstheme="minorHAnsi"/>
                <w:sz w:val="22"/>
                <w:szCs w:val="22"/>
              </w:rPr>
            </w:pPr>
            <w:r w:rsidRPr="00E01239">
              <w:rPr>
                <w:rFonts w:asciiTheme="minorHAnsi" w:hAnsiTheme="minorHAnsi" w:cstheme="minorHAnsi"/>
                <w:sz w:val="22"/>
                <w:szCs w:val="22"/>
              </w:rPr>
              <w:t>Aire d’abattage et/ou abattoir</w:t>
            </w:r>
          </w:p>
        </w:tc>
      </w:tr>
    </w:tbl>
    <w:p w14:paraId="3791DEF4" w14:textId="301704E4" w:rsidR="007541E0" w:rsidRPr="00E01239" w:rsidRDefault="007F118B"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w:t>
      </w:r>
      <w:r w:rsidR="003A1798" w:rsidRPr="00E01239">
        <w:rPr>
          <w:rFonts w:asciiTheme="minorHAnsi" w:hAnsiTheme="minorHAnsi" w:cstheme="minorHAnsi"/>
          <w:sz w:val="22"/>
          <w:szCs w:val="22"/>
        </w:rPr>
        <w:t>es opérations de vaccination du bétail constituent une source importante de production de déchets biomédicaux dans un contexte global caractérisé par une insuffisance des filières de gestion de ces types de déchets dangereux</w:t>
      </w:r>
      <w:r w:rsidR="007541E0" w:rsidRPr="00E01239">
        <w:rPr>
          <w:rFonts w:asciiTheme="minorHAnsi" w:hAnsiTheme="minorHAnsi" w:cstheme="minorHAnsi"/>
          <w:sz w:val="22"/>
          <w:szCs w:val="22"/>
        </w:rPr>
        <w:t>. Les risques liés à l’insuffisance des filières de gestion des DBM sont principalement les risques infectieux et la contamination chimique.</w:t>
      </w:r>
    </w:p>
    <w:p w14:paraId="32ADC039" w14:textId="2E185EBB" w:rsidR="00537A1F" w:rsidRPr="00E01239" w:rsidRDefault="00537A1F"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vaccins utilisés lors des campagnes de vaccination sont produits pour l’essentiel par l’ISRA sur commande de la Direction des Services </w:t>
      </w:r>
      <w:r w:rsidR="00321A7B" w:rsidRPr="00E01239">
        <w:rPr>
          <w:rFonts w:asciiTheme="minorHAnsi" w:hAnsiTheme="minorHAnsi" w:cstheme="minorHAnsi"/>
          <w:sz w:val="22"/>
          <w:szCs w:val="22"/>
        </w:rPr>
        <w:t>V</w:t>
      </w:r>
      <w:r w:rsidRPr="00E01239">
        <w:rPr>
          <w:rFonts w:asciiTheme="minorHAnsi" w:hAnsiTheme="minorHAnsi" w:cstheme="minorHAnsi"/>
          <w:sz w:val="22"/>
          <w:szCs w:val="22"/>
        </w:rPr>
        <w:t>étérinaires (DSV). Les inspecteurs régionaux récupèrent les vaccins au niveau de la DSV et les transportent par la route dans des glacières jusqu’au niveau départemental pour ravitailler les SDEL qui à leur tour les distribuent aux vétérinaires privés (VP) et aux chefs de postes vétérinaires (CPV). Les vaccins peuvent aussi être convoyés jusqu’au niveau régional par le biais du transport en commun.</w:t>
      </w:r>
    </w:p>
    <w:p w14:paraId="4EB4260B" w14:textId="77777777" w:rsidR="00537A1F" w:rsidRPr="00E01239" w:rsidRDefault="00537A1F"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Durant ce circuit d’approvisionnement, des ruptures de la chaine de froid peuvent être induites par les temps de trajet entre la DSV et le lieu final au niveau départemental, les dysfonctionnements des équipements de réfrigération, le manque de formation des auxiliaires de l’élevage sur les techniques de maintien de la chaine de froid, etc. Une rupture dans la chaine de froid aura comme incidences une détérioration de l’activité du vaccin qui constitue un déchet dangereux à détruire suivant des normes édictées. Il est important de savoir qu’après la rupture de la chaine de froid, aucune manipulation ne peut rendre au vaccin son état initial. </w:t>
      </w:r>
    </w:p>
    <w:p w14:paraId="70245DF1" w14:textId="77777777" w:rsidR="00537A1F" w:rsidRPr="00E01239" w:rsidRDefault="00537A1F"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Dans une certaine mesure tous les vaccins sont sensibles à la chaleur mais certains le sont plus que d’autres. En outre tous les vaccins sont endommagés par une température dépassant + 8° C et certains d’entre eux ne résistent pas à la congélation c’est-à-dire une température en deçà de 0°C.</w:t>
      </w:r>
    </w:p>
    <w:p w14:paraId="3E34E09C" w14:textId="6CC39A07" w:rsidR="00537A1F" w:rsidRPr="00E01239" w:rsidRDefault="00537A1F"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rupture de la chaine de froid peut entrainer une mauvaise réponse immunitaire des sujets vaccinés qui succombent facilement à la maladie. En plus de cela, il peut y avoir des conséquences sur le plan économique et un risque </w:t>
      </w:r>
      <w:r w:rsidR="00996617">
        <w:rPr>
          <w:rFonts w:asciiTheme="minorHAnsi" w:hAnsiTheme="minorHAnsi" w:cstheme="minorHAnsi"/>
          <w:sz w:val="22"/>
          <w:szCs w:val="22"/>
        </w:rPr>
        <w:t>de contamination des sujets et ou des agents de vaccination aux produits de vaccination périmés</w:t>
      </w:r>
      <w:r w:rsidRPr="00E01239">
        <w:rPr>
          <w:rFonts w:asciiTheme="minorHAnsi" w:hAnsiTheme="minorHAnsi" w:cstheme="minorHAnsi"/>
          <w:sz w:val="22"/>
          <w:szCs w:val="22"/>
        </w:rPr>
        <w:t>. En période de campagne de vaccination, une rupture de la chaine de froid peut entrainer une méfiance des éleveurs et jouer ainsi sur le pourcentage d’animal vacciné.</w:t>
      </w:r>
    </w:p>
    <w:p w14:paraId="0D999678" w14:textId="77777777" w:rsidR="00537A1F" w:rsidRPr="00E01239" w:rsidRDefault="00537A1F"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Au-delà des risques liés à la perte de vaccins et de génération des déchets dangereux, l’utilisation d’équipements de réfrigération pourrait induire des gaz toxiques dans l’atmosphère et contribuer à la détérioration de la qualité de l’air. L’effet de ces émissions sur l’environnement est fonction du type de frigorigène utilisé. Ils sont classés en deux grandes familles à savoir les composés inorganiques dont le fluide le plus utilisé est l’ammoniac (R717) et les composés organiques (HFC, CFC, HCFC). Cette </w:t>
      </w:r>
      <w:r w:rsidRPr="00E01239">
        <w:rPr>
          <w:rFonts w:asciiTheme="minorHAnsi" w:hAnsiTheme="minorHAnsi" w:cstheme="minorHAnsi"/>
          <w:sz w:val="22"/>
          <w:szCs w:val="22"/>
        </w:rPr>
        <w:lastRenderedPageBreak/>
        <w:t xml:space="preserve">dernière catégorie très largement utilisée, fait l’objet d’interdiction pour des raisons de toxicité environnementale. En effet, les fluides frigorigènes contenant du chlore, du fluor et du brome ont un effet nocif sur la couche d’ozone et contribue au réchauffement climatique.  </w:t>
      </w:r>
    </w:p>
    <w:p w14:paraId="582E2C3E" w14:textId="77777777" w:rsidR="00537A1F" w:rsidRPr="00E01239" w:rsidRDefault="00537A1F" w:rsidP="00263B8A">
      <w:pPr>
        <w:autoSpaceDE w:val="0"/>
        <w:autoSpaceDN w:val="0"/>
        <w:adjustRightInd w:val="0"/>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Aujourd’hui, nombre de chambres/entrepôts frigorifiques fonctionnent avec de l’ammoniac, frigorigène. Ceci s’explique par le fait que l’ammoniac présente de bonnes propriétés thermodynamiques permettant d’obtenir des machines frigorifiques avec l’un des meilleurs coefficients de performances existantes, tout en n’ayant pas d’effet nocif sur l’ozone et ne contribuant pas à l’effet de serre, contrairement aux autres fluides frigorifiques.</w:t>
      </w:r>
    </w:p>
    <w:p w14:paraId="5813BCAC" w14:textId="0839ED60" w:rsidR="00FA7791" w:rsidRPr="00E01239" w:rsidRDefault="00FA7791" w:rsidP="00263B8A">
      <w:pPr>
        <w:spacing w:before="120" w:line="280" w:lineRule="exact"/>
        <w:jc w:val="center"/>
        <w:rPr>
          <w:rFonts w:asciiTheme="minorHAnsi" w:hAnsiTheme="minorHAnsi" w:cstheme="minorHAnsi"/>
          <w:sz w:val="22"/>
          <w:szCs w:val="22"/>
        </w:rPr>
      </w:pPr>
    </w:p>
    <w:p w14:paraId="39FD4679" w14:textId="48A9AF3F" w:rsidR="007541E0" w:rsidRPr="00E01239" w:rsidRDefault="00537A1F" w:rsidP="0011733B">
      <w:pPr>
        <w:pStyle w:val="Titre4"/>
        <w:spacing w:before="120" w:line="280" w:lineRule="exact"/>
        <w:ind w:left="1843" w:hanging="992"/>
        <w:contextualSpacing w:val="0"/>
        <w:rPr>
          <w:rFonts w:asciiTheme="minorHAnsi" w:hAnsiTheme="minorHAnsi" w:cstheme="minorHAnsi"/>
          <w:u w:val="single"/>
        </w:rPr>
      </w:pPr>
      <w:bookmarkStart w:id="703" w:name="_Toc144654148"/>
      <w:r w:rsidRPr="00E01239">
        <w:rPr>
          <w:rFonts w:asciiTheme="minorHAnsi" w:hAnsiTheme="minorHAnsi" w:cstheme="minorHAnsi"/>
          <w:u w:val="single"/>
        </w:rPr>
        <w:t>Risques liés aux opérations de vaccination dans les parcs nouvellement construits</w:t>
      </w:r>
      <w:bookmarkEnd w:id="703"/>
    </w:p>
    <w:p w14:paraId="3873FC74" w14:textId="26F8FA8D" w:rsidR="00537A1F" w:rsidRPr="00E01239" w:rsidRDefault="00537A1F"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impacts et risques inhérents aux opérations de vaccination portent essentiellement sur les risques accidentels de contamination du personnel en charge des opérations. L’absence de parcs à vaccination justifie certaines pratiques de vaccination sur piques ou basées sur la maitrise physique des animaux pour les vacciner avec des risques d’accidents, de blessures et d’inocu</w:t>
      </w:r>
      <w:r w:rsidR="00A40630">
        <w:rPr>
          <w:rFonts w:asciiTheme="minorHAnsi" w:eastAsia="Calibri" w:hAnsiTheme="minorHAnsi" w:cstheme="minorHAnsi"/>
          <w:sz w:val="22"/>
          <w:szCs w:val="22"/>
        </w:rPr>
        <w:t>la</w:t>
      </w:r>
      <w:r w:rsidRPr="00E01239">
        <w:rPr>
          <w:rFonts w:asciiTheme="minorHAnsi" w:eastAsia="Calibri" w:hAnsiTheme="minorHAnsi" w:cstheme="minorHAnsi"/>
          <w:sz w:val="22"/>
          <w:szCs w:val="22"/>
        </w:rPr>
        <w:t xml:space="preserve">tion accidentelle de vaccins par les auxiliaires de l’élevage et des services vétérinaires. </w:t>
      </w:r>
    </w:p>
    <w:p w14:paraId="54A8BA1E" w14:textId="77777777" w:rsidR="00537A1F" w:rsidRPr="00E01239" w:rsidRDefault="00537A1F"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En outre, l’absence de formation des auxiliaires de l’élevage justifient souvent le non-respect du port obligatoire d’équipements de protection individuelle lors de ces opérations.</w:t>
      </w:r>
    </w:p>
    <w:p w14:paraId="67F8F1C7" w14:textId="77777777" w:rsidR="00537A1F" w:rsidRPr="00E01239" w:rsidRDefault="00537A1F"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Le port d’équipement de protection individuelle pendant la campagne de vaccination est nécessaire pour réduire les risques d’exposition à certains accidents notamment les coups de cornes, les coups de sabots, les ruades, les piqures de seringues mais aussi contre la poussière et les éventuelles contaminations. </w:t>
      </w:r>
    </w:p>
    <w:p w14:paraId="54605A2D" w14:textId="77777777" w:rsidR="00537A1F" w:rsidRPr="00E01239" w:rsidRDefault="00537A1F"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campagnes de vaccination génèrent souvent des quantités importantes de déchets biomédicaux dans un contexte général marqué par l’absence de filières de gestion de ces déchets dangereux.</w:t>
      </w:r>
    </w:p>
    <w:p w14:paraId="0F7045FE" w14:textId="77777777" w:rsidR="00537A1F" w:rsidRPr="00E01239" w:rsidRDefault="00537A1F"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La gestion des déchets biomédicaux constitue un problème majeur de la santé animale. En effet, elle pose de nombreux problèmes sur le plan environnemental, social et sanitaire. Les personnes les plus exposées à cette mauvaise gestion des déchets biomédicaux sont les agents vétérinaires, les personnes chargés de la collecte mais aussi les populations riveraines en particulier les enfants qui très souvent fouillent dans les dépotoirs d’ordures.</w:t>
      </w:r>
    </w:p>
    <w:p w14:paraId="6139EC5A" w14:textId="77777777" w:rsidR="00537A1F" w:rsidRPr="00E01239" w:rsidRDefault="00537A1F"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Les déchets biomédicaux constituent un réservoir de micro-organismes potentiellement dangereux susceptibles d’infecter le personnel vétérinaire, la population riveraine et les animaux. Il existe une multitude de voies de contamination par blessure (coupures, piqures), par contact cutané ou contact avec les muqueuses, par inhalation ou par ingestion.</w:t>
      </w:r>
    </w:p>
    <w:p w14:paraId="062D12B0" w14:textId="77777777" w:rsidR="00537A1F" w:rsidRPr="00E01239" w:rsidRDefault="00537A1F"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A titre d’exemple : l’Organisation Mondiale de la Santé (OMS) estimait en 2000 que les accidents avec les déchets piquants/tranchants ont causé 66 000 cas d’infections par le virus de l’hépatite B, 16 000 cas d’infections par celui du virus de l’hépatite C et 200 à 500 cas d’infections par le VIH chez le personnel des structures de soins dans le monde. A cela s’ajoute les risques liés à l’utilisation de certains produits chimiques et pharmaceutiques présentant des caractéristiques toxiques, cancérigènes, mutagènes, toxiques pour la reproduction, irritantes, corrosives, sensibilisantes…. Le contact avec ces produits s’établit par l’inhalation de gaz, vapeurs ou gouttelettes, par contact cutané ou sur les muqueuses et par ingestion.</w:t>
      </w:r>
    </w:p>
    <w:p w14:paraId="0A32A330" w14:textId="77777777" w:rsidR="00537A1F" w:rsidRPr="00E01239" w:rsidRDefault="00537A1F"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La collecte incontrôlée des déchets biomédicaux dans des dépôts sauvages peut avoir un impact sérieux sur l’environnement par une contamination des sols et des nappes souterraines. En outre, une mauvaise élimination des déchets biomédicaux par incinération à des températures non conformes et </w:t>
      </w:r>
      <w:r w:rsidRPr="00E01239">
        <w:rPr>
          <w:rFonts w:asciiTheme="minorHAnsi" w:eastAsia="Calibri" w:hAnsiTheme="minorHAnsi" w:cstheme="minorHAnsi"/>
          <w:sz w:val="22"/>
          <w:szCs w:val="22"/>
        </w:rPr>
        <w:lastRenderedPageBreak/>
        <w:t>sans filtrage propre peut être source de pollution de l’air causant par la même occasion des maladies à la population riveraine.</w:t>
      </w:r>
    </w:p>
    <w:p w14:paraId="53AB1338" w14:textId="77777777" w:rsidR="00537A1F" w:rsidRPr="00E01239" w:rsidRDefault="00537A1F"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Au Sénégal, il faut signaler une méconnaissance totale des dangers liés à une mauvaise gestion des déchets biomédicaux de la part des CPV et des VP. </w:t>
      </w:r>
    </w:p>
    <w:p w14:paraId="650D40AE" w14:textId="693B4562" w:rsidR="00537A1F" w:rsidRPr="00E01239" w:rsidRDefault="00537A1F" w:rsidP="00DF5669">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La plupart du temps les flacons vides et les seringues sont jetés sur place dans la nature après usage. </w:t>
      </w:r>
    </w:p>
    <w:p w14:paraId="5F331ABF" w14:textId="77777777" w:rsidR="00814C48" w:rsidRPr="00E01239" w:rsidRDefault="00814C48" w:rsidP="00DF5669">
      <w:pPr>
        <w:spacing w:before="120" w:line="280" w:lineRule="exact"/>
        <w:jc w:val="both"/>
        <w:rPr>
          <w:rFonts w:asciiTheme="minorHAnsi" w:eastAsia="Calibri" w:hAnsiTheme="minorHAnsi" w:cstheme="minorHAnsi"/>
          <w:sz w:val="22"/>
          <w:szCs w:val="22"/>
        </w:rPr>
        <w:sectPr w:rsidR="00814C48" w:rsidRPr="00E01239" w:rsidSect="00DA561C">
          <w:type w:val="continuous"/>
          <w:pgSz w:w="11907" w:h="16840" w:code="9"/>
          <w:pgMar w:top="1418" w:right="1418" w:bottom="1418" w:left="1418" w:header="720" w:footer="720" w:gutter="0"/>
          <w:cols w:space="60"/>
          <w:noEndnote/>
        </w:sectPr>
      </w:pPr>
    </w:p>
    <w:p w14:paraId="04397609" w14:textId="77777777" w:rsidR="00814C48" w:rsidRPr="00E01239" w:rsidRDefault="00814C48" w:rsidP="00DF5669">
      <w:pPr>
        <w:spacing w:before="120" w:line="280" w:lineRule="exact"/>
        <w:jc w:val="both"/>
        <w:rPr>
          <w:rFonts w:asciiTheme="minorHAnsi" w:eastAsia="Calibri" w:hAnsiTheme="minorHAnsi" w:cstheme="minorHAnsi"/>
          <w:sz w:val="22"/>
          <w:szCs w:val="22"/>
        </w:rPr>
        <w:sectPr w:rsidR="00814C48" w:rsidRPr="00E01239" w:rsidSect="00DA561C">
          <w:type w:val="continuous"/>
          <w:pgSz w:w="11907" w:h="16840" w:code="9"/>
          <w:pgMar w:top="1418" w:right="1418" w:bottom="1418" w:left="1418" w:header="720" w:footer="720" w:gutter="0"/>
          <w:cols w:space="60"/>
          <w:noEndnote/>
        </w:sectPr>
      </w:pPr>
    </w:p>
    <w:p w14:paraId="21E1BDBC" w14:textId="2B71DE75" w:rsidR="00814C48" w:rsidRPr="00E01239" w:rsidRDefault="00814C48">
      <w:pPr>
        <w:rPr>
          <w:rFonts w:asciiTheme="minorHAnsi" w:eastAsia="Calibri" w:hAnsiTheme="minorHAnsi" w:cstheme="minorHAnsi"/>
          <w:sz w:val="22"/>
          <w:szCs w:val="22"/>
        </w:rPr>
      </w:pPr>
      <w:r w:rsidRPr="00E01239">
        <w:rPr>
          <w:rFonts w:asciiTheme="minorHAnsi" w:eastAsia="Calibri" w:hAnsiTheme="minorHAnsi" w:cstheme="minorHAnsi"/>
          <w:sz w:val="22"/>
          <w:szCs w:val="22"/>
        </w:rPr>
        <w:br w:type="page"/>
      </w:r>
    </w:p>
    <w:p w14:paraId="6EB0EE19" w14:textId="45852EFC" w:rsidR="007E5627" w:rsidRPr="00E01239" w:rsidRDefault="004E2661" w:rsidP="00112918">
      <w:pPr>
        <w:pStyle w:val="Titre1"/>
        <w:keepNext w:val="0"/>
        <w:keepLines w:val="0"/>
        <w:numPr>
          <w:ilvl w:val="0"/>
          <w:numId w:val="1"/>
        </w:numPr>
        <w:pBdr>
          <w:top w:val="single" w:sz="12" w:space="1" w:color="auto"/>
          <w:bottom w:val="single" w:sz="12" w:space="1" w:color="auto"/>
        </w:pBdr>
        <w:shd w:val="clear" w:color="auto" w:fill="000000" w:themeFill="text1"/>
        <w:tabs>
          <w:tab w:val="left" w:pos="284"/>
        </w:tabs>
        <w:spacing w:before="0"/>
        <w:ind w:left="-1418" w:right="-1418" w:firstLine="1418"/>
        <w:rPr>
          <w:rFonts w:asciiTheme="minorHAnsi" w:hAnsiTheme="minorHAnsi" w:cstheme="minorHAnsi"/>
          <w:bCs w:val="0"/>
          <w:color w:val="auto"/>
          <w:lang w:eastAsia="x-none"/>
        </w:rPr>
      </w:pPr>
      <w:bookmarkStart w:id="704" w:name="_Toc142377820"/>
      <w:bookmarkStart w:id="705" w:name="_Toc142377821"/>
      <w:bookmarkStart w:id="706" w:name="_Toc142377822"/>
      <w:bookmarkStart w:id="707" w:name="_Toc142377823"/>
      <w:bookmarkStart w:id="708" w:name="_Toc142377824"/>
      <w:bookmarkStart w:id="709" w:name="_Toc142377825"/>
      <w:bookmarkStart w:id="710" w:name="_Toc142377826"/>
      <w:bookmarkStart w:id="711" w:name="_Toc142377827"/>
      <w:bookmarkStart w:id="712" w:name="_Toc142377828"/>
      <w:bookmarkStart w:id="713" w:name="_Toc142377829"/>
      <w:bookmarkStart w:id="714" w:name="_Toc142377830"/>
      <w:bookmarkStart w:id="715" w:name="_Toc142377831"/>
      <w:bookmarkStart w:id="716" w:name="_Toc142377832"/>
      <w:bookmarkStart w:id="717" w:name="_Toc142377833"/>
      <w:bookmarkStart w:id="718" w:name="_Toc142377834"/>
      <w:bookmarkStart w:id="719" w:name="_Toc142377835"/>
      <w:bookmarkStart w:id="720" w:name="_Toc142377836"/>
      <w:bookmarkStart w:id="721" w:name="_Toc142377837"/>
      <w:bookmarkStart w:id="722" w:name="_Toc142377838"/>
      <w:bookmarkStart w:id="723" w:name="_Toc142377839"/>
      <w:bookmarkStart w:id="724" w:name="_Toc142377840"/>
      <w:bookmarkStart w:id="725" w:name="_Toc142377841"/>
      <w:bookmarkStart w:id="726" w:name="_Toc142377842"/>
      <w:bookmarkStart w:id="727" w:name="_Toc142377843"/>
      <w:bookmarkStart w:id="728" w:name="_Toc142377844"/>
      <w:bookmarkStart w:id="729" w:name="_Toc142377845"/>
      <w:bookmarkStart w:id="730" w:name="_Toc142377846"/>
      <w:bookmarkStart w:id="731" w:name="_Toc142377847"/>
      <w:bookmarkStart w:id="732" w:name="_Toc142377848"/>
      <w:bookmarkStart w:id="733" w:name="_Toc142377849"/>
      <w:bookmarkStart w:id="734" w:name="_Toc142377850"/>
      <w:bookmarkStart w:id="735" w:name="_Toc142377851"/>
      <w:bookmarkStart w:id="736" w:name="_Toc142377852"/>
      <w:bookmarkStart w:id="737" w:name="_Toc142377853"/>
      <w:bookmarkStart w:id="738" w:name="_Toc142377854"/>
      <w:bookmarkStart w:id="739" w:name="_Toc142377855"/>
      <w:bookmarkStart w:id="740" w:name="_Toc142377856"/>
      <w:bookmarkStart w:id="741" w:name="_Toc142377857"/>
      <w:bookmarkStart w:id="742" w:name="_Toc142377858"/>
      <w:bookmarkStart w:id="743" w:name="_Toc142377859"/>
      <w:bookmarkStart w:id="744" w:name="_Toc142377860"/>
      <w:bookmarkStart w:id="745" w:name="_Toc142377861"/>
      <w:bookmarkStart w:id="746" w:name="_Toc142377862"/>
      <w:bookmarkStart w:id="747" w:name="_Toc142377863"/>
      <w:bookmarkStart w:id="748" w:name="_Toc142377864"/>
      <w:bookmarkStart w:id="749" w:name="_Toc142377865"/>
      <w:bookmarkStart w:id="750" w:name="_Toc142377866"/>
      <w:bookmarkStart w:id="751" w:name="_Toc142377867"/>
      <w:bookmarkStart w:id="752" w:name="_Toc142377868"/>
      <w:bookmarkStart w:id="753" w:name="_Toc142377869"/>
      <w:bookmarkStart w:id="754" w:name="_Toc142377870"/>
      <w:bookmarkStart w:id="755" w:name="_Toc142377871"/>
      <w:bookmarkStart w:id="756" w:name="_Toc142377872"/>
      <w:bookmarkStart w:id="757" w:name="_Toc142377873"/>
      <w:bookmarkStart w:id="758" w:name="_Toc142377874"/>
      <w:bookmarkStart w:id="759" w:name="_Toc142377875"/>
      <w:bookmarkStart w:id="760" w:name="_Toc142377876"/>
      <w:bookmarkStart w:id="761" w:name="_Toc142377877"/>
      <w:bookmarkStart w:id="762" w:name="_Toc142377878"/>
      <w:bookmarkStart w:id="763" w:name="_Toc142377879"/>
      <w:bookmarkStart w:id="764" w:name="_Toc142377880"/>
      <w:bookmarkStart w:id="765" w:name="_Toc142377881"/>
      <w:bookmarkStart w:id="766" w:name="_Toc142377882"/>
      <w:bookmarkStart w:id="767" w:name="_Toc142377883"/>
      <w:bookmarkStart w:id="768" w:name="_Toc142377884"/>
      <w:bookmarkStart w:id="769" w:name="_Toc142377885"/>
      <w:bookmarkStart w:id="770" w:name="_Toc142377886"/>
      <w:bookmarkStart w:id="771" w:name="_Toc142377887"/>
      <w:bookmarkStart w:id="772" w:name="_Toc142377888"/>
      <w:bookmarkStart w:id="773" w:name="_Toc142377889"/>
      <w:bookmarkStart w:id="774" w:name="_Toc142377890"/>
      <w:bookmarkStart w:id="775" w:name="_Toc142377891"/>
      <w:bookmarkStart w:id="776" w:name="_Toc142377892"/>
      <w:bookmarkStart w:id="777" w:name="_Toc142377893"/>
      <w:bookmarkStart w:id="778" w:name="_Toc142377894"/>
      <w:bookmarkStart w:id="779" w:name="_Toc142377895"/>
      <w:bookmarkStart w:id="780" w:name="_Toc142377896"/>
      <w:bookmarkStart w:id="781" w:name="_Toc142377897"/>
      <w:bookmarkStart w:id="782" w:name="_Toc142377898"/>
      <w:bookmarkStart w:id="783" w:name="_Toc142377899"/>
      <w:bookmarkStart w:id="784" w:name="_Toc142377900"/>
      <w:bookmarkStart w:id="785" w:name="_Toc142377901"/>
      <w:bookmarkStart w:id="786" w:name="_Toc142377902"/>
      <w:bookmarkStart w:id="787" w:name="_Toc142377903"/>
      <w:bookmarkStart w:id="788" w:name="_Toc142377904"/>
      <w:bookmarkStart w:id="789" w:name="_Toc142377905"/>
      <w:bookmarkStart w:id="790" w:name="_Toc142377906"/>
      <w:bookmarkStart w:id="791" w:name="_Toc142377907"/>
      <w:bookmarkStart w:id="792" w:name="_Toc142377908"/>
      <w:bookmarkStart w:id="793" w:name="_Toc142377909"/>
      <w:bookmarkStart w:id="794" w:name="_Toc142377910"/>
      <w:bookmarkStart w:id="795" w:name="_Toc142377911"/>
      <w:bookmarkStart w:id="796" w:name="_Toc142377912"/>
      <w:bookmarkStart w:id="797" w:name="_Toc142377913"/>
      <w:bookmarkStart w:id="798" w:name="_Toc142377914"/>
      <w:bookmarkStart w:id="799" w:name="_Toc142377915"/>
      <w:bookmarkStart w:id="800" w:name="_Toc142377916"/>
      <w:bookmarkStart w:id="801" w:name="_Toc142377917"/>
      <w:bookmarkStart w:id="802" w:name="_Toc142377918"/>
      <w:bookmarkStart w:id="803" w:name="_Toc142377919"/>
      <w:bookmarkStart w:id="804" w:name="_Toc142377920"/>
      <w:bookmarkStart w:id="805" w:name="_Toc142377921"/>
      <w:bookmarkStart w:id="806" w:name="_Toc142377922"/>
      <w:bookmarkStart w:id="807" w:name="_Toc142377923"/>
      <w:bookmarkStart w:id="808" w:name="_Toc142377924"/>
      <w:bookmarkStart w:id="809" w:name="_Toc142377925"/>
      <w:bookmarkStart w:id="810" w:name="_Toc142377926"/>
      <w:bookmarkStart w:id="811" w:name="_Toc142377927"/>
      <w:bookmarkStart w:id="812" w:name="_Toc142377928"/>
      <w:bookmarkStart w:id="813" w:name="_Toc142377929"/>
      <w:bookmarkStart w:id="814" w:name="_Toc142377930"/>
      <w:bookmarkStart w:id="815" w:name="_Toc142377931"/>
      <w:bookmarkStart w:id="816" w:name="_Toc142377932"/>
      <w:bookmarkStart w:id="817" w:name="_Toc142377933"/>
      <w:bookmarkStart w:id="818" w:name="_Toc142377934"/>
      <w:bookmarkStart w:id="819" w:name="_Toc142377935"/>
      <w:bookmarkStart w:id="820" w:name="_Toc142377936"/>
      <w:bookmarkStart w:id="821" w:name="_Toc142377937"/>
      <w:bookmarkStart w:id="822" w:name="_Toc142377938"/>
      <w:bookmarkStart w:id="823" w:name="_Toc142377939"/>
      <w:bookmarkStart w:id="824" w:name="_Toc142377940"/>
      <w:bookmarkStart w:id="825" w:name="_Toc142377941"/>
      <w:bookmarkStart w:id="826" w:name="_Toc142377942"/>
      <w:bookmarkStart w:id="827" w:name="_Toc142377943"/>
      <w:bookmarkStart w:id="828" w:name="_Toc142377944"/>
      <w:bookmarkStart w:id="829" w:name="_Toc142377945"/>
      <w:bookmarkStart w:id="830" w:name="_Toc142377946"/>
      <w:bookmarkStart w:id="831" w:name="_Toc142377947"/>
      <w:bookmarkStart w:id="832" w:name="_Toc142377948"/>
      <w:bookmarkStart w:id="833" w:name="_Toc142377949"/>
      <w:bookmarkStart w:id="834" w:name="_Toc142377950"/>
      <w:bookmarkStart w:id="835" w:name="_Toc142377951"/>
      <w:bookmarkStart w:id="836" w:name="_Toc142377952"/>
      <w:bookmarkStart w:id="837" w:name="_Toc142377953"/>
      <w:bookmarkStart w:id="838" w:name="_Toc142377954"/>
      <w:bookmarkStart w:id="839" w:name="_Toc142377955"/>
      <w:bookmarkStart w:id="840" w:name="_Toc142377956"/>
      <w:bookmarkStart w:id="841" w:name="_Toc142377957"/>
      <w:bookmarkStart w:id="842" w:name="_Toc142377958"/>
      <w:bookmarkStart w:id="843" w:name="_Toc142377959"/>
      <w:bookmarkStart w:id="844" w:name="_Toc142377960"/>
      <w:bookmarkStart w:id="845" w:name="_Toc142377961"/>
      <w:bookmarkStart w:id="846" w:name="_Toc142377962"/>
      <w:bookmarkStart w:id="847" w:name="_Toc142377963"/>
      <w:bookmarkStart w:id="848" w:name="_Toc142377964"/>
      <w:bookmarkStart w:id="849" w:name="_Toc142377965"/>
      <w:bookmarkStart w:id="850" w:name="_Toc142377966"/>
      <w:bookmarkStart w:id="851" w:name="_Toc142377967"/>
      <w:bookmarkStart w:id="852" w:name="_Toc142377968"/>
      <w:bookmarkStart w:id="853" w:name="_Toc142377969"/>
      <w:bookmarkStart w:id="854" w:name="_Toc142377970"/>
      <w:bookmarkStart w:id="855" w:name="_Toc142377971"/>
      <w:bookmarkStart w:id="856" w:name="_Toc142377972"/>
      <w:bookmarkStart w:id="857" w:name="_Toc142377973"/>
      <w:bookmarkStart w:id="858" w:name="_Toc142377974"/>
      <w:bookmarkStart w:id="859" w:name="_Toc142377975"/>
      <w:bookmarkStart w:id="860" w:name="_Toc142377976"/>
      <w:bookmarkStart w:id="861" w:name="_Toc142377977"/>
      <w:bookmarkStart w:id="862" w:name="_Toc142377978"/>
      <w:bookmarkStart w:id="863" w:name="_Toc142377979"/>
      <w:bookmarkStart w:id="864" w:name="_Toc142377980"/>
      <w:bookmarkStart w:id="865" w:name="_Toc142377981"/>
      <w:bookmarkStart w:id="866" w:name="_Toc142377982"/>
      <w:bookmarkStart w:id="867" w:name="_Toc142377983"/>
      <w:bookmarkStart w:id="868" w:name="_Toc142377984"/>
      <w:bookmarkStart w:id="869" w:name="_Toc142377985"/>
      <w:bookmarkStart w:id="870" w:name="_Toc142377986"/>
      <w:bookmarkStart w:id="871" w:name="_Toc142377987"/>
      <w:bookmarkStart w:id="872" w:name="_Toc142377988"/>
      <w:bookmarkStart w:id="873" w:name="_Toc142377989"/>
      <w:bookmarkStart w:id="874" w:name="_Toc142377990"/>
      <w:bookmarkStart w:id="875" w:name="_Toc142377991"/>
      <w:bookmarkStart w:id="876" w:name="_Toc142377992"/>
      <w:bookmarkStart w:id="877" w:name="_Toc142377993"/>
      <w:bookmarkStart w:id="878" w:name="_Toc142377994"/>
      <w:bookmarkStart w:id="879" w:name="_Toc142377995"/>
      <w:bookmarkStart w:id="880" w:name="_Toc142377996"/>
      <w:bookmarkStart w:id="881" w:name="_Toc142377997"/>
      <w:bookmarkStart w:id="882" w:name="_Toc142377998"/>
      <w:bookmarkStart w:id="883" w:name="_Toc142377999"/>
      <w:bookmarkStart w:id="884" w:name="_Toc142378000"/>
      <w:bookmarkStart w:id="885" w:name="_Toc142378001"/>
      <w:bookmarkStart w:id="886" w:name="_Toc142378002"/>
      <w:bookmarkStart w:id="887" w:name="_Toc142378003"/>
      <w:bookmarkStart w:id="888" w:name="_Toc142378004"/>
      <w:bookmarkStart w:id="889" w:name="_Toc142378005"/>
      <w:bookmarkStart w:id="890" w:name="_Toc142378006"/>
      <w:bookmarkStart w:id="891" w:name="_Toc142378007"/>
      <w:bookmarkStart w:id="892" w:name="_Toc142378008"/>
      <w:bookmarkStart w:id="893" w:name="_Toc142378009"/>
      <w:bookmarkStart w:id="894" w:name="_Toc142378010"/>
      <w:bookmarkStart w:id="895" w:name="_Toc142378011"/>
      <w:bookmarkStart w:id="896" w:name="_Toc142378012"/>
      <w:bookmarkStart w:id="897" w:name="_Toc142378013"/>
      <w:bookmarkStart w:id="898" w:name="_Toc142378014"/>
      <w:bookmarkStart w:id="899" w:name="_Toc142378015"/>
      <w:bookmarkStart w:id="900" w:name="_Toc142378016"/>
      <w:bookmarkStart w:id="901" w:name="_Toc142378017"/>
      <w:bookmarkStart w:id="902" w:name="_Toc142378018"/>
      <w:bookmarkStart w:id="903" w:name="_Toc142378019"/>
      <w:bookmarkStart w:id="904" w:name="_Toc142378020"/>
      <w:bookmarkStart w:id="905" w:name="_Toc142378021"/>
      <w:bookmarkStart w:id="906" w:name="_Toc142378022"/>
      <w:bookmarkStart w:id="907" w:name="_Toc142378023"/>
      <w:bookmarkStart w:id="908" w:name="_Toc142378024"/>
      <w:bookmarkStart w:id="909" w:name="_Toc142378025"/>
      <w:bookmarkStart w:id="910" w:name="_Toc142378026"/>
      <w:bookmarkStart w:id="911" w:name="_Toc142378027"/>
      <w:bookmarkStart w:id="912" w:name="_Toc142378028"/>
      <w:bookmarkStart w:id="913" w:name="_Toc142378029"/>
      <w:bookmarkStart w:id="914" w:name="_Toc142378030"/>
      <w:bookmarkStart w:id="915" w:name="_Toc142378031"/>
      <w:bookmarkStart w:id="916" w:name="_Toc142378032"/>
      <w:bookmarkStart w:id="917" w:name="_Toc142378033"/>
      <w:bookmarkStart w:id="918" w:name="_Toc142378034"/>
      <w:bookmarkStart w:id="919" w:name="_Toc142378035"/>
      <w:bookmarkStart w:id="920" w:name="_Toc142378036"/>
      <w:bookmarkStart w:id="921" w:name="_Toc142378037"/>
      <w:bookmarkStart w:id="922" w:name="_Toc142378038"/>
      <w:bookmarkStart w:id="923" w:name="_Toc142378039"/>
      <w:bookmarkStart w:id="924" w:name="_Toc142378040"/>
      <w:bookmarkStart w:id="925" w:name="_Toc142378041"/>
      <w:bookmarkStart w:id="926" w:name="_Toc142378042"/>
      <w:bookmarkStart w:id="927" w:name="_Toc142378043"/>
      <w:bookmarkStart w:id="928" w:name="_Toc142378044"/>
      <w:bookmarkStart w:id="929" w:name="_Toc142378045"/>
      <w:bookmarkStart w:id="930" w:name="_Toc142378046"/>
      <w:bookmarkStart w:id="931" w:name="_Toc142378047"/>
      <w:bookmarkStart w:id="932" w:name="_Toc142378048"/>
      <w:bookmarkStart w:id="933" w:name="_Toc142378049"/>
      <w:bookmarkStart w:id="934" w:name="_Toc142378050"/>
      <w:bookmarkStart w:id="935" w:name="_Toc142378051"/>
      <w:bookmarkStart w:id="936" w:name="_Toc142378052"/>
      <w:bookmarkStart w:id="937" w:name="_Toc142378053"/>
      <w:bookmarkStart w:id="938" w:name="_Toc142378054"/>
      <w:bookmarkStart w:id="939" w:name="_Toc142378055"/>
      <w:bookmarkStart w:id="940" w:name="_Toc142378056"/>
      <w:bookmarkStart w:id="941" w:name="_Toc142378057"/>
      <w:bookmarkStart w:id="942" w:name="_Toc142378058"/>
      <w:bookmarkStart w:id="943" w:name="_Toc142378059"/>
      <w:bookmarkStart w:id="944" w:name="_Toc142378060"/>
      <w:bookmarkStart w:id="945" w:name="_Toc142378061"/>
      <w:bookmarkStart w:id="946" w:name="_Toc142378062"/>
      <w:bookmarkStart w:id="947" w:name="_Toc142378063"/>
      <w:bookmarkStart w:id="948" w:name="_Toc142378064"/>
      <w:bookmarkStart w:id="949" w:name="_Toc142378065"/>
      <w:bookmarkStart w:id="950" w:name="_Toc142378066"/>
      <w:bookmarkStart w:id="951" w:name="_Toc142378067"/>
      <w:bookmarkStart w:id="952" w:name="_Toc142378068"/>
      <w:bookmarkStart w:id="953" w:name="_Toc142378069"/>
      <w:bookmarkStart w:id="954" w:name="_Toc142378070"/>
      <w:bookmarkStart w:id="955" w:name="_Toc142378072"/>
      <w:bookmarkStart w:id="956" w:name="_Toc142378073"/>
      <w:bookmarkStart w:id="957" w:name="_Toc142378074"/>
      <w:bookmarkStart w:id="958" w:name="_Toc142378075"/>
      <w:bookmarkStart w:id="959" w:name="_Toc142378076"/>
      <w:bookmarkStart w:id="960" w:name="_Toc142378077"/>
      <w:bookmarkStart w:id="961" w:name="_Toc142378078"/>
      <w:bookmarkStart w:id="962" w:name="_Toc142378079"/>
      <w:bookmarkStart w:id="963" w:name="_Toc142378080"/>
      <w:bookmarkStart w:id="964" w:name="_Toc142378081"/>
      <w:bookmarkStart w:id="965" w:name="_Toc142378082"/>
      <w:bookmarkStart w:id="966" w:name="_Toc142378083"/>
      <w:bookmarkStart w:id="967" w:name="_Toc142378084"/>
      <w:bookmarkStart w:id="968" w:name="_Toc142378085"/>
      <w:bookmarkStart w:id="969" w:name="_Toc142378086"/>
      <w:bookmarkStart w:id="970" w:name="_Toc142378087"/>
      <w:bookmarkStart w:id="971" w:name="_Toc142378097"/>
      <w:bookmarkStart w:id="972" w:name="_Toc142378098"/>
      <w:bookmarkStart w:id="973" w:name="_Toc142378099"/>
      <w:bookmarkStart w:id="974" w:name="_Toc142378100"/>
      <w:bookmarkStart w:id="975" w:name="_Toc142378101"/>
      <w:bookmarkStart w:id="976" w:name="_Toc142378134"/>
      <w:bookmarkStart w:id="977" w:name="_Toc142378135"/>
      <w:bookmarkStart w:id="978" w:name="_Toc142378136"/>
      <w:bookmarkStart w:id="979" w:name="_Toc142378137"/>
      <w:bookmarkStart w:id="980" w:name="_Toc142378138"/>
      <w:bookmarkStart w:id="981" w:name="_Toc142378139"/>
      <w:bookmarkStart w:id="982" w:name="_Toc142378140"/>
      <w:bookmarkStart w:id="983" w:name="_Toc142378141"/>
      <w:bookmarkStart w:id="984" w:name="_Toc142378142"/>
      <w:bookmarkStart w:id="985" w:name="_Toc142378143"/>
      <w:bookmarkStart w:id="986" w:name="_Toc142378144"/>
      <w:bookmarkStart w:id="987" w:name="_Toc142378195"/>
      <w:bookmarkStart w:id="988" w:name="_Toc142378196"/>
      <w:bookmarkStart w:id="989" w:name="_Toc142378197"/>
      <w:bookmarkStart w:id="990" w:name="_Toc142378198"/>
      <w:bookmarkStart w:id="991" w:name="_Toc142378199"/>
      <w:bookmarkStart w:id="992" w:name="_Toc142378200"/>
      <w:bookmarkStart w:id="993" w:name="_Toc142378201"/>
      <w:bookmarkStart w:id="994" w:name="_Toc142378202"/>
      <w:bookmarkStart w:id="995" w:name="_Toc142378203"/>
      <w:bookmarkStart w:id="996" w:name="_Toc142378204"/>
      <w:bookmarkStart w:id="997" w:name="_Toc26504996"/>
      <w:bookmarkStart w:id="998" w:name="_Toc70002950"/>
      <w:bookmarkStart w:id="999" w:name="_Toc130714091"/>
      <w:bookmarkStart w:id="1000" w:name="_Toc142378205"/>
      <w:bookmarkStart w:id="1001" w:name="_Toc144654149"/>
      <w:bookmarkStart w:id="1002" w:name="_Hlk38729286"/>
      <w:bookmarkStart w:id="1003" w:name="_Toc26504980"/>
      <w:bookmarkEnd w:id="604"/>
      <w:bookmarkEnd w:id="606"/>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r w:rsidRPr="00E01239">
        <w:rPr>
          <w:rFonts w:asciiTheme="minorHAnsi" w:hAnsiTheme="minorHAnsi" w:cstheme="minorHAnsi"/>
          <w:bCs w:val="0"/>
          <w:color w:val="auto"/>
          <w:lang w:eastAsia="x-none"/>
        </w:rPr>
        <w:lastRenderedPageBreak/>
        <w:t xml:space="preserve">PLAN CADRE </w:t>
      </w:r>
      <w:r w:rsidR="007E5627" w:rsidRPr="00E01239">
        <w:rPr>
          <w:rFonts w:asciiTheme="minorHAnsi" w:hAnsiTheme="minorHAnsi" w:cstheme="minorHAnsi"/>
          <w:bCs w:val="0"/>
          <w:color w:val="auto"/>
          <w:lang w:eastAsia="x-none"/>
        </w:rPr>
        <w:t xml:space="preserve">DE GESTION </w:t>
      </w:r>
      <w:bookmarkEnd w:id="997"/>
      <w:bookmarkEnd w:id="998"/>
      <w:bookmarkEnd w:id="999"/>
      <w:bookmarkEnd w:id="1000"/>
      <w:r w:rsidR="001D267F" w:rsidRPr="00E01239">
        <w:rPr>
          <w:rFonts w:asciiTheme="minorHAnsi" w:hAnsiTheme="minorHAnsi" w:cstheme="minorHAnsi"/>
          <w:bCs w:val="0"/>
          <w:color w:val="auto"/>
          <w:lang w:eastAsia="x-none"/>
        </w:rPr>
        <w:t>ENVIRONNEMENTALE ET SOCIALE</w:t>
      </w:r>
      <w:bookmarkEnd w:id="1001"/>
    </w:p>
    <w:p w14:paraId="15283F47" w14:textId="6D09D697" w:rsidR="00AE790E" w:rsidRPr="00E01239" w:rsidRDefault="00AE790E" w:rsidP="00263B8A">
      <w:pPr>
        <w:shd w:val="clear" w:color="auto" w:fill="FFFFFF"/>
        <w:spacing w:before="120" w:line="280" w:lineRule="exact"/>
        <w:ind w:right="19"/>
        <w:jc w:val="both"/>
        <w:rPr>
          <w:rFonts w:asciiTheme="minorHAnsi" w:hAnsiTheme="minorHAnsi" w:cstheme="minorHAnsi"/>
          <w:spacing w:val="-1"/>
          <w:sz w:val="22"/>
          <w:szCs w:val="22"/>
        </w:rPr>
      </w:pPr>
      <w:bookmarkStart w:id="1004" w:name="_Hlk38730311"/>
      <w:r w:rsidRPr="00E01239">
        <w:rPr>
          <w:rFonts w:asciiTheme="minorHAnsi" w:hAnsiTheme="minorHAnsi" w:cstheme="minorHAnsi"/>
          <w:spacing w:val="-1"/>
          <w:sz w:val="22"/>
          <w:szCs w:val="22"/>
        </w:rPr>
        <w:t xml:space="preserve">Le présent Plan Cadre de Gestion Environnementale et Sociale (PCGES) décrit le processus par lequel les risques environnementaux et sociaux associés aux sous-projets du FSRP-SN sont identifiés, évalués et gérés. Le PCGES discute des éléments suivants : </w:t>
      </w:r>
    </w:p>
    <w:p w14:paraId="44105624" w14:textId="5AB3ADF4" w:rsidR="00AE790E" w:rsidRPr="00E01239" w:rsidRDefault="006151A2"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w:t>
      </w:r>
      <w:r w:rsidR="00AE790E" w:rsidRPr="00E01239">
        <w:rPr>
          <w:rFonts w:asciiTheme="minorHAnsi" w:hAnsiTheme="minorHAnsi" w:cstheme="minorHAnsi"/>
          <w:spacing w:val="1"/>
          <w:sz w:val="22"/>
          <w:szCs w:val="22"/>
        </w:rPr>
        <w:t xml:space="preserve"> processus de sélection environnementale et sociale,</w:t>
      </w:r>
    </w:p>
    <w:p w14:paraId="41C58AA1" w14:textId="4535795A" w:rsidR="00AE790E" w:rsidRPr="00E01239" w:rsidRDefault="006151A2"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Les</w:t>
      </w:r>
      <w:r w:rsidR="00AE790E" w:rsidRPr="00E01239">
        <w:rPr>
          <w:rFonts w:asciiTheme="minorHAnsi" w:hAnsiTheme="minorHAnsi" w:cstheme="minorHAnsi"/>
          <w:spacing w:val="1"/>
          <w:sz w:val="22"/>
          <w:szCs w:val="22"/>
        </w:rPr>
        <w:t xml:space="preserve"> mesures de gestion environnementale et sociale inhérents aux différents </w:t>
      </w:r>
      <w:r w:rsidRPr="00E01239">
        <w:rPr>
          <w:rFonts w:asciiTheme="minorHAnsi" w:hAnsiTheme="minorHAnsi" w:cstheme="minorHAnsi"/>
          <w:spacing w:val="1"/>
          <w:sz w:val="22"/>
          <w:szCs w:val="22"/>
        </w:rPr>
        <w:t>impacts</w:t>
      </w:r>
      <w:r w:rsidR="00AE790E" w:rsidRPr="00E01239">
        <w:rPr>
          <w:rFonts w:asciiTheme="minorHAnsi" w:hAnsiTheme="minorHAnsi" w:cstheme="minorHAnsi"/>
          <w:spacing w:val="1"/>
          <w:sz w:val="22"/>
          <w:szCs w:val="22"/>
        </w:rPr>
        <w:t xml:space="preserve"> et risques identifiés,</w:t>
      </w:r>
    </w:p>
    <w:p w14:paraId="02ABF9EE" w14:textId="2F7D4E15" w:rsidR="00AE790E" w:rsidRPr="00E01239" w:rsidRDefault="006151A2"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w:t>
      </w:r>
      <w:r w:rsidR="00AE790E" w:rsidRPr="00E01239">
        <w:rPr>
          <w:rFonts w:asciiTheme="minorHAnsi" w:hAnsiTheme="minorHAnsi" w:cstheme="minorHAnsi"/>
          <w:spacing w:val="1"/>
          <w:sz w:val="22"/>
          <w:szCs w:val="22"/>
        </w:rPr>
        <w:t xml:space="preserve"> prise en compte du genre et des questions de vulnérabilité et </w:t>
      </w:r>
      <w:r w:rsidR="00527775" w:rsidRPr="00E01239">
        <w:rPr>
          <w:rFonts w:asciiTheme="minorHAnsi" w:hAnsiTheme="minorHAnsi" w:cstheme="minorHAnsi"/>
          <w:spacing w:val="1"/>
          <w:sz w:val="22"/>
          <w:szCs w:val="22"/>
        </w:rPr>
        <w:t>l</w:t>
      </w:r>
      <w:r w:rsidR="00AE790E" w:rsidRPr="00E01239">
        <w:rPr>
          <w:rFonts w:asciiTheme="minorHAnsi" w:hAnsiTheme="minorHAnsi" w:cstheme="minorHAnsi"/>
          <w:spacing w:val="1"/>
          <w:sz w:val="22"/>
          <w:szCs w:val="22"/>
        </w:rPr>
        <w:t xml:space="preserve">’inclusion sociale, </w:t>
      </w:r>
    </w:p>
    <w:p w14:paraId="2DD0CB54" w14:textId="7529540B" w:rsidR="00AE790E" w:rsidRPr="00E01239" w:rsidRDefault="006151A2"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w:t>
      </w:r>
      <w:r w:rsidR="00AE790E" w:rsidRPr="00E01239">
        <w:rPr>
          <w:rFonts w:asciiTheme="minorHAnsi" w:hAnsiTheme="minorHAnsi" w:cstheme="minorHAnsi"/>
          <w:spacing w:val="1"/>
          <w:sz w:val="22"/>
          <w:szCs w:val="22"/>
        </w:rPr>
        <w:t xml:space="preserve"> consultation et l’information des parties prenantes, </w:t>
      </w:r>
    </w:p>
    <w:p w14:paraId="52641D60" w14:textId="4D8A10B9" w:rsidR="00AE790E" w:rsidRPr="00E01239" w:rsidRDefault="006151A2"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z w:val="22"/>
          <w:szCs w:val="22"/>
        </w:rPr>
      </w:pPr>
      <w:r w:rsidRPr="00E01239">
        <w:rPr>
          <w:rFonts w:asciiTheme="minorHAnsi" w:hAnsiTheme="minorHAnsi" w:cstheme="minorHAnsi"/>
          <w:spacing w:val="1"/>
          <w:sz w:val="22"/>
          <w:szCs w:val="22"/>
        </w:rPr>
        <w:t>Le</w:t>
      </w:r>
      <w:r w:rsidR="00AE790E" w:rsidRPr="00E01239">
        <w:rPr>
          <w:rFonts w:asciiTheme="minorHAnsi" w:hAnsiTheme="minorHAnsi" w:cstheme="minorHAnsi"/>
          <w:spacing w:val="1"/>
          <w:sz w:val="22"/>
          <w:szCs w:val="22"/>
        </w:rPr>
        <w:t xml:space="preserve"> programme de suivi et de mise en œuvre des mesures d’évitement, d’atténuation et de compensation,</w:t>
      </w:r>
    </w:p>
    <w:p w14:paraId="33878776" w14:textId="44B0643F" w:rsidR="00AE790E" w:rsidRPr="00E01239" w:rsidRDefault="007243AA"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z w:val="22"/>
          <w:szCs w:val="22"/>
        </w:rPr>
      </w:pPr>
      <w:r w:rsidRPr="00E01239">
        <w:rPr>
          <w:rFonts w:asciiTheme="minorHAnsi" w:hAnsiTheme="minorHAnsi" w:cstheme="minorHAnsi"/>
          <w:noProof/>
          <w:sz w:val="22"/>
          <w:szCs w:val="22"/>
        </w:rPr>
        <w:t>L</w:t>
      </w:r>
      <w:r w:rsidR="00AE790E" w:rsidRPr="00E01239">
        <w:rPr>
          <w:rFonts w:asciiTheme="minorHAnsi" w:hAnsiTheme="minorHAnsi" w:cstheme="minorHAnsi"/>
          <w:noProof/>
          <w:sz w:val="22"/>
          <w:szCs w:val="22"/>
        </w:rPr>
        <w:t>es arrangements institutionnels</w:t>
      </w:r>
      <w:r w:rsidR="001B5DF8" w:rsidRPr="00E01239">
        <w:rPr>
          <w:rFonts w:asciiTheme="minorHAnsi" w:hAnsiTheme="minorHAnsi" w:cstheme="minorHAnsi"/>
          <w:noProof/>
          <w:sz w:val="22"/>
          <w:szCs w:val="22"/>
        </w:rPr>
        <w:t xml:space="preserve"> y compris </w:t>
      </w:r>
      <w:r w:rsidR="00AE790E" w:rsidRPr="00E01239">
        <w:rPr>
          <w:rFonts w:asciiTheme="minorHAnsi" w:hAnsiTheme="minorHAnsi" w:cstheme="minorHAnsi"/>
          <w:spacing w:val="1"/>
          <w:sz w:val="22"/>
          <w:szCs w:val="22"/>
        </w:rPr>
        <w:t xml:space="preserve">l’évaluation et le renforcement </w:t>
      </w:r>
      <w:r w:rsidR="00AE790E" w:rsidRPr="00E01239">
        <w:rPr>
          <w:rFonts w:asciiTheme="minorHAnsi" w:hAnsiTheme="minorHAnsi" w:cstheme="minorHAnsi"/>
          <w:spacing w:val="2"/>
          <w:sz w:val="22"/>
          <w:szCs w:val="22"/>
        </w:rPr>
        <w:t>des capacités,</w:t>
      </w:r>
    </w:p>
    <w:p w14:paraId="33860C41" w14:textId="1DBC7567" w:rsidR="007243AA" w:rsidRPr="00E01239" w:rsidRDefault="00C06187" w:rsidP="004B1D15">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pacing w:val="1"/>
          <w:sz w:val="22"/>
          <w:szCs w:val="22"/>
        </w:rPr>
      </w:pPr>
      <w:proofErr w:type="gramStart"/>
      <w:r w:rsidRPr="00E01239">
        <w:rPr>
          <w:rFonts w:asciiTheme="minorHAnsi" w:hAnsiTheme="minorHAnsi" w:cstheme="minorHAnsi"/>
          <w:spacing w:val="1"/>
          <w:sz w:val="22"/>
          <w:szCs w:val="22"/>
        </w:rPr>
        <w:t>le</w:t>
      </w:r>
      <w:proofErr w:type="gramEnd"/>
      <w:r w:rsidRPr="00E01239">
        <w:rPr>
          <w:rFonts w:asciiTheme="minorHAnsi" w:hAnsiTheme="minorHAnsi" w:cstheme="minorHAnsi"/>
          <w:spacing w:val="1"/>
          <w:sz w:val="22"/>
          <w:szCs w:val="22"/>
        </w:rPr>
        <w:t xml:space="preserve"> plan </w:t>
      </w:r>
      <w:r w:rsidR="007243AA" w:rsidRPr="00E01239">
        <w:rPr>
          <w:rFonts w:asciiTheme="minorHAnsi" w:hAnsiTheme="minorHAnsi" w:cstheme="minorHAnsi"/>
          <w:spacing w:val="1"/>
          <w:sz w:val="22"/>
          <w:szCs w:val="22"/>
        </w:rPr>
        <w:t>pour la prévention, et la réponse à l’exploitation et les abus sexuels (EAS) et le harcèlement sexuel (HS)</w:t>
      </w:r>
    </w:p>
    <w:p w14:paraId="47695DAD" w14:textId="0DF3D02A" w:rsidR="001B5DF8" w:rsidRPr="00E01239" w:rsidRDefault="006151A2"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pacing w:val="1"/>
        </w:rPr>
      </w:pPr>
      <w:r w:rsidRPr="00E01239">
        <w:rPr>
          <w:rFonts w:asciiTheme="minorHAnsi" w:hAnsiTheme="minorHAnsi" w:cstheme="minorHAnsi"/>
          <w:spacing w:val="1"/>
          <w:sz w:val="22"/>
          <w:szCs w:val="22"/>
        </w:rPr>
        <w:t>Les</w:t>
      </w:r>
      <w:r w:rsidR="001B5DF8"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procédures</w:t>
      </w:r>
      <w:r w:rsidR="001B5DF8" w:rsidRPr="00E01239">
        <w:rPr>
          <w:rFonts w:asciiTheme="minorHAnsi" w:hAnsiTheme="minorHAnsi" w:cstheme="minorHAnsi"/>
          <w:spacing w:val="1"/>
          <w:sz w:val="22"/>
          <w:szCs w:val="22"/>
        </w:rPr>
        <w:t xml:space="preserve"> de mobilisation des parties prenantes, </w:t>
      </w:r>
    </w:p>
    <w:p w14:paraId="303B8CD7" w14:textId="4D55DEDB" w:rsidR="001B5DF8" w:rsidRPr="00E01239" w:rsidRDefault="006151A2"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pacing w:val="1"/>
        </w:rPr>
      </w:pPr>
      <w:r w:rsidRPr="00E01239">
        <w:rPr>
          <w:rFonts w:asciiTheme="minorHAnsi" w:hAnsiTheme="minorHAnsi" w:cstheme="minorHAnsi"/>
          <w:spacing w:val="1"/>
          <w:sz w:val="22"/>
          <w:szCs w:val="22"/>
        </w:rPr>
        <w:t>Les</w:t>
      </w:r>
      <w:r w:rsidR="001B5DF8"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procédures</w:t>
      </w:r>
      <w:r w:rsidR="001B5DF8" w:rsidRPr="00E01239">
        <w:rPr>
          <w:rFonts w:asciiTheme="minorHAnsi" w:hAnsiTheme="minorHAnsi" w:cstheme="minorHAnsi"/>
          <w:spacing w:val="1"/>
          <w:sz w:val="22"/>
          <w:szCs w:val="22"/>
        </w:rPr>
        <w:t xml:space="preserve"> de gestion de la main d’œuvre,</w:t>
      </w:r>
    </w:p>
    <w:p w14:paraId="7796E985" w14:textId="0329D36D" w:rsidR="001B5DF8" w:rsidRPr="00E01239" w:rsidRDefault="006151A2"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pacing w:val="1"/>
        </w:rPr>
      </w:pPr>
      <w:r w:rsidRPr="00E01239">
        <w:rPr>
          <w:rFonts w:asciiTheme="minorHAnsi" w:hAnsiTheme="minorHAnsi" w:cstheme="minorHAnsi"/>
          <w:spacing w:val="1"/>
          <w:sz w:val="22"/>
          <w:szCs w:val="22"/>
        </w:rPr>
        <w:t>Les</w:t>
      </w:r>
      <w:r w:rsidR="001B5DF8"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procédures</w:t>
      </w:r>
      <w:r w:rsidR="001B5DF8" w:rsidRPr="00E01239">
        <w:rPr>
          <w:rFonts w:asciiTheme="minorHAnsi" w:hAnsiTheme="minorHAnsi" w:cstheme="minorHAnsi"/>
          <w:spacing w:val="1"/>
          <w:sz w:val="22"/>
          <w:szCs w:val="22"/>
        </w:rPr>
        <w:t xml:space="preserve"> de gestion des plaintes,</w:t>
      </w:r>
    </w:p>
    <w:p w14:paraId="71648E9C" w14:textId="76A0B4DE" w:rsidR="00AE790E" w:rsidRPr="00E01239" w:rsidRDefault="00F22A4F" w:rsidP="00263B8A">
      <w:pPr>
        <w:pStyle w:val="Paragraphedeliste"/>
        <w:numPr>
          <w:ilvl w:val="0"/>
          <w:numId w:val="22"/>
        </w:numPr>
        <w:shd w:val="clear" w:color="auto" w:fill="FFFFFF"/>
        <w:spacing w:before="120" w:line="280" w:lineRule="exact"/>
        <w:ind w:left="714" w:right="11" w:hanging="357"/>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Et</w:t>
      </w:r>
      <w:r w:rsidR="001B5DF8" w:rsidRPr="00E01239">
        <w:rPr>
          <w:rFonts w:asciiTheme="minorHAnsi" w:hAnsiTheme="minorHAnsi" w:cstheme="minorHAnsi"/>
          <w:spacing w:val="1"/>
          <w:sz w:val="22"/>
          <w:szCs w:val="22"/>
        </w:rPr>
        <w:t xml:space="preserve"> le calendrier et les coûts de mise en œuvre du PCGES. </w:t>
      </w:r>
    </w:p>
    <w:p w14:paraId="39BFE138" w14:textId="0681D19C" w:rsidR="00AE790E" w:rsidRPr="00E01239" w:rsidRDefault="00AE790E" w:rsidP="00263B8A">
      <w:pPr>
        <w:shd w:val="clear" w:color="auto" w:fill="FFFFFF"/>
        <w:spacing w:before="120" w:line="280" w:lineRule="exact"/>
        <w:ind w:right="19"/>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La mise en place des outils (procédures spécifiques) devra permettre d’asseoir une gestion durable des risques environnementaux et sociaux afférents à toutes les activités </w:t>
      </w:r>
      <w:r w:rsidR="001B5DF8" w:rsidRPr="00E01239">
        <w:rPr>
          <w:rFonts w:asciiTheme="minorHAnsi" w:hAnsiTheme="minorHAnsi" w:cstheme="minorHAnsi"/>
          <w:spacing w:val="-1"/>
          <w:sz w:val="22"/>
          <w:szCs w:val="22"/>
        </w:rPr>
        <w:t>FSRP-SN.</w:t>
      </w:r>
    </w:p>
    <w:p w14:paraId="0F1CCA42" w14:textId="77777777" w:rsidR="00AE790E" w:rsidRPr="00E01239" w:rsidRDefault="00AE790E" w:rsidP="00263B8A">
      <w:pPr>
        <w:shd w:val="clear" w:color="auto" w:fill="FFFFFF"/>
        <w:spacing w:before="120" w:line="280" w:lineRule="exact"/>
        <w:ind w:right="19"/>
        <w:jc w:val="both"/>
        <w:rPr>
          <w:rFonts w:asciiTheme="minorHAnsi" w:hAnsiTheme="minorHAnsi" w:cstheme="minorHAnsi"/>
          <w:spacing w:val="-1"/>
          <w:sz w:val="22"/>
          <w:szCs w:val="22"/>
        </w:rPr>
      </w:pPr>
    </w:p>
    <w:p w14:paraId="2EBB4572" w14:textId="5E0A681C" w:rsidR="0076547A" w:rsidRPr="00E01239" w:rsidRDefault="0076547A" w:rsidP="0011733B">
      <w:pPr>
        <w:pStyle w:val="Titre2"/>
        <w:spacing w:before="120" w:line="280" w:lineRule="exact"/>
        <w:ind w:hanging="502"/>
        <w:rPr>
          <w:rFonts w:asciiTheme="minorHAnsi" w:hAnsiTheme="minorHAnsi" w:cstheme="minorHAnsi"/>
          <w:color w:val="auto"/>
        </w:rPr>
      </w:pPr>
      <w:bookmarkStart w:id="1005" w:name="_Toc70002951"/>
      <w:bookmarkStart w:id="1006" w:name="_Toc130714092"/>
      <w:bookmarkStart w:id="1007" w:name="_Toc142378206"/>
      <w:bookmarkStart w:id="1008" w:name="_Toc144654150"/>
      <w:bookmarkStart w:id="1009" w:name="_Toc26504998"/>
      <w:bookmarkStart w:id="1010" w:name="_Hlk38729590"/>
      <w:bookmarkStart w:id="1011" w:name="_Toc87530506"/>
      <w:bookmarkStart w:id="1012" w:name="_Toc88861466"/>
      <w:r w:rsidRPr="00E01239">
        <w:rPr>
          <w:rFonts w:asciiTheme="minorHAnsi" w:hAnsiTheme="minorHAnsi" w:cstheme="minorHAnsi"/>
          <w:color w:val="auto"/>
        </w:rPr>
        <w:t>PROCEDURE DE GESTION ENVIRONNEMENTALE ET SOCIALE DES SOUS-PROJETS</w:t>
      </w:r>
      <w:bookmarkEnd w:id="1005"/>
      <w:bookmarkEnd w:id="1006"/>
      <w:bookmarkEnd w:id="1007"/>
      <w:bookmarkEnd w:id="1008"/>
    </w:p>
    <w:p w14:paraId="227205A1" w14:textId="75822BDF" w:rsidR="001B5DF8" w:rsidRPr="00E01239" w:rsidRDefault="001B5DF8" w:rsidP="00263B8A">
      <w:pPr>
        <w:shd w:val="clear" w:color="auto" w:fill="FFFFFF"/>
        <w:spacing w:before="120" w:line="280" w:lineRule="exact"/>
        <w:ind w:right="19"/>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Cette section présente la procédure permettant de classer et d’évaluer les sous-projets qui seront identifiés dans le cadre du FSRP-SN en fonction de leurs impacts potentiels sur l’environnement biophysique et humain.</w:t>
      </w:r>
    </w:p>
    <w:p w14:paraId="282D6923" w14:textId="41114BDE" w:rsidR="001B5DF8" w:rsidRPr="00E01239" w:rsidRDefault="001B5DF8" w:rsidP="00263B8A">
      <w:pPr>
        <w:suppressAutoHyphens/>
        <w:autoSpaceDN w:val="0"/>
        <w:spacing w:before="120" w:line="280" w:lineRule="exact"/>
        <w:jc w:val="both"/>
        <w:textAlignment w:val="baseline"/>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Le processus </w:t>
      </w:r>
      <w:r w:rsidR="007103BE">
        <w:rPr>
          <w:rFonts w:asciiTheme="minorHAnsi" w:hAnsiTheme="minorHAnsi" w:cstheme="minorHAnsi"/>
          <w:spacing w:val="-1"/>
          <w:sz w:val="22"/>
          <w:szCs w:val="22"/>
        </w:rPr>
        <w:t>de</w:t>
      </w:r>
      <w:r w:rsidR="007103BE"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 xml:space="preserve">« </w:t>
      </w:r>
      <w:r w:rsidRPr="00E01239">
        <w:rPr>
          <w:rFonts w:asciiTheme="minorHAnsi" w:hAnsiTheme="minorHAnsi" w:cstheme="minorHAnsi"/>
          <w:b/>
          <w:spacing w:val="-1"/>
          <w:sz w:val="22"/>
          <w:szCs w:val="22"/>
        </w:rPr>
        <w:t>screening</w:t>
      </w:r>
      <w:r w:rsidRPr="00E01239">
        <w:rPr>
          <w:rFonts w:asciiTheme="minorHAnsi" w:hAnsiTheme="minorHAnsi" w:cstheme="minorHAnsi"/>
          <w:spacing w:val="-1"/>
          <w:sz w:val="22"/>
          <w:szCs w:val="22"/>
        </w:rPr>
        <w:t xml:space="preserve"> » décrit dans cette section reste applicable à tous les sous-projets des sous-composantes du FSRP-SN. Il complète la procédure nationale en matière d’évaluation environnementale et sociale, notamment en ce qui concerne le tri et la classification des sous-projets. Les catégories environnementales et sociales des activités ser</w:t>
      </w:r>
      <w:r w:rsidR="000C26E0">
        <w:rPr>
          <w:rFonts w:asciiTheme="minorHAnsi" w:hAnsiTheme="minorHAnsi" w:cstheme="minorHAnsi"/>
          <w:spacing w:val="-1"/>
          <w:sz w:val="22"/>
          <w:szCs w:val="22"/>
        </w:rPr>
        <w:t>ont</w:t>
      </w:r>
      <w:r w:rsidRPr="00E01239">
        <w:rPr>
          <w:rFonts w:asciiTheme="minorHAnsi" w:hAnsiTheme="minorHAnsi" w:cstheme="minorHAnsi"/>
          <w:spacing w:val="-1"/>
          <w:sz w:val="22"/>
          <w:szCs w:val="22"/>
        </w:rPr>
        <w:t xml:space="preserve"> déterminée</w:t>
      </w:r>
      <w:r w:rsidR="000C26E0">
        <w:rPr>
          <w:rFonts w:asciiTheme="minorHAnsi" w:hAnsiTheme="minorHAnsi" w:cstheme="minorHAnsi"/>
          <w:spacing w:val="-1"/>
          <w:sz w:val="22"/>
          <w:szCs w:val="22"/>
        </w:rPr>
        <w:t>s</w:t>
      </w:r>
      <w:r w:rsidRPr="00E01239">
        <w:rPr>
          <w:rFonts w:asciiTheme="minorHAnsi" w:hAnsiTheme="minorHAnsi" w:cstheme="minorHAnsi"/>
          <w:spacing w:val="-1"/>
          <w:sz w:val="22"/>
          <w:szCs w:val="22"/>
        </w:rPr>
        <w:t xml:space="preserve"> par le résultat du screening environnemental et social. </w:t>
      </w:r>
    </w:p>
    <w:p w14:paraId="7127395B" w14:textId="1D022CF2" w:rsidR="001B5DF8" w:rsidRPr="00E01239" w:rsidRDefault="00D116B6" w:rsidP="00263B8A">
      <w:pPr>
        <w:suppressAutoHyphens/>
        <w:autoSpaceDN w:val="0"/>
        <w:spacing w:before="120" w:line="280" w:lineRule="exact"/>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L’UCP</w:t>
      </w:r>
      <w:r w:rsidR="00527775" w:rsidRPr="00E01239">
        <w:rPr>
          <w:rFonts w:asciiTheme="minorHAnsi" w:hAnsiTheme="minorHAnsi" w:cstheme="minorHAnsi"/>
          <w:bCs/>
          <w:sz w:val="22"/>
          <w:szCs w:val="22"/>
        </w:rPr>
        <w:t xml:space="preserve"> </w:t>
      </w:r>
      <w:r w:rsidRPr="00E01239">
        <w:rPr>
          <w:rFonts w:asciiTheme="minorHAnsi" w:hAnsiTheme="minorHAnsi" w:cstheme="minorHAnsi"/>
          <w:bCs/>
          <w:sz w:val="22"/>
          <w:szCs w:val="22"/>
        </w:rPr>
        <w:t>FSRP-SN/MEPA et l’UCP</w:t>
      </w:r>
      <w:r w:rsidR="00527775" w:rsidRPr="00E01239">
        <w:rPr>
          <w:rFonts w:asciiTheme="minorHAnsi" w:hAnsiTheme="minorHAnsi" w:cstheme="minorHAnsi"/>
          <w:bCs/>
          <w:sz w:val="22"/>
          <w:szCs w:val="22"/>
        </w:rPr>
        <w:t xml:space="preserve"> </w:t>
      </w:r>
      <w:r w:rsidRPr="00E01239">
        <w:rPr>
          <w:rFonts w:asciiTheme="minorHAnsi" w:hAnsiTheme="minorHAnsi" w:cstheme="minorHAnsi"/>
          <w:bCs/>
          <w:sz w:val="22"/>
          <w:szCs w:val="22"/>
        </w:rPr>
        <w:t xml:space="preserve">FSRP-SN/MAERSA </w:t>
      </w:r>
      <w:r w:rsidR="001B5DF8" w:rsidRPr="00E01239">
        <w:rPr>
          <w:rFonts w:asciiTheme="minorHAnsi" w:hAnsiTheme="minorHAnsi" w:cstheme="minorHAnsi"/>
          <w:bCs/>
          <w:sz w:val="22"/>
          <w:szCs w:val="22"/>
        </w:rPr>
        <w:t>ser</w:t>
      </w:r>
      <w:r w:rsidRPr="00E01239">
        <w:rPr>
          <w:rFonts w:asciiTheme="minorHAnsi" w:hAnsiTheme="minorHAnsi" w:cstheme="minorHAnsi"/>
          <w:bCs/>
          <w:sz w:val="22"/>
          <w:szCs w:val="22"/>
        </w:rPr>
        <w:t>ont</w:t>
      </w:r>
      <w:r w:rsidR="001B5DF8" w:rsidRPr="00E01239">
        <w:rPr>
          <w:rFonts w:asciiTheme="minorHAnsi" w:hAnsiTheme="minorHAnsi" w:cstheme="minorHAnsi"/>
          <w:bCs/>
          <w:sz w:val="22"/>
          <w:szCs w:val="22"/>
        </w:rPr>
        <w:t xml:space="preserve"> chargée</w:t>
      </w:r>
      <w:r w:rsidRPr="00E01239">
        <w:rPr>
          <w:rFonts w:asciiTheme="minorHAnsi" w:hAnsiTheme="minorHAnsi" w:cstheme="minorHAnsi"/>
          <w:bCs/>
          <w:sz w:val="22"/>
          <w:szCs w:val="22"/>
        </w:rPr>
        <w:t>s</w:t>
      </w:r>
      <w:r w:rsidR="001B5DF8" w:rsidRPr="00E01239">
        <w:rPr>
          <w:rFonts w:asciiTheme="minorHAnsi" w:hAnsiTheme="minorHAnsi" w:cstheme="minorHAnsi"/>
          <w:bCs/>
          <w:sz w:val="22"/>
          <w:szCs w:val="22"/>
        </w:rPr>
        <w:t xml:space="preserve"> de la préparation des dossiers techniques des activités des sous projets (identification, procédure de recrutement des prestataires d’études, etc.). </w:t>
      </w:r>
    </w:p>
    <w:p w14:paraId="08D04981" w14:textId="77777777" w:rsidR="001B5DF8" w:rsidRPr="00E01239" w:rsidRDefault="001B5DF8" w:rsidP="00263B8A">
      <w:pPr>
        <w:suppressAutoHyphens/>
        <w:autoSpaceDN w:val="0"/>
        <w:spacing w:before="120" w:line="280" w:lineRule="exact"/>
        <w:jc w:val="both"/>
        <w:textAlignment w:val="baseline"/>
        <w:rPr>
          <w:rFonts w:asciiTheme="minorHAnsi" w:hAnsiTheme="minorHAnsi" w:cstheme="minorHAnsi"/>
          <w:bCs/>
          <w:sz w:val="22"/>
          <w:szCs w:val="22"/>
        </w:rPr>
      </w:pPr>
      <w:r w:rsidRPr="00E01239">
        <w:rPr>
          <w:rFonts w:asciiTheme="minorHAnsi" w:hAnsiTheme="minorHAnsi" w:cstheme="minorHAnsi"/>
          <w:bCs/>
          <w:sz w:val="22"/>
          <w:szCs w:val="22"/>
        </w:rPr>
        <w:t>Les étapes de la gestion environnementale et sociale des sous projets sont décrites ci-dessous :</w:t>
      </w:r>
    </w:p>
    <w:p w14:paraId="39E2A87B" w14:textId="4F98553F" w:rsidR="00923B6E" w:rsidRPr="00E01239" w:rsidRDefault="001B5DF8" w:rsidP="00027669">
      <w:pPr>
        <w:pStyle w:val="Paragraphedeliste"/>
        <w:numPr>
          <w:ilvl w:val="0"/>
          <w:numId w:val="126"/>
        </w:numPr>
        <w:spacing w:before="120" w:line="280" w:lineRule="exact"/>
        <w:contextualSpacing w:val="0"/>
        <w:jc w:val="both"/>
        <w:rPr>
          <w:rFonts w:asciiTheme="minorHAnsi" w:hAnsiTheme="minorHAnsi" w:cstheme="minorHAnsi"/>
          <w:b/>
          <w:bCs/>
          <w:sz w:val="22"/>
          <w:szCs w:val="22"/>
        </w:rPr>
      </w:pPr>
      <w:r w:rsidRPr="00E01239">
        <w:rPr>
          <w:rFonts w:asciiTheme="minorHAnsi" w:hAnsiTheme="minorHAnsi" w:cstheme="minorHAnsi"/>
          <w:b/>
          <w:bCs/>
          <w:sz w:val="22"/>
          <w:szCs w:val="22"/>
        </w:rPr>
        <w:t xml:space="preserve">Étape 1 : </w:t>
      </w:r>
      <w:r w:rsidR="00923B6E" w:rsidRPr="00E01239">
        <w:rPr>
          <w:rFonts w:asciiTheme="minorHAnsi" w:hAnsiTheme="minorHAnsi" w:cstheme="minorHAnsi"/>
          <w:b/>
          <w:bCs/>
          <w:sz w:val="22"/>
          <w:szCs w:val="22"/>
        </w:rPr>
        <w:t>Appliquer la liste d’exclusion des activités qui ne peuvent pas être financ</w:t>
      </w:r>
      <w:r w:rsidR="001B6BD3">
        <w:rPr>
          <w:rFonts w:asciiTheme="minorHAnsi" w:hAnsiTheme="minorHAnsi" w:cstheme="minorHAnsi"/>
          <w:b/>
          <w:bCs/>
          <w:sz w:val="22"/>
          <w:szCs w:val="22"/>
        </w:rPr>
        <w:t>é</w:t>
      </w:r>
      <w:r w:rsidR="00923B6E" w:rsidRPr="00E01239">
        <w:rPr>
          <w:rFonts w:asciiTheme="minorHAnsi" w:hAnsiTheme="minorHAnsi" w:cstheme="minorHAnsi"/>
          <w:b/>
          <w:bCs/>
          <w:sz w:val="22"/>
          <w:szCs w:val="22"/>
        </w:rPr>
        <w:t>es par le projet</w:t>
      </w:r>
    </w:p>
    <w:p w14:paraId="0488A7F0" w14:textId="77777777" w:rsidR="004D6E7F" w:rsidRPr="00E01239" w:rsidRDefault="004D6E7F" w:rsidP="004B1D15">
      <w:pPr>
        <w:pStyle w:val="Paragraphedeliste"/>
        <w:spacing w:before="120" w:line="280" w:lineRule="exact"/>
        <w:contextualSpacing w:val="0"/>
        <w:jc w:val="both"/>
        <w:rPr>
          <w:rFonts w:asciiTheme="minorHAnsi" w:hAnsiTheme="minorHAnsi" w:cstheme="minorHAnsi"/>
          <w:b/>
          <w:bCs/>
          <w:sz w:val="22"/>
          <w:szCs w:val="22"/>
        </w:rPr>
      </w:pPr>
    </w:p>
    <w:p w14:paraId="5E90E7D2" w14:textId="0E47924E" w:rsidR="00436B7C" w:rsidRPr="00E01239" w:rsidRDefault="00436B7C" w:rsidP="00436B7C">
      <w:pPr>
        <w:rPr>
          <w:rFonts w:asciiTheme="minorHAnsi" w:hAnsiTheme="minorHAnsi" w:cstheme="minorHAnsi"/>
          <w:b/>
          <w:bCs/>
          <w:color w:val="C00000"/>
          <w:sz w:val="20"/>
          <w:szCs w:val="20"/>
        </w:rPr>
      </w:pPr>
      <w:r w:rsidRPr="00E01239">
        <w:rPr>
          <w:rFonts w:asciiTheme="minorHAnsi" w:hAnsiTheme="minorHAnsi" w:cstheme="minorHAnsi"/>
          <w:b/>
          <w:bCs/>
          <w:sz w:val="22"/>
          <w:szCs w:val="22"/>
        </w:rPr>
        <w:t xml:space="preserve">     </w:t>
      </w:r>
      <w:r w:rsidRPr="00E01239">
        <w:rPr>
          <w:rFonts w:asciiTheme="minorHAnsi" w:hAnsiTheme="minorHAnsi" w:cstheme="minorHAnsi"/>
          <w:b/>
          <w:bCs/>
          <w:sz w:val="20"/>
          <w:szCs w:val="20"/>
        </w:rPr>
        <w:t>Tableau </w:t>
      </w:r>
      <w:r w:rsidR="00B203AB" w:rsidRPr="00E01239">
        <w:rPr>
          <w:rFonts w:asciiTheme="minorHAnsi" w:hAnsiTheme="minorHAnsi" w:cstheme="minorHAnsi"/>
          <w:b/>
          <w:bCs/>
          <w:sz w:val="20"/>
          <w:szCs w:val="20"/>
        </w:rPr>
        <w:t>18</w:t>
      </w:r>
      <w:r w:rsidRPr="00E01239">
        <w:rPr>
          <w:rFonts w:asciiTheme="minorHAnsi" w:hAnsiTheme="minorHAnsi" w:cstheme="minorHAnsi"/>
          <w:b/>
          <w:bCs/>
          <w:sz w:val="20"/>
          <w:szCs w:val="20"/>
        </w:rPr>
        <w:t xml:space="preserve">. Liste d’exclusion </w:t>
      </w:r>
      <w:r w:rsidRPr="00E01239">
        <w:rPr>
          <w:rFonts w:asciiTheme="minorHAnsi" w:hAnsiTheme="minorHAnsi" w:cstheme="minorHAnsi"/>
          <w:b/>
          <w:bCs/>
          <w:color w:val="C00000"/>
          <w:sz w:val="20"/>
          <w:szCs w:val="20"/>
        </w:rPr>
        <w:t>— À compléter en fonction du projet.</w:t>
      </w:r>
    </w:p>
    <w:tbl>
      <w:tblPr>
        <w:tblStyle w:val="Grilledutableau"/>
        <w:tblW w:w="9214" w:type="dxa"/>
        <w:tblInd w:w="137" w:type="dxa"/>
        <w:tblLayout w:type="fixed"/>
        <w:tblLook w:val="04A0" w:firstRow="1" w:lastRow="0" w:firstColumn="1" w:lastColumn="0" w:noHBand="0" w:noVBand="1"/>
      </w:tblPr>
      <w:tblGrid>
        <w:gridCol w:w="567"/>
        <w:gridCol w:w="8647"/>
      </w:tblGrid>
      <w:tr w:rsidR="00E85612" w:rsidRPr="00E01239" w14:paraId="06142BF6" w14:textId="77777777" w:rsidTr="003A04BD">
        <w:tc>
          <w:tcPr>
            <w:tcW w:w="567" w:type="dxa"/>
          </w:tcPr>
          <w:p w14:paraId="40E917B1"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w:t>
            </w:r>
          </w:p>
        </w:tc>
        <w:tc>
          <w:tcPr>
            <w:tcW w:w="8647" w:type="dxa"/>
          </w:tcPr>
          <w:p w14:paraId="493EB78B"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 xml:space="preserve">Tout type d'activités classées à haut risque </w:t>
            </w:r>
          </w:p>
        </w:tc>
      </w:tr>
      <w:tr w:rsidR="00E85612" w:rsidRPr="00E01239" w14:paraId="422E3160" w14:textId="77777777" w:rsidTr="003A04BD">
        <w:tc>
          <w:tcPr>
            <w:tcW w:w="567" w:type="dxa"/>
          </w:tcPr>
          <w:p w14:paraId="4EE73563"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lastRenderedPageBreak/>
              <w:t>2</w:t>
            </w:r>
          </w:p>
        </w:tc>
        <w:tc>
          <w:tcPr>
            <w:tcW w:w="8647" w:type="dxa"/>
          </w:tcPr>
          <w:p w14:paraId="16F7F993"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Activités qui entraîneraient la conversion ou la dégradation de zones forestières critiques, d'habitats naturels critiques et le défrichement de forêts ou d'écosystèmes forestiers</w:t>
            </w:r>
          </w:p>
        </w:tc>
      </w:tr>
      <w:tr w:rsidR="00E85612" w:rsidRPr="00E01239" w14:paraId="7AE5370C" w14:textId="77777777" w:rsidTr="003A04BD">
        <w:tc>
          <w:tcPr>
            <w:tcW w:w="567" w:type="dxa"/>
          </w:tcPr>
          <w:p w14:paraId="012919D4"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3</w:t>
            </w:r>
          </w:p>
        </w:tc>
        <w:tc>
          <w:tcPr>
            <w:tcW w:w="8647" w:type="dxa"/>
          </w:tcPr>
          <w:p w14:paraId="20D08759"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Activités affectant les zones protégées (ou leurs zones tampons), autres que la réhabilitation des zones endommagées par des catastrophes naturelles antérieures</w:t>
            </w:r>
          </w:p>
        </w:tc>
      </w:tr>
      <w:tr w:rsidR="00E85612" w:rsidRPr="00E01239" w14:paraId="11FD5655" w14:textId="77777777" w:rsidTr="003A04BD">
        <w:tc>
          <w:tcPr>
            <w:tcW w:w="567" w:type="dxa"/>
          </w:tcPr>
          <w:p w14:paraId="467DCB45"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4</w:t>
            </w:r>
          </w:p>
        </w:tc>
        <w:tc>
          <w:tcPr>
            <w:tcW w:w="8647" w:type="dxa"/>
          </w:tcPr>
          <w:p w14:paraId="62EBFAB1"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Activité qui causera ou pourrait causer des dommages permanents et/ou importants à des biens culturels non reproductibles, des reliques culturelles irremplaçables, des bâtiments historiques et/ou des sites archéologiques.</w:t>
            </w:r>
          </w:p>
        </w:tc>
      </w:tr>
      <w:tr w:rsidR="00E85612" w:rsidRPr="00E01239" w14:paraId="3BF2A83D" w14:textId="77777777" w:rsidTr="003A04BD">
        <w:tc>
          <w:tcPr>
            <w:tcW w:w="567" w:type="dxa"/>
          </w:tcPr>
          <w:p w14:paraId="3EE5C249"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5</w:t>
            </w:r>
          </w:p>
        </w:tc>
        <w:tc>
          <w:tcPr>
            <w:tcW w:w="8647" w:type="dxa"/>
          </w:tcPr>
          <w:p w14:paraId="0F5B4855"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Remise en état des terres (c.-à-d. drainage de zones humides ou remplissage de plans d'eau pour créer des terres)</w:t>
            </w:r>
          </w:p>
        </w:tc>
      </w:tr>
      <w:tr w:rsidR="00E85612" w:rsidRPr="00E01239" w14:paraId="1B24B85E" w14:textId="77777777" w:rsidTr="003A04BD">
        <w:trPr>
          <w:trHeight w:val="422"/>
        </w:trPr>
        <w:tc>
          <w:tcPr>
            <w:tcW w:w="567" w:type="dxa"/>
          </w:tcPr>
          <w:p w14:paraId="672D1150"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6</w:t>
            </w:r>
          </w:p>
        </w:tc>
        <w:tc>
          <w:tcPr>
            <w:tcW w:w="8647" w:type="dxa"/>
          </w:tcPr>
          <w:p w14:paraId="46FE0C25"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Formation fluviale (c'est-à-dire réalignement, contraction ou approfondissement d'un chenal fluvial existant, ou excavation d'un nouveau chenal fluvial)</w:t>
            </w:r>
          </w:p>
        </w:tc>
      </w:tr>
      <w:tr w:rsidR="00E85612" w:rsidRPr="00E01239" w14:paraId="3AC3F9E1" w14:textId="77777777" w:rsidTr="003A04BD">
        <w:tc>
          <w:tcPr>
            <w:tcW w:w="567" w:type="dxa"/>
          </w:tcPr>
          <w:p w14:paraId="6AC1A837"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7</w:t>
            </w:r>
          </w:p>
        </w:tc>
        <w:tc>
          <w:tcPr>
            <w:tcW w:w="8647" w:type="dxa"/>
          </w:tcPr>
          <w:p w14:paraId="225F3D6B"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Peut entraîner une augmentation de la consommation d’eau dans les zones frontalières et affecter l’accès à l’eau des utilisateurs d’eau en aval</w:t>
            </w:r>
          </w:p>
        </w:tc>
      </w:tr>
      <w:tr w:rsidR="00E85612" w:rsidRPr="00E01239" w14:paraId="433715E6" w14:textId="77777777" w:rsidTr="003A04BD">
        <w:tc>
          <w:tcPr>
            <w:tcW w:w="567" w:type="dxa"/>
          </w:tcPr>
          <w:p w14:paraId="0B55F592"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8</w:t>
            </w:r>
          </w:p>
        </w:tc>
        <w:tc>
          <w:tcPr>
            <w:tcW w:w="8647" w:type="dxa"/>
          </w:tcPr>
          <w:p w14:paraId="7BBAAACB"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Activités qui entraîneront une expropriation involontaire de terres, la relocalisation des ménages, la perte d’actifs ou l’accès à des actifs entraînant une perte de sources de revenus ou d’autres moyens de subsistance, et une interférence avec l’utilisation des terres et les moyens de subsistance par les ménages.</w:t>
            </w:r>
          </w:p>
        </w:tc>
      </w:tr>
      <w:tr w:rsidR="00E85612" w:rsidRPr="00E01239" w14:paraId="3F4C3C0A" w14:textId="77777777" w:rsidTr="003A04BD">
        <w:tc>
          <w:tcPr>
            <w:tcW w:w="567" w:type="dxa"/>
          </w:tcPr>
          <w:p w14:paraId="334FDE9D"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9</w:t>
            </w:r>
          </w:p>
        </w:tc>
        <w:tc>
          <w:tcPr>
            <w:tcW w:w="8647" w:type="dxa"/>
          </w:tcPr>
          <w:p w14:paraId="1A1C0082"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Travaux de construction, ou utilisation de biens et d'équipements sur des terres abandonnées en raison de tensions/conflits sociaux, ou la propriété de la terre est contestée ou ne peut être vérifiée.</w:t>
            </w:r>
          </w:p>
        </w:tc>
      </w:tr>
      <w:tr w:rsidR="00E85612" w:rsidRPr="00E01239" w14:paraId="50928935" w14:textId="77777777" w:rsidTr="003A04BD">
        <w:tc>
          <w:tcPr>
            <w:tcW w:w="567" w:type="dxa"/>
          </w:tcPr>
          <w:p w14:paraId="6AA82A0A"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10</w:t>
            </w:r>
          </w:p>
        </w:tc>
        <w:tc>
          <w:tcPr>
            <w:tcW w:w="8647" w:type="dxa"/>
          </w:tcPr>
          <w:p w14:paraId="5061BCBD" w14:textId="77777777" w:rsidR="00E85612" w:rsidRPr="00E01239" w:rsidRDefault="00E85612" w:rsidP="003A04BD">
            <w:pPr>
              <w:spacing w:after="160" w:line="259" w:lineRule="auto"/>
              <w:rPr>
                <w:rFonts w:asciiTheme="minorHAnsi" w:hAnsiTheme="minorHAnsi" w:cstheme="minorHAnsi"/>
              </w:rPr>
            </w:pPr>
            <w:r w:rsidRPr="00E01239">
              <w:rPr>
                <w:rFonts w:asciiTheme="minorHAnsi" w:hAnsiTheme="minorHAnsi" w:cstheme="minorHAnsi"/>
              </w:rPr>
              <w:t>Travaux de construction ou utilisation de biens et d'équipements impliquant du travail forcé, du travail des enfants ou d'autres formes de travail préjudiciables ou exploitantes</w:t>
            </w:r>
          </w:p>
        </w:tc>
      </w:tr>
      <w:tr w:rsidR="00E85612" w:rsidRPr="00E01239" w14:paraId="08277352" w14:textId="77777777" w:rsidTr="003A04BD">
        <w:tc>
          <w:tcPr>
            <w:tcW w:w="567" w:type="dxa"/>
          </w:tcPr>
          <w:p w14:paraId="20A69B56"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11</w:t>
            </w:r>
          </w:p>
        </w:tc>
        <w:tc>
          <w:tcPr>
            <w:tcW w:w="8647" w:type="dxa"/>
          </w:tcPr>
          <w:p w14:paraId="32A1E6FE" w14:textId="77777777" w:rsidR="00E85612" w:rsidRPr="00E01239" w:rsidRDefault="00E85612" w:rsidP="003A04BD">
            <w:pPr>
              <w:rPr>
                <w:rFonts w:asciiTheme="minorHAnsi" w:hAnsiTheme="minorHAnsi" w:cstheme="minorHAnsi"/>
              </w:rPr>
            </w:pPr>
            <w:r w:rsidRPr="00E01239">
              <w:rPr>
                <w:rFonts w:asciiTheme="minorHAnsi" w:hAnsiTheme="minorHAnsi" w:cstheme="minorHAnsi"/>
              </w:rPr>
              <w:t>Acquisition, utilisation ou stockage de pesticides ou de matières dangereuses, autres que les déchets dangereux et les déchets contenant de l'amiante générés à la suite d'une urgence</w:t>
            </w:r>
          </w:p>
        </w:tc>
      </w:tr>
      <w:tr w:rsidR="00E85612" w:rsidRPr="00E01239" w14:paraId="5D9C2F43" w14:textId="77777777" w:rsidTr="003A04BD">
        <w:tc>
          <w:tcPr>
            <w:tcW w:w="567" w:type="dxa"/>
          </w:tcPr>
          <w:p w14:paraId="6C7FCA7B"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12</w:t>
            </w:r>
          </w:p>
        </w:tc>
        <w:tc>
          <w:tcPr>
            <w:tcW w:w="8647" w:type="dxa"/>
          </w:tcPr>
          <w:p w14:paraId="7D87CBA3" w14:textId="77777777" w:rsidR="00E85612" w:rsidRPr="00E01239" w:rsidRDefault="00E85612"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Construction de barrages, murs de soutènement ou autres structures similaires qui modifieront les berges des rivières ou de la mer et/ou perturberont les sites de reproduction d'espèces aquatiques ;</w:t>
            </w:r>
          </w:p>
        </w:tc>
      </w:tr>
      <w:tr w:rsidR="00E85612" w:rsidRPr="00E01239" w14:paraId="38B90349" w14:textId="77777777" w:rsidTr="003A04BD">
        <w:tc>
          <w:tcPr>
            <w:tcW w:w="567" w:type="dxa"/>
          </w:tcPr>
          <w:p w14:paraId="4BCE11B4"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13</w:t>
            </w:r>
          </w:p>
        </w:tc>
        <w:tc>
          <w:tcPr>
            <w:tcW w:w="8647" w:type="dxa"/>
          </w:tcPr>
          <w:p w14:paraId="3B8A039A" w14:textId="77777777" w:rsidR="00E85612" w:rsidRPr="00E01239" w:rsidRDefault="00E85612"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lang w:val="en-US"/>
              </w:rPr>
            </w:pPr>
            <w:r w:rsidRPr="00E01239">
              <w:rPr>
                <w:rFonts w:asciiTheme="minorHAnsi" w:hAnsiTheme="minorHAnsi" w:cstheme="minorHAnsi"/>
                <w:lang w:val="en-US"/>
              </w:rPr>
              <w:t xml:space="preserve">Exploitation </w:t>
            </w:r>
            <w:proofErr w:type="spellStart"/>
            <w:r w:rsidRPr="00E01239">
              <w:rPr>
                <w:rFonts w:asciiTheme="minorHAnsi" w:hAnsiTheme="minorHAnsi" w:cstheme="minorHAnsi"/>
                <w:lang w:val="en-US"/>
              </w:rPr>
              <w:t>minière</w:t>
            </w:r>
            <w:proofErr w:type="spellEnd"/>
            <w:r w:rsidRPr="00E01239">
              <w:rPr>
                <w:rFonts w:asciiTheme="minorHAnsi" w:hAnsiTheme="minorHAnsi" w:cstheme="minorHAnsi"/>
                <w:lang w:val="en-US"/>
              </w:rPr>
              <w:t xml:space="preserve"> </w:t>
            </w:r>
          </w:p>
        </w:tc>
      </w:tr>
      <w:tr w:rsidR="00E85612" w:rsidRPr="00E01239" w14:paraId="193C1779" w14:textId="77777777" w:rsidTr="003A04BD">
        <w:tc>
          <w:tcPr>
            <w:tcW w:w="567" w:type="dxa"/>
          </w:tcPr>
          <w:p w14:paraId="2CBFE748"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14</w:t>
            </w:r>
          </w:p>
        </w:tc>
        <w:tc>
          <w:tcPr>
            <w:tcW w:w="8647" w:type="dxa"/>
          </w:tcPr>
          <w:p w14:paraId="59186DE0" w14:textId="77777777" w:rsidR="00E85612" w:rsidRPr="00E01239" w:rsidRDefault="00E85612"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Activités sur la terre qui contestent les droits de propriété, de possession ou d'usage</w:t>
            </w:r>
          </w:p>
        </w:tc>
      </w:tr>
      <w:tr w:rsidR="00E85612" w:rsidRPr="00E01239" w14:paraId="1495CCCA" w14:textId="77777777" w:rsidTr="003A04BD">
        <w:tc>
          <w:tcPr>
            <w:tcW w:w="567" w:type="dxa"/>
          </w:tcPr>
          <w:p w14:paraId="315D426B"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15</w:t>
            </w:r>
          </w:p>
        </w:tc>
        <w:tc>
          <w:tcPr>
            <w:tcW w:w="8647" w:type="dxa"/>
          </w:tcPr>
          <w:p w14:paraId="61C9C4F5" w14:textId="77777777" w:rsidR="00E85612" w:rsidRPr="00E01239" w:rsidRDefault="00E85612"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Travaux de construction ou utilisation de biens et d'équipements à des fins militaires ou paramilitaires</w:t>
            </w:r>
          </w:p>
        </w:tc>
      </w:tr>
      <w:tr w:rsidR="00E85612" w:rsidRPr="00E01239" w14:paraId="7A84094F" w14:textId="77777777" w:rsidTr="003A04BD">
        <w:tc>
          <w:tcPr>
            <w:tcW w:w="567" w:type="dxa"/>
          </w:tcPr>
          <w:p w14:paraId="51DE166E"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16</w:t>
            </w:r>
          </w:p>
        </w:tc>
        <w:tc>
          <w:tcPr>
            <w:tcW w:w="8647" w:type="dxa"/>
          </w:tcPr>
          <w:p w14:paraId="500F6AE1" w14:textId="77777777" w:rsidR="00E85612" w:rsidRPr="00E01239" w:rsidRDefault="00E85612"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Travaux de construction ou utilisation de biens et d’équipements en réponse à un conflit dans toute zone où se déroulent des opérations militaires ou de groupes armés actifs</w:t>
            </w:r>
          </w:p>
        </w:tc>
      </w:tr>
      <w:tr w:rsidR="00E85612" w:rsidRPr="00E01239" w14:paraId="39353195" w14:textId="77777777" w:rsidTr="003A04BD">
        <w:tc>
          <w:tcPr>
            <w:tcW w:w="567" w:type="dxa"/>
          </w:tcPr>
          <w:p w14:paraId="36661828"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17</w:t>
            </w:r>
          </w:p>
        </w:tc>
        <w:tc>
          <w:tcPr>
            <w:tcW w:w="8647" w:type="dxa"/>
          </w:tcPr>
          <w:p w14:paraId="05B98523" w14:textId="77777777" w:rsidR="00E85612" w:rsidRPr="00E01239" w:rsidRDefault="00E85612"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Activités liées au retour des réfugiés et des populations déplacées à l'intérieur du pays</w:t>
            </w:r>
          </w:p>
        </w:tc>
      </w:tr>
      <w:tr w:rsidR="00E85612" w:rsidRPr="00E01239" w14:paraId="370B33E8" w14:textId="77777777" w:rsidTr="003A04BD">
        <w:tc>
          <w:tcPr>
            <w:tcW w:w="567" w:type="dxa"/>
          </w:tcPr>
          <w:p w14:paraId="48BBFEDD"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18</w:t>
            </w:r>
          </w:p>
        </w:tc>
        <w:tc>
          <w:tcPr>
            <w:tcW w:w="8647" w:type="dxa"/>
          </w:tcPr>
          <w:p w14:paraId="6F2D470A" w14:textId="77777777" w:rsidR="00E85612" w:rsidRPr="00E01239" w:rsidRDefault="00E85612"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Activités qui, lorsqu'elles sont réalisées, affecteraient ou impliqueraient l'utilisation de l'eau des rivières ou d'autres plans d'eau (ou de leurs affluents) qui traversent ou sont bordés par des pays autres que l'Emprunteur/Bénéficiaire, de telle manière de manière à modifier de quelque manière que ce soit la qualité ou la quantité de l'eau circulant vers ou limitrophes desdits pays</w:t>
            </w:r>
          </w:p>
        </w:tc>
      </w:tr>
      <w:tr w:rsidR="00E85612" w:rsidRPr="00E01239" w14:paraId="6F4D6D9F" w14:textId="77777777" w:rsidTr="003A04BD">
        <w:tc>
          <w:tcPr>
            <w:tcW w:w="567" w:type="dxa"/>
          </w:tcPr>
          <w:p w14:paraId="43D32D10"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t>19</w:t>
            </w:r>
          </w:p>
        </w:tc>
        <w:tc>
          <w:tcPr>
            <w:tcW w:w="8647" w:type="dxa"/>
          </w:tcPr>
          <w:p w14:paraId="17749A3A" w14:textId="77777777" w:rsidR="00E85612" w:rsidRPr="00E01239" w:rsidRDefault="00E85612"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Utilisation de matériaux de construction à base d'amiante pour les travaux de reconstruction</w:t>
            </w:r>
          </w:p>
        </w:tc>
      </w:tr>
      <w:tr w:rsidR="00E85612" w:rsidRPr="00E01239" w14:paraId="4B878A87" w14:textId="77777777" w:rsidTr="003A04BD">
        <w:trPr>
          <w:trHeight w:val="67"/>
        </w:trPr>
        <w:tc>
          <w:tcPr>
            <w:tcW w:w="567" w:type="dxa"/>
          </w:tcPr>
          <w:p w14:paraId="087362B4" w14:textId="77777777" w:rsidR="00E85612" w:rsidRPr="00E01239" w:rsidRDefault="00E85612" w:rsidP="003A04BD">
            <w:pPr>
              <w:rPr>
                <w:rFonts w:asciiTheme="minorHAnsi" w:hAnsiTheme="minorHAnsi" w:cstheme="minorHAnsi"/>
                <w:lang w:val="en-US"/>
              </w:rPr>
            </w:pPr>
            <w:r w:rsidRPr="00E01239">
              <w:rPr>
                <w:rFonts w:asciiTheme="minorHAnsi" w:hAnsiTheme="minorHAnsi" w:cstheme="minorHAnsi"/>
                <w:lang w:val="en-US"/>
              </w:rPr>
              <w:lastRenderedPageBreak/>
              <w:t>20</w:t>
            </w:r>
          </w:p>
        </w:tc>
        <w:tc>
          <w:tcPr>
            <w:tcW w:w="8647" w:type="dxa"/>
          </w:tcPr>
          <w:p w14:paraId="4D9E4345" w14:textId="77777777" w:rsidR="00E85612" w:rsidRPr="00E01239" w:rsidRDefault="00E85612"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Activités menées au-delà des frontières non démarquées ou dans des zones contestées</w:t>
            </w:r>
          </w:p>
        </w:tc>
      </w:tr>
    </w:tbl>
    <w:p w14:paraId="0A000523" w14:textId="3EACF8DF" w:rsidR="00E85612" w:rsidRPr="00E01239" w:rsidRDefault="00E85612" w:rsidP="00436B7C">
      <w:pPr>
        <w:rPr>
          <w:rFonts w:asciiTheme="minorHAnsi" w:hAnsiTheme="minorHAnsi" w:cstheme="minorHAnsi"/>
          <w:b/>
          <w:bCs/>
          <w:color w:val="C00000"/>
          <w:sz w:val="20"/>
          <w:szCs w:val="20"/>
        </w:rPr>
      </w:pPr>
    </w:p>
    <w:p w14:paraId="39A08DA4" w14:textId="6DFCE2A8" w:rsidR="001B5DF8" w:rsidRPr="00E01239" w:rsidRDefault="11762E88" w:rsidP="00027669">
      <w:pPr>
        <w:pStyle w:val="Paragraphedeliste"/>
        <w:numPr>
          <w:ilvl w:val="0"/>
          <w:numId w:val="126"/>
        </w:numPr>
        <w:spacing w:before="120" w:line="280" w:lineRule="exact"/>
        <w:contextualSpacing w:val="0"/>
        <w:jc w:val="both"/>
        <w:rPr>
          <w:rFonts w:asciiTheme="minorHAnsi" w:hAnsiTheme="minorHAnsi" w:cstheme="minorHAnsi"/>
          <w:b/>
          <w:bCs/>
          <w:sz w:val="22"/>
          <w:szCs w:val="22"/>
        </w:rPr>
      </w:pPr>
      <w:r w:rsidRPr="00E01239">
        <w:rPr>
          <w:rFonts w:asciiTheme="minorHAnsi" w:hAnsiTheme="minorHAnsi" w:cstheme="minorBidi"/>
          <w:b/>
          <w:bCs/>
          <w:sz w:val="22"/>
          <w:szCs w:val="22"/>
        </w:rPr>
        <w:t>Etape 2 :</w:t>
      </w:r>
      <w:r w:rsidR="00816E15">
        <w:rPr>
          <w:rFonts w:asciiTheme="minorHAnsi" w:hAnsiTheme="minorHAnsi" w:cstheme="minorBidi"/>
          <w:b/>
          <w:bCs/>
          <w:sz w:val="22"/>
          <w:szCs w:val="22"/>
        </w:rPr>
        <w:t xml:space="preserve"> </w:t>
      </w:r>
      <w:r w:rsidR="3C23D68D" w:rsidRPr="00E01239">
        <w:rPr>
          <w:rFonts w:asciiTheme="minorHAnsi" w:hAnsiTheme="minorHAnsi" w:cstheme="minorBidi"/>
          <w:b/>
          <w:bCs/>
          <w:sz w:val="22"/>
          <w:szCs w:val="22"/>
        </w:rPr>
        <w:t>Classification ou Screening environnemental et social des sous-projets</w:t>
      </w:r>
    </w:p>
    <w:p w14:paraId="5F6693C2" w14:textId="64236CCE" w:rsidR="001B5DF8" w:rsidRPr="00E01239" w:rsidRDefault="001B5DF8" w:rsidP="00263B8A">
      <w:pPr>
        <w:shd w:val="clear" w:color="auto" w:fill="FFFFFF"/>
        <w:spacing w:before="120" w:line="280" w:lineRule="exact"/>
        <w:ind w:right="19"/>
        <w:jc w:val="both"/>
        <w:rPr>
          <w:rFonts w:asciiTheme="minorHAnsi" w:hAnsiTheme="minorHAnsi" w:cstheme="minorHAnsi"/>
          <w:sz w:val="22"/>
          <w:szCs w:val="22"/>
        </w:rPr>
      </w:pPr>
      <w:r w:rsidRPr="00E01239">
        <w:rPr>
          <w:rFonts w:asciiTheme="minorHAnsi" w:hAnsiTheme="minorHAnsi" w:cstheme="minorHAnsi"/>
          <w:sz w:val="22"/>
          <w:szCs w:val="22"/>
        </w:rPr>
        <w:t>Après avoir identifié et défini un sous projet, l’UCP</w:t>
      </w:r>
      <w:r w:rsidR="00D116B6" w:rsidRPr="00E01239">
        <w:rPr>
          <w:rFonts w:asciiTheme="minorHAnsi" w:hAnsiTheme="minorHAnsi" w:cstheme="minorHAnsi"/>
          <w:sz w:val="22"/>
          <w:szCs w:val="22"/>
        </w:rPr>
        <w:t xml:space="preserve"> concernée</w:t>
      </w:r>
      <w:r w:rsidRPr="00E01239">
        <w:rPr>
          <w:rFonts w:asciiTheme="minorHAnsi" w:hAnsiTheme="minorHAnsi" w:cstheme="minorHAnsi"/>
          <w:sz w:val="22"/>
          <w:szCs w:val="22"/>
        </w:rPr>
        <w:t xml:space="preserve"> préparera un mémoire descriptif et justificatif du projet. Sur cette base, elle effectuera la classification environnementale et sociale de l’activité à réaliser. La première étape du processus de classification porte sur le classement de l’activité en question, pour pouvoir apprécier ses effets environnementaux et sociaux en tenant compte de la sensibilité du milieu d’accueil. Pour cela, il a été conçu un formulaire initial de sélection (Annexe </w:t>
      </w:r>
      <w:r w:rsidR="00D342E9" w:rsidRPr="00E01239">
        <w:rPr>
          <w:rFonts w:asciiTheme="minorHAnsi" w:hAnsiTheme="minorHAnsi" w:cstheme="minorHAnsi"/>
          <w:sz w:val="22"/>
          <w:szCs w:val="22"/>
        </w:rPr>
        <w:t>3</w:t>
      </w:r>
      <w:r w:rsidRPr="00E01239">
        <w:rPr>
          <w:rFonts w:asciiTheme="minorHAnsi" w:hAnsiTheme="minorHAnsi" w:cstheme="minorHAnsi"/>
          <w:sz w:val="22"/>
          <w:szCs w:val="22"/>
        </w:rPr>
        <w:t>) du présent CGES qui permettra de définir les niveaux de risques et d’impacts environnementaux et sociaux de chaque sous projet.</w:t>
      </w:r>
    </w:p>
    <w:p w14:paraId="7D3F68BE" w14:textId="77777777" w:rsidR="001B5DF8" w:rsidRPr="00E01239" w:rsidRDefault="001B5DF8" w:rsidP="00263B8A">
      <w:pPr>
        <w:shd w:val="clear" w:color="auto" w:fill="FFFFFF"/>
        <w:spacing w:before="120" w:line="280" w:lineRule="exact"/>
        <w:ind w:right="19"/>
        <w:jc w:val="both"/>
        <w:rPr>
          <w:rFonts w:asciiTheme="minorHAnsi" w:hAnsiTheme="minorHAnsi" w:cstheme="minorHAnsi"/>
          <w:sz w:val="22"/>
          <w:szCs w:val="22"/>
        </w:rPr>
      </w:pPr>
      <w:r w:rsidRPr="00E01239">
        <w:rPr>
          <w:rFonts w:asciiTheme="minorHAnsi" w:hAnsiTheme="minorHAnsi" w:cstheme="minorHAnsi"/>
          <w:sz w:val="22"/>
          <w:szCs w:val="22"/>
        </w:rPr>
        <w:t>Pour être en conformité avec les exigences du Cadre Environnemental et Social de la Banque mondiale, il a été suggéré que les activités du Projet susceptibles d'avoir des impacts directs ou indirects sur l’environnement soient classées en quatre catégories :</w:t>
      </w:r>
    </w:p>
    <w:p w14:paraId="04A2371D" w14:textId="0B11E91F" w:rsidR="001B5DF8" w:rsidRPr="00E01239" w:rsidRDefault="001B5DF8" w:rsidP="00027669">
      <w:pPr>
        <w:pStyle w:val="Paragraphedeliste"/>
        <w:widowControl w:val="0"/>
        <w:numPr>
          <w:ilvl w:val="0"/>
          <w:numId w:val="127"/>
        </w:numPr>
        <w:tabs>
          <w:tab w:val="left" w:pos="837"/>
        </w:tabs>
        <w:kinsoku w:val="0"/>
        <w:overflowPunct w:val="0"/>
        <w:autoSpaceDE w:val="0"/>
        <w:autoSpaceDN w:val="0"/>
        <w:adjustRightInd w:val="0"/>
        <w:spacing w:before="120" w:line="280" w:lineRule="exact"/>
        <w:ind w:right="118"/>
        <w:contextualSpacing w:val="0"/>
        <w:jc w:val="both"/>
        <w:rPr>
          <w:rStyle w:val="longtext"/>
          <w:rFonts w:asciiTheme="minorHAnsi" w:hAnsiTheme="minorHAnsi" w:cstheme="minorHAnsi"/>
          <w:sz w:val="22"/>
          <w:szCs w:val="22"/>
        </w:rPr>
      </w:pPr>
      <w:r w:rsidRPr="00E01239">
        <w:rPr>
          <w:rFonts w:asciiTheme="minorHAnsi" w:hAnsiTheme="minorHAnsi" w:cstheme="minorHAnsi"/>
          <w:b/>
          <w:sz w:val="22"/>
          <w:szCs w:val="22"/>
          <w:u w:val="single"/>
        </w:rPr>
        <w:t>Risque élevé</w:t>
      </w:r>
      <w:r w:rsidRPr="00E01239">
        <w:rPr>
          <w:rFonts w:asciiTheme="minorHAnsi" w:hAnsiTheme="minorHAnsi" w:cstheme="minorHAnsi"/>
          <w:sz w:val="22"/>
          <w:szCs w:val="22"/>
        </w:rPr>
        <w:t xml:space="preserve"> : les sous-projets sont susceptibles d'avoir des impacts significatifs sur l’environnement. Une étude de l'évaluation des impacts </w:t>
      </w:r>
      <w:r w:rsidR="002A79B7" w:rsidRPr="00E01239">
        <w:rPr>
          <w:rFonts w:asciiTheme="minorHAnsi" w:hAnsiTheme="minorHAnsi" w:cstheme="minorHAnsi"/>
          <w:sz w:val="22"/>
          <w:szCs w:val="22"/>
        </w:rPr>
        <w:t xml:space="preserve">environnementaux et </w:t>
      </w:r>
      <w:proofErr w:type="gramStart"/>
      <w:r w:rsidR="002A79B7" w:rsidRPr="00E01239">
        <w:rPr>
          <w:rFonts w:asciiTheme="minorHAnsi" w:hAnsiTheme="minorHAnsi" w:cstheme="minorHAnsi"/>
          <w:sz w:val="22"/>
          <w:szCs w:val="22"/>
        </w:rPr>
        <w:t xml:space="preserve">sociaux </w:t>
      </w:r>
      <w:r w:rsidRPr="00E01239">
        <w:rPr>
          <w:rFonts w:asciiTheme="minorHAnsi" w:hAnsiTheme="minorHAnsi" w:cstheme="minorHAnsi"/>
          <w:sz w:val="22"/>
          <w:szCs w:val="22"/>
        </w:rPr>
        <w:t xml:space="preserve"> permettra</w:t>
      </w:r>
      <w:proofErr w:type="gramEnd"/>
      <w:r w:rsidRPr="00E01239">
        <w:rPr>
          <w:rFonts w:asciiTheme="minorHAnsi" w:hAnsiTheme="minorHAnsi" w:cstheme="minorHAnsi"/>
          <w:sz w:val="22"/>
          <w:szCs w:val="22"/>
        </w:rPr>
        <w:t xml:space="preserve"> d'intégrer les considérations environnementales</w:t>
      </w:r>
      <w:r w:rsidR="00483D24" w:rsidRPr="00E01239">
        <w:rPr>
          <w:rFonts w:asciiTheme="minorHAnsi" w:hAnsiTheme="minorHAnsi" w:cstheme="minorHAnsi"/>
          <w:sz w:val="22"/>
          <w:szCs w:val="22"/>
        </w:rPr>
        <w:t xml:space="preserve"> et sociales</w:t>
      </w:r>
      <w:r w:rsidRPr="00E01239">
        <w:rPr>
          <w:rFonts w:asciiTheme="minorHAnsi" w:hAnsiTheme="minorHAnsi" w:cstheme="minorHAnsi"/>
          <w:sz w:val="22"/>
          <w:szCs w:val="22"/>
        </w:rPr>
        <w:t xml:space="preserve"> dans l'analyse économique et financière des sous-projets. Cette catégorie exige une évaluation environnementale </w:t>
      </w:r>
      <w:r w:rsidR="00483D24" w:rsidRPr="00E01239">
        <w:rPr>
          <w:rFonts w:asciiTheme="minorHAnsi" w:hAnsiTheme="minorHAnsi" w:cstheme="minorHAnsi"/>
          <w:sz w:val="22"/>
          <w:szCs w:val="22"/>
        </w:rPr>
        <w:t xml:space="preserve">et sociale </w:t>
      </w:r>
      <w:r w:rsidRPr="00E01239">
        <w:rPr>
          <w:rFonts w:asciiTheme="minorHAnsi" w:hAnsiTheme="minorHAnsi" w:cstheme="minorHAnsi"/>
          <w:sz w:val="22"/>
          <w:szCs w:val="22"/>
        </w:rPr>
        <w:t>approfondie </w:t>
      </w:r>
      <w:r w:rsidRPr="00E01239">
        <w:rPr>
          <w:rStyle w:val="longtext"/>
          <w:rFonts w:asciiTheme="minorHAnsi" w:hAnsiTheme="minorHAnsi" w:cstheme="minorHAnsi"/>
          <w:sz w:val="22"/>
          <w:szCs w:val="22"/>
        </w:rPr>
        <w:t xml:space="preserve">assortie d’un Plan de Gestion Environnementale et Sociale (PGES). Par ailleurs, en cas de déplacement physique ou économique, l’EIES/PGES sera complétée par un Plan </w:t>
      </w:r>
      <w:r w:rsidR="00527775" w:rsidRPr="00E01239">
        <w:rPr>
          <w:rStyle w:val="longtext"/>
          <w:rFonts w:asciiTheme="minorHAnsi" w:hAnsiTheme="minorHAnsi" w:cstheme="minorHAnsi"/>
          <w:sz w:val="22"/>
          <w:szCs w:val="22"/>
        </w:rPr>
        <w:t xml:space="preserve">d’Action </w:t>
      </w:r>
      <w:r w:rsidRPr="00E01239">
        <w:rPr>
          <w:rStyle w:val="longtext"/>
          <w:rFonts w:asciiTheme="minorHAnsi" w:hAnsiTheme="minorHAnsi" w:cstheme="minorHAnsi"/>
          <w:sz w:val="22"/>
          <w:szCs w:val="22"/>
        </w:rPr>
        <w:t xml:space="preserve">de </w:t>
      </w:r>
      <w:r w:rsidR="00527775" w:rsidRPr="00E01239">
        <w:rPr>
          <w:rStyle w:val="longtext"/>
          <w:rFonts w:asciiTheme="minorHAnsi" w:hAnsiTheme="minorHAnsi" w:cstheme="minorHAnsi"/>
          <w:sz w:val="22"/>
          <w:szCs w:val="22"/>
        </w:rPr>
        <w:t>R</w:t>
      </w:r>
      <w:r w:rsidRPr="00E01239">
        <w:rPr>
          <w:rStyle w:val="longtext"/>
          <w:rFonts w:asciiTheme="minorHAnsi" w:hAnsiTheme="minorHAnsi" w:cstheme="minorHAnsi"/>
          <w:sz w:val="22"/>
          <w:szCs w:val="22"/>
        </w:rPr>
        <w:t>éinstallation (P</w:t>
      </w:r>
      <w:r w:rsidR="00527775" w:rsidRPr="00E01239">
        <w:rPr>
          <w:rStyle w:val="longtext"/>
          <w:rFonts w:asciiTheme="minorHAnsi" w:hAnsiTheme="minorHAnsi" w:cstheme="minorHAnsi"/>
          <w:sz w:val="22"/>
          <w:szCs w:val="22"/>
        </w:rPr>
        <w:t>A</w:t>
      </w:r>
      <w:r w:rsidRPr="00E01239">
        <w:rPr>
          <w:rStyle w:val="longtext"/>
          <w:rFonts w:asciiTheme="minorHAnsi" w:hAnsiTheme="minorHAnsi" w:cstheme="minorHAnsi"/>
          <w:sz w:val="22"/>
          <w:szCs w:val="22"/>
        </w:rPr>
        <w:t>R).</w:t>
      </w:r>
    </w:p>
    <w:p w14:paraId="5E291133" w14:textId="15D50FFA" w:rsidR="001B5DF8" w:rsidRPr="00E01239" w:rsidRDefault="001B5DF8" w:rsidP="00263B8A">
      <w:pPr>
        <w:pStyle w:val="Paragraphedeliste"/>
        <w:widowControl w:val="0"/>
        <w:tabs>
          <w:tab w:val="left" w:pos="837"/>
        </w:tabs>
        <w:kinsoku w:val="0"/>
        <w:overflowPunct w:val="0"/>
        <w:autoSpaceDE w:val="0"/>
        <w:autoSpaceDN w:val="0"/>
        <w:adjustRightInd w:val="0"/>
        <w:spacing w:before="120" w:line="280" w:lineRule="exact"/>
        <w:ind w:left="836" w:right="118"/>
        <w:contextualSpacing w:val="0"/>
        <w:jc w:val="both"/>
        <w:rPr>
          <w:rStyle w:val="longtext"/>
          <w:rFonts w:asciiTheme="minorHAnsi" w:hAnsiTheme="minorHAnsi" w:cstheme="minorHAnsi"/>
          <w:bCs/>
          <w:iCs/>
          <w:sz w:val="22"/>
          <w:szCs w:val="22"/>
        </w:rPr>
      </w:pPr>
      <w:r w:rsidRPr="00E01239">
        <w:rPr>
          <w:rStyle w:val="longtext"/>
          <w:rFonts w:asciiTheme="minorHAnsi" w:hAnsiTheme="minorHAnsi" w:cstheme="minorHAnsi"/>
          <w:bCs/>
          <w:iCs/>
          <w:sz w:val="22"/>
          <w:szCs w:val="22"/>
        </w:rPr>
        <w:t>Au titre de la réglementation nationale, ces sous-projets sont soumis à autorisation et nécessitent une étude d’impact approfondie assortie au besoin d’un Plan d’Action de Réinstallation. Les études d’impact de tels sous-projets sont également soumis à la validation en audience publique. Dans certains cas, il est requis une enquête publique préalable à la réalisation des études spécifiques.</w:t>
      </w:r>
    </w:p>
    <w:p w14:paraId="29D29BCD" w14:textId="2D25D1A3" w:rsidR="00712C62" w:rsidRPr="00E01239" w:rsidRDefault="00712C62" w:rsidP="007243AA">
      <w:pPr>
        <w:pStyle w:val="Paragraphedeliste"/>
        <w:ind w:left="836"/>
        <w:rPr>
          <w:rStyle w:val="longtext"/>
          <w:rFonts w:asciiTheme="minorHAnsi" w:hAnsiTheme="minorHAnsi" w:cstheme="minorHAnsi"/>
          <w:bCs/>
          <w:iCs/>
          <w:sz w:val="22"/>
          <w:szCs w:val="22"/>
        </w:rPr>
      </w:pPr>
      <w:r w:rsidRPr="00E01239">
        <w:rPr>
          <w:rFonts w:asciiTheme="minorHAnsi" w:hAnsiTheme="minorHAnsi" w:cstheme="minorHAnsi"/>
          <w:bCs/>
          <w:iCs/>
          <w:sz w:val="22"/>
          <w:szCs w:val="22"/>
        </w:rPr>
        <w:t>Par conséquent, les Cahiers de charges des entrepreneurs responsables des travaux contiendront impérativement tous les dispositifs techniques et les mesures d’atténuation prévues, ainsi qu’un système de suivi et contrôle qui respectent les normes en vigueur (y compris la sécurité des travailleurs et des populations locales).</w:t>
      </w:r>
    </w:p>
    <w:p w14:paraId="6885BE2C" w14:textId="7C21E020" w:rsidR="001B5DF8" w:rsidRPr="00E01239" w:rsidRDefault="001B5DF8" w:rsidP="00027669">
      <w:pPr>
        <w:pStyle w:val="Paragraphedeliste"/>
        <w:widowControl w:val="0"/>
        <w:numPr>
          <w:ilvl w:val="0"/>
          <w:numId w:val="127"/>
        </w:numPr>
        <w:tabs>
          <w:tab w:val="left" w:pos="837"/>
        </w:tabs>
        <w:kinsoku w:val="0"/>
        <w:overflowPunct w:val="0"/>
        <w:autoSpaceDE w:val="0"/>
        <w:autoSpaceDN w:val="0"/>
        <w:adjustRightInd w:val="0"/>
        <w:spacing w:before="120" w:line="280" w:lineRule="exact"/>
        <w:ind w:right="118"/>
        <w:contextualSpacing w:val="0"/>
        <w:jc w:val="both"/>
        <w:rPr>
          <w:rStyle w:val="longtext"/>
          <w:rFonts w:asciiTheme="minorHAnsi" w:hAnsiTheme="minorHAnsi" w:cstheme="minorHAnsi"/>
          <w:sz w:val="22"/>
          <w:szCs w:val="22"/>
        </w:rPr>
      </w:pPr>
      <w:r w:rsidRPr="00E01239">
        <w:rPr>
          <w:rFonts w:asciiTheme="minorHAnsi" w:hAnsiTheme="minorHAnsi" w:cstheme="minorHAnsi"/>
          <w:b/>
          <w:sz w:val="22"/>
          <w:szCs w:val="22"/>
          <w:u w:val="single"/>
        </w:rPr>
        <w:t>Risque substantiel</w:t>
      </w:r>
      <w:r w:rsidRPr="00E01239">
        <w:rPr>
          <w:rFonts w:asciiTheme="minorHAnsi" w:hAnsiTheme="minorHAnsi" w:cstheme="minorHAnsi"/>
          <w:sz w:val="22"/>
          <w:szCs w:val="22"/>
        </w:rPr>
        <w:t> </w:t>
      </w:r>
      <w:r w:rsidRPr="00E01239">
        <w:rPr>
          <w:rStyle w:val="longtext"/>
          <w:rFonts w:asciiTheme="minorHAnsi" w:hAnsiTheme="minorHAnsi" w:cstheme="minorHAnsi"/>
          <w:sz w:val="22"/>
          <w:szCs w:val="22"/>
        </w:rPr>
        <w:t xml:space="preserve">: les projets présentent des impacts et risques environnementaux et sociaux significatifs mais réversibles sur la base de la mise en œuvre de mesures d’atténuation et ou d’évitement. Une étude approfondie des impacts sera dès lors nécessaire pour évaluer les impacts et proposer des mesures de gestion. Par ailleurs, en cas de déplacement physique ou économique, l’EIES/PGES sera complétée par un </w:t>
      </w:r>
      <w:r w:rsidR="0021441C" w:rsidRPr="00E01239">
        <w:rPr>
          <w:rStyle w:val="longtext"/>
          <w:rFonts w:asciiTheme="minorHAnsi" w:hAnsiTheme="minorHAnsi" w:cstheme="minorHAnsi"/>
          <w:sz w:val="22"/>
          <w:szCs w:val="22"/>
        </w:rPr>
        <w:t>PAR</w:t>
      </w:r>
      <w:r w:rsidRPr="00E01239">
        <w:rPr>
          <w:rStyle w:val="longtext"/>
          <w:rFonts w:asciiTheme="minorHAnsi" w:hAnsiTheme="minorHAnsi" w:cstheme="minorHAnsi"/>
          <w:sz w:val="22"/>
          <w:szCs w:val="22"/>
        </w:rPr>
        <w:t>. Par conséquent, les Cahiers de charges des entrepreneurs responsables des travaux contiendront impérativement tous les dispositifs techniques et les mesures d’atténuation prévues, ainsi qu’un système de suivi et contrôle qui respectent les normes en vigueur (y compris la sécurité des travailleurs et des populations locales).</w:t>
      </w:r>
    </w:p>
    <w:p w14:paraId="6DDD865B" w14:textId="3AA03797" w:rsidR="001B5DF8" w:rsidRPr="00E01239" w:rsidRDefault="001B5DF8" w:rsidP="00263B8A">
      <w:pPr>
        <w:pStyle w:val="Paragraphedeliste"/>
        <w:widowControl w:val="0"/>
        <w:tabs>
          <w:tab w:val="left" w:pos="837"/>
        </w:tabs>
        <w:kinsoku w:val="0"/>
        <w:overflowPunct w:val="0"/>
        <w:autoSpaceDE w:val="0"/>
        <w:autoSpaceDN w:val="0"/>
        <w:adjustRightInd w:val="0"/>
        <w:spacing w:before="120" w:line="280" w:lineRule="exact"/>
        <w:ind w:left="836" w:right="118"/>
        <w:contextualSpacing w:val="0"/>
        <w:jc w:val="both"/>
        <w:rPr>
          <w:rStyle w:val="longtext"/>
          <w:rFonts w:asciiTheme="minorHAnsi" w:hAnsiTheme="minorHAnsi" w:cstheme="minorHAnsi"/>
          <w:bCs/>
          <w:iCs/>
          <w:sz w:val="22"/>
          <w:szCs w:val="22"/>
        </w:rPr>
      </w:pPr>
      <w:r w:rsidRPr="00E01239">
        <w:rPr>
          <w:rStyle w:val="longtext"/>
          <w:rFonts w:asciiTheme="minorHAnsi" w:hAnsiTheme="minorHAnsi" w:cstheme="minorHAnsi"/>
          <w:bCs/>
          <w:iCs/>
          <w:sz w:val="22"/>
          <w:szCs w:val="22"/>
        </w:rPr>
        <w:t>Au titre de la réglementation nationale, ces projets sont soumis à autorisation et nécessitent une étude d’impact approfondie assortie au besoin d’un Plan d’Action de Réinstallation. Les études spécifiques de tels projets sont également soumises à la validation en audience publique.</w:t>
      </w:r>
    </w:p>
    <w:p w14:paraId="6678523C" w14:textId="1EE8363B" w:rsidR="001B5DF8" w:rsidRPr="00E01239" w:rsidRDefault="001B5DF8" w:rsidP="00027669">
      <w:pPr>
        <w:pStyle w:val="Paragraphedeliste"/>
        <w:widowControl w:val="0"/>
        <w:numPr>
          <w:ilvl w:val="0"/>
          <w:numId w:val="127"/>
        </w:numPr>
        <w:tabs>
          <w:tab w:val="left" w:pos="837"/>
        </w:tabs>
        <w:kinsoku w:val="0"/>
        <w:overflowPunct w:val="0"/>
        <w:autoSpaceDE w:val="0"/>
        <w:autoSpaceDN w:val="0"/>
        <w:adjustRightInd w:val="0"/>
        <w:spacing w:before="120" w:line="280" w:lineRule="exact"/>
        <w:ind w:right="454"/>
        <w:contextualSpacing w:val="0"/>
        <w:jc w:val="both"/>
        <w:rPr>
          <w:rFonts w:asciiTheme="minorHAnsi" w:hAnsiTheme="minorHAnsi" w:cstheme="minorHAnsi"/>
          <w:sz w:val="22"/>
          <w:szCs w:val="22"/>
        </w:rPr>
      </w:pPr>
      <w:r w:rsidRPr="00E01239">
        <w:rPr>
          <w:rFonts w:asciiTheme="minorHAnsi" w:hAnsiTheme="minorHAnsi" w:cstheme="minorHAnsi"/>
          <w:b/>
          <w:sz w:val="22"/>
          <w:szCs w:val="22"/>
          <w:u w:val="single"/>
        </w:rPr>
        <w:t>Risque modéré</w:t>
      </w:r>
      <w:r w:rsidRPr="00E01239">
        <w:rPr>
          <w:rFonts w:asciiTheme="minorHAnsi" w:hAnsiTheme="minorHAnsi" w:cstheme="minorHAnsi"/>
          <w:sz w:val="22"/>
          <w:szCs w:val="22"/>
        </w:rPr>
        <w:t xml:space="preserve"> : les projets ont des impacts limités sur l'environnement </w:t>
      </w:r>
      <w:r w:rsidR="00523020" w:rsidRPr="00E01239">
        <w:rPr>
          <w:rFonts w:asciiTheme="minorHAnsi" w:hAnsiTheme="minorHAnsi" w:cstheme="minorHAnsi"/>
          <w:sz w:val="22"/>
          <w:szCs w:val="22"/>
        </w:rPr>
        <w:t xml:space="preserve">et le milieu </w:t>
      </w:r>
      <w:r w:rsidR="00A70ED4" w:rsidRPr="00E01239">
        <w:rPr>
          <w:rFonts w:asciiTheme="minorHAnsi" w:hAnsiTheme="minorHAnsi" w:cstheme="minorHAnsi"/>
          <w:sz w:val="22"/>
          <w:szCs w:val="22"/>
        </w:rPr>
        <w:t>socio-économique</w:t>
      </w:r>
      <w:r w:rsidR="00523020" w:rsidRPr="00E01239">
        <w:rPr>
          <w:rFonts w:asciiTheme="minorHAnsi" w:hAnsiTheme="minorHAnsi" w:cstheme="minorHAnsi"/>
          <w:sz w:val="22"/>
          <w:szCs w:val="22"/>
        </w:rPr>
        <w:t xml:space="preserve"> </w:t>
      </w:r>
      <w:r w:rsidRPr="00E01239">
        <w:rPr>
          <w:rFonts w:asciiTheme="minorHAnsi" w:hAnsiTheme="minorHAnsi" w:cstheme="minorHAnsi"/>
          <w:sz w:val="22"/>
          <w:szCs w:val="22"/>
        </w:rPr>
        <w:t xml:space="preserve">ou les impacts peuvent être atténués en appliquant des mesures ou des changements dans leur conception ; </w:t>
      </w:r>
    </w:p>
    <w:p w14:paraId="30F7A755" w14:textId="4D752B02" w:rsidR="001B5DF8" w:rsidRPr="00E01239" w:rsidRDefault="001B5DF8" w:rsidP="00263B8A">
      <w:pPr>
        <w:pStyle w:val="Paragraphedeliste"/>
        <w:widowControl w:val="0"/>
        <w:tabs>
          <w:tab w:val="left" w:pos="837"/>
        </w:tabs>
        <w:kinsoku w:val="0"/>
        <w:overflowPunct w:val="0"/>
        <w:autoSpaceDE w:val="0"/>
        <w:autoSpaceDN w:val="0"/>
        <w:adjustRightInd w:val="0"/>
        <w:spacing w:before="120" w:line="280" w:lineRule="exact"/>
        <w:ind w:left="836" w:right="118"/>
        <w:contextualSpacing w:val="0"/>
        <w:jc w:val="both"/>
        <w:rPr>
          <w:rStyle w:val="longtext"/>
          <w:rFonts w:asciiTheme="minorHAnsi" w:hAnsiTheme="minorHAnsi" w:cstheme="minorHAnsi"/>
          <w:bCs/>
          <w:iCs/>
          <w:sz w:val="22"/>
          <w:szCs w:val="22"/>
        </w:rPr>
      </w:pPr>
      <w:r w:rsidRPr="00E01239">
        <w:rPr>
          <w:rStyle w:val="longtext"/>
          <w:rFonts w:asciiTheme="minorHAnsi" w:hAnsiTheme="minorHAnsi" w:cstheme="minorHAnsi"/>
          <w:bCs/>
          <w:iCs/>
          <w:sz w:val="22"/>
          <w:szCs w:val="22"/>
        </w:rPr>
        <w:lastRenderedPageBreak/>
        <w:t xml:space="preserve">Au titre de la réglementation nationale, ces projets font l'objet d'une autorisation </w:t>
      </w:r>
      <w:r w:rsidR="00A70ED4" w:rsidRPr="00E01239">
        <w:rPr>
          <w:rStyle w:val="longtext"/>
          <w:rFonts w:asciiTheme="minorHAnsi" w:hAnsiTheme="minorHAnsi" w:cstheme="minorHAnsi"/>
          <w:bCs/>
          <w:iCs/>
          <w:sz w:val="22"/>
          <w:szCs w:val="22"/>
        </w:rPr>
        <w:t>à la suite de</w:t>
      </w:r>
      <w:r w:rsidRPr="00E01239">
        <w:rPr>
          <w:rStyle w:val="longtext"/>
          <w:rFonts w:asciiTheme="minorHAnsi" w:hAnsiTheme="minorHAnsi" w:cstheme="minorHAnsi"/>
          <w:bCs/>
          <w:iCs/>
          <w:sz w:val="22"/>
          <w:szCs w:val="22"/>
        </w:rPr>
        <w:t xml:space="preserve"> l’élaboration et la validation d’une analyse environnementale initiale (AEI) qui sera entreprise avant l’obtention d’un certificat de conformité environnementale. </w:t>
      </w:r>
    </w:p>
    <w:p w14:paraId="27DB320F" w14:textId="77777777" w:rsidR="001B5DF8" w:rsidRPr="00E01239" w:rsidRDefault="001B5DF8" w:rsidP="00027669">
      <w:pPr>
        <w:pStyle w:val="Paragraphedeliste"/>
        <w:widowControl w:val="0"/>
        <w:numPr>
          <w:ilvl w:val="0"/>
          <w:numId w:val="127"/>
        </w:numPr>
        <w:tabs>
          <w:tab w:val="left" w:pos="837"/>
        </w:tabs>
        <w:kinsoku w:val="0"/>
        <w:overflowPunct w:val="0"/>
        <w:autoSpaceDE w:val="0"/>
        <w:autoSpaceDN w:val="0"/>
        <w:adjustRightInd w:val="0"/>
        <w:spacing w:before="120" w:line="280" w:lineRule="exact"/>
        <w:ind w:right="454"/>
        <w:contextualSpacing w:val="0"/>
        <w:jc w:val="both"/>
        <w:rPr>
          <w:rFonts w:asciiTheme="minorHAnsi" w:hAnsiTheme="minorHAnsi" w:cstheme="minorHAnsi"/>
          <w:sz w:val="22"/>
          <w:szCs w:val="22"/>
        </w:rPr>
      </w:pPr>
      <w:r w:rsidRPr="00E01239">
        <w:rPr>
          <w:rFonts w:asciiTheme="minorHAnsi" w:hAnsiTheme="minorHAnsi" w:cstheme="minorHAnsi"/>
          <w:b/>
          <w:sz w:val="22"/>
          <w:szCs w:val="22"/>
          <w:u w:val="single"/>
        </w:rPr>
        <w:t>Risque faible</w:t>
      </w:r>
      <w:r w:rsidRPr="00E01239">
        <w:rPr>
          <w:rFonts w:asciiTheme="minorHAnsi" w:hAnsiTheme="minorHAnsi" w:cstheme="minorHAnsi"/>
          <w:sz w:val="22"/>
          <w:szCs w:val="22"/>
        </w:rPr>
        <w:t xml:space="preserve">. Les projets qui ne nécessitent pas une étude environnementale et sociale. </w:t>
      </w:r>
    </w:p>
    <w:p w14:paraId="1F1C3C8C" w14:textId="77777777" w:rsidR="001B5DF8" w:rsidRPr="00E01239" w:rsidRDefault="001B5DF8" w:rsidP="00263B8A">
      <w:pPr>
        <w:pStyle w:val="Paragraphedeliste"/>
        <w:widowControl w:val="0"/>
        <w:tabs>
          <w:tab w:val="left" w:pos="837"/>
        </w:tabs>
        <w:kinsoku w:val="0"/>
        <w:overflowPunct w:val="0"/>
        <w:autoSpaceDE w:val="0"/>
        <w:autoSpaceDN w:val="0"/>
        <w:adjustRightInd w:val="0"/>
        <w:spacing w:before="120" w:line="280" w:lineRule="exact"/>
        <w:ind w:left="836" w:right="118"/>
        <w:contextualSpacing w:val="0"/>
        <w:jc w:val="both"/>
        <w:rPr>
          <w:rStyle w:val="longtext"/>
          <w:rFonts w:asciiTheme="minorHAnsi" w:hAnsiTheme="minorHAnsi" w:cstheme="minorHAnsi"/>
          <w:bCs/>
          <w:iCs/>
          <w:sz w:val="22"/>
          <w:szCs w:val="22"/>
        </w:rPr>
      </w:pPr>
      <w:r w:rsidRPr="00E01239">
        <w:rPr>
          <w:rStyle w:val="longtext"/>
          <w:rFonts w:asciiTheme="minorHAnsi" w:hAnsiTheme="minorHAnsi" w:cstheme="minorHAnsi"/>
          <w:bCs/>
          <w:iCs/>
          <w:sz w:val="22"/>
          <w:szCs w:val="22"/>
        </w:rPr>
        <w:t xml:space="preserve">Cette catégorie est l’équivalent des projets à risque faible au sens de la législation sénégalaise qui exige toutefois qu’ils soient déclarés. </w:t>
      </w:r>
    </w:p>
    <w:p w14:paraId="194B8B32" w14:textId="43DE77B5" w:rsidR="001B5DF8" w:rsidRPr="00E01239" w:rsidRDefault="001B5DF8" w:rsidP="00263B8A">
      <w:pPr>
        <w:spacing w:before="120" w:line="280" w:lineRule="exact"/>
        <w:ind w:right="19"/>
        <w:jc w:val="both"/>
        <w:rPr>
          <w:rFonts w:asciiTheme="minorHAnsi" w:hAnsiTheme="minorHAnsi" w:cstheme="minorHAnsi"/>
          <w:sz w:val="22"/>
          <w:szCs w:val="22"/>
        </w:rPr>
      </w:pPr>
      <w:r w:rsidRPr="00E01239">
        <w:rPr>
          <w:rFonts w:asciiTheme="minorHAnsi" w:hAnsiTheme="minorHAnsi" w:cstheme="minorHAnsi"/>
          <w:sz w:val="22"/>
          <w:szCs w:val="22"/>
        </w:rPr>
        <w:t xml:space="preserve">Il faut souligner que le </w:t>
      </w:r>
      <w:r w:rsidR="0021441C" w:rsidRPr="00E01239">
        <w:rPr>
          <w:rFonts w:asciiTheme="minorHAnsi" w:hAnsiTheme="minorHAnsi" w:cstheme="minorHAnsi"/>
          <w:sz w:val="22"/>
          <w:szCs w:val="22"/>
        </w:rPr>
        <w:t>FRSP-SN est</w:t>
      </w:r>
      <w:r w:rsidRPr="00E01239">
        <w:rPr>
          <w:rFonts w:asciiTheme="minorHAnsi" w:hAnsiTheme="minorHAnsi" w:cstheme="minorHAnsi"/>
          <w:sz w:val="22"/>
          <w:szCs w:val="22"/>
        </w:rPr>
        <w:t xml:space="preserve"> classé à </w:t>
      </w:r>
      <w:r w:rsidRPr="00E01239">
        <w:rPr>
          <w:rFonts w:asciiTheme="minorHAnsi" w:hAnsiTheme="minorHAnsi" w:cstheme="minorHAnsi"/>
          <w:b/>
          <w:sz w:val="22"/>
          <w:szCs w:val="22"/>
        </w:rPr>
        <w:t>risque environnemental et social substantiel</w:t>
      </w:r>
      <w:r w:rsidRPr="00E01239">
        <w:rPr>
          <w:rFonts w:asciiTheme="minorHAnsi" w:hAnsiTheme="minorHAnsi" w:cstheme="minorHAnsi"/>
          <w:sz w:val="22"/>
          <w:szCs w:val="22"/>
        </w:rPr>
        <w:t xml:space="preserve"> par la Banque mondiale vue la nature des activités qu’il peut requérir et leur sensibilité, ce qui correspond à la catégorie A selon la législation nationale.</w:t>
      </w:r>
    </w:p>
    <w:p w14:paraId="0227C9D2" w14:textId="22FFC0B3" w:rsidR="001B5DF8" w:rsidRPr="00E01239" w:rsidRDefault="3C23D68D" w:rsidP="00027669">
      <w:pPr>
        <w:pStyle w:val="Paragraphedeliste"/>
        <w:numPr>
          <w:ilvl w:val="0"/>
          <w:numId w:val="126"/>
        </w:numPr>
        <w:spacing w:before="120" w:line="280" w:lineRule="exact"/>
        <w:contextualSpacing w:val="0"/>
        <w:jc w:val="both"/>
        <w:rPr>
          <w:rFonts w:asciiTheme="minorHAnsi" w:hAnsiTheme="minorHAnsi" w:cstheme="minorHAnsi"/>
          <w:b/>
          <w:bCs/>
          <w:sz w:val="22"/>
          <w:szCs w:val="22"/>
        </w:rPr>
      </w:pPr>
      <w:r w:rsidRPr="00E01239">
        <w:rPr>
          <w:rFonts w:asciiTheme="minorHAnsi" w:hAnsiTheme="minorHAnsi" w:cstheme="minorBidi"/>
          <w:b/>
          <w:bCs/>
          <w:sz w:val="22"/>
          <w:szCs w:val="22"/>
        </w:rPr>
        <w:t xml:space="preserve">Etape </w:t>
      </w:r>
      <w:r w:rsidR="437DB2D3" w:rsidRPr="00E01239">
        <w:rPr>
          <w:rFonts w:asciiTheme="minorHAnsi" w:hAnsiTheme="minorHAnsi" w:cstheme="minorBidi"/>
          <w:b/>
          <w:bCs/>
          <w:sz w:val="22"/>
          <w:szCs w:val="22"/>
        </w:rPr>
        <w:t>3</w:t>
      </w:r>
      <w:r w:rsidRPr="00E01239">
        <w:rPr>
          <w:rFonts w:asciiTheme="minorHAnsi" w:hAnsiTheme="minorHAnsi" w:cstheme="minorBidi"/>
          <w:b/>
          <w:bCs/>
          <w:sz w:val="22"/>
          <w:szCs w:val="22"/>
        </w:rPr>
        <w:t> : Validation de la classification</w:t>
      </w:r>
    </w:p>
    <w:p w14:paraId="4B7629CC" w14:textId="6BA102A7" w:rsidR="001B5DF8" w:rsidRPr="00E01239" w:rsidRDefault="001B5DF8" w:rsidP="00263B8A">
      <w:pPr>
        <w:shd w:val="clear" w:color="auto" w:fill="FFFFFF"/>
        <w:spacing w:before="120" w:line="280" w:lineRule="exact"/>
        <w:ind w:right="19"/>
        <w:jc w:val="both"/>
        <w:rPr>
          <w:rFonts w:asciiTheme="minorHAnsi" w:hAnsiTheme="minorHAnsi" w:cstheme="minorHAnsi"/>
          <w:sz w:val="22"/>
          <w:szCs w:val="22"/>
        </w:rPr>
      </w:pPr>
      <w:r w:rsidRPr="00E01239">
        <w:rPr>
          <w:rFonts w:asciiTheme="minorHAnsi" w:hAnsiTheme="minorHAnsi" w:cstheme="minorHAnsi"/>
          <w:sz w:val="22"/>
          <w:szCs w:val="22"/>
        </w:rPr>
        <w:t>La validation de la classification devra être effectuée par la Direction de l’Environnement et des Établissements Classés (DEEC) en impliquant les Divisions Régionales de l’Environnement et des Établissements Classés (DREEC)</w:t>
      </w:r>
      <w:r w:rsidR="00D116B6" w:rsidRPr="00E01239">
        <w:rPr>
          <w:rFonts w:asciiTheme="minorHAnsi" w:hAnsiTheme="minorHAnsi" w:cstheme="minorHAnsi"/>
          <w:sz w:val="22"/>
          <w:szCs w:val="22"/>
        </w:rPr>
        <w:t xml:space="preserve"> concernées.</w:t>
      </w:r>
    </w:p>
    <w:p w14:paraId="0F2E4CE8" w14:textId="489045C1" w:rsidR="001B5DF8" w:rsidRPr="00E01239" w:rsidRDefault="3C23D68D" w:rsidP="00027669">
      <w:pPr>
        <w:pStyle w:val="Paragraphedeliste"/>
        <w:numPr>
          <w:ilvl w:val="0"/>
          <w:numId w:val="126"/>
        </w:numPr>
        <w:spacing w:before="120" w:line="280" w:lineRule="exact"/>
        <w:contextualSpacing w:val="0"/>
        <w:jc w:val="both"/>
        <w:rPr>
          <w:rFonts w:asciiTheme="minorHAnsi" w:hAnsiTheme="minorHAnsi" w:cstheme="minorHAnsi"/>
          <w:b/>
          <w:bCs/>
          <w:sz w:val="22"/>
          <w:szCs w:val="22"/>
        </w:rPr>
      </w:pPr>
      <w:r w:rsidRPr="00E01239">
        <w:rPr>
          <w:rFonts w:asciiTheme="minorHAnsi" w:hAnsiTheme="minorHAnsi" w:cstheme="minorBidi"/>
          <w:b/>
          <w:bCs/>
          <w:sz w:val="22"/>
          <w:szCs w:val="22"/>
        </w:rPr>
        <w:t xml:space="preserve">Etape </w:t>
      </w:r>
      <w:r w:rsidR="437DB2D3" w:rsidRPr="00E01239">
        <w:rPr>
          <w:rFonts w:asciiTheme="minorHAnsi" w:hAnsiTheme="minorHAnsi" w:cstheme="minorBidi"/>
          <w:b/>
          <w:bCs/>
          <w:sz w:val="22"/>
          <w:szCs w:val="22"/>
        </w:rPr>
        <w:t>4</w:t>
      </w:r>
      <w:r w:rsidRPr="00E01239">
        <w:rPr>
          <w:rFonts w:asciiTheme="minorHAnsi" w:hAnsiTheme="minorHAnsi" w:cstheme="minorBidi"/>
          <w:b/>
          <w:bCs/>
          <w:sz w:val="22"/>
          <w:szCs w:val="22"/>
        </w:rPr>
        <w:t xml:space="preserve"> : Préparation de l’instrument environnemental et social</w:t>
      </w:r>
    </w:p>
    <w:p w14:paraId="7E4929EF" w14:textId="1AEFB901" w:rsidR="001B5DF8" w:rsidRPr="00E01239" w:rsidRDefault="001B5DF8" w:rsidP="00263B8A">
      <w:pPr>
        <w:shd w:val="clear" w:color="auto" w:fill="FFFFFF"/>
        <w:spacing w:before="120" w:line="280" w:lineRule="exact"/>
        <w:ind w:right="19"/>
        <w:jc w:val="both"/>
        <w:rPr>
          <w:rFonts w:asciiTheme="minorHAnsi" w:hAnsiTheme="minorHAnsi" w:cstheme="minorHAnsi"/>
          <w:sz w:val="22"/>
          <w:szCs w:val="22"/>
        </w:rPr>
      </w:pPr>
      <w:r w:rsidRPr="00E01239">
        <w:rPr>
          <w:rFonts w:asciiTheme="minorHAnsi" w:hAnsiTheme="minorHAnsi" w:cstheme="minorHAnsi"/>
          <w:sz w:val="22"/>
          <w:szCs w:val="22"/>
        </w:rPr>
        <w:t>Lorsqu’une évaluation environnementale et sociale (EIES ou AEI) est requise, l’UC</w:t>
      </w:r>
      <w:r w:rsidR="00D116B6" w:rsidRPr="00E01239">
        <w:rPr>
          <w:rFonts w:asciiTheme="minorHAnsi" w:hAnsiTheme="minorHAnsi" w:cstheme="minorHAnsi"/>
          <w:sz w:val="22"/>
          <w:szCs w:val="22"/>
        </w:rPr>
        <w:t xml:space="preserve">P concernée </w:t>
      </w:r>
      <w:r w:rsidRPr="00E01239">
        <w:rPr>
          <w:rFonts w:asciiTheme="minorHAnsi" w:hAnsiTheme="minorHAnsi" w:cstheme="minorHAnsi"/>
          <w:sz w:val="22"/>
          <w:szCs w:val="22"/>
        </w:rPr>
        <w:t xml:space="preserve">réalisera les activités suivantes : </w:t>
      </w:r>
    </w:p>
    <w:p w14:paraId="57DAA4DE" w14:textId="6320B8E6" w:rsidR="001B5DF8" w:rsidRPr="00E01239" w:rsidRDefault="00176542" w:rsidP="00027669">
      <w:pPr>
        <w:pStyle w:val="Paragraphedeliste"/>
        <w:numPr>
          <w:ilvl w:val="0"/>
          <w:numId w:val="128"/>
        </w:numPr>
        <w:shd w:val="clear" w:color="auto" w:fill="FFFFFF"/>
        <w:spacing w:before="120" w:line="280" w:lineRule="exact"/>
        <w:ind w:right="19"/>
        <w:contextualSpacing w:val="0"/>
        <w:jc w:val="both"/>
        <w:rPr>
          <w:rFonts w:asciiTheme="minorHAnsi" w:hAnsiTheme="minorHAnsi" w:cstheme="minorHAnsi"/>
          <w:sz w:val="22"/>
          <w:szCs w:val="22"/>
        </w:rPr>
      </w:pPr>
      <w:r w:rsidRPr="00E01239">
        <w:rPr>
          <w:rFonts w:asciiTheme="minorHAnsi" w:hAnsiTheme="minorHAnsi" w:cstheme="minorHAnsi"/>
          <w:color w:val="000000"/>
          <w:sz w:val="22"/>
          <w:szCs w:val="22"/>
        </w:rPr>
        <w:t>Préparation</w:t>
      </w:r>
      <w:r w:rsidR="001B5DF8" w:rsidRPr="00E01239">
        <w:rPr>
          <w:rFonts w:asciiTheme="minorHAnsi" w:hAnsiTheme="minorHAnsi" w:cstheme="minorHAnsi"/>
          <w:color w:val="000000"/>
          <w:sz w:val="22"/>
          <w:szCs w:val="22"/>
        </w:rPr>
        <w:t xml:space="preserve"> des termes de référence</w:t>
      </w:r>
      <w:r w:rsidR="001B5DF8" w:rsidRPr="00E01239">
        <w:rPr>
          <w:rStyle w:val="Appelnotedebasdep"/>
          <w:rFonts w:asciiTheme="minorHAnsi" w:hAnsiTheme="minorHAnsi" w:cstheme="minorHAnsi"/>
          <w:color w:val="000000"/>
          <w:sz w:val="22"/>
          <w:szCs w:val="22"/>
        </w:rPr>
        <w:footnoteReference w:id="5"/>
      </w:r>
      <w:r w:rsidR="001B5DF8" w:rsidRPr="00E01239">
        <w:rPr>
          <w:rFonts w:asciiTheme="minorHAnsi" w:hAnsiTheme="minorHAnsi" w:cstheme="minorHAnsi"/>
          <w:color w:val="000000"/>
          <w:sz w:val="22"/>
          <w:szCs w:val="22"/>
        </w:rPr>
        <w:t xml:space="preserve"> pour l’EIES à soumettre à la DEEC et à la BM pour revue et approbation : </w:t>
      </w:r>
      <w:r w:rsidR="00DB3514" w:rsidRPr="00E01239">
        <w:rPr>
          <w:rFonts w:asciiTheme="minorHAnsi" w:hAnsiTheme="minorHAnsi" w:cstheme="minorHAnsi"/>
          <w:color w:val="000000"/>
          <w:sz w:val="22"/>
          <w:szCs w:val="22"/>
        </w:rPr>
        <w:t>à la suite de</w:t>
      </w:r>
      <w:r w:rsidR="001B5DF8" w:rsidRPr="00E01239">
        <w:rPr>
          <w:rFonts w:asciiTheme="minorHAnsi" w:hAnsiTheme="minorHAnsi" w:cstheme="minorHAnsi"/>
          <w:color w:val="000000"/>
          <w:sz w:val="22"/>
          <w:szCs w:val="22"/>
        </w:rPr>
        <w:t xml:space="preserve"> la </w:t>
      </w:r>
      <w:r w:rsidR="001B5DF8" w:rsidRPr="00E01239">
        <w:rPr>
          <w:rFonts w:asciiTheme="minorHAnsi" w:hAnsiTheme="minorHAnsi" w:cstheme="minorHAnsi"/>
          <w:sz w:val="22"/>
          <w:szCs w:val="22"/>
        </w:rPr>
        <w:t xml:space="preserve">préparation et </w:t>
      </w:r>
      <w:r w:rsidR="001A43A6">
        <w:rPr>
          <w:rFonts w:asciiTheme="minorHAnsi" w:hAnsiTheme="minorHAnsi" w:cstheme="minorHAnsi"/>
          <w:sz w:val="22"/>
          <w:szCs w:val="22"/>
        </w:rPr>
        <w:t xml:space="preserve">de </w:t>
      </w:r>
      <w:r w:rsidR="001B5DF8" w:rsidRPr="00E01239">
        <w:rPr>
          <w:rFonts w:asciiTheme="minorHAnsi" w:hAnsiTheme="minorHAnsi" w:cstheme="minorHAnsi"/>
          <w:sz w:val="22"/>
          <w:szCs w:val="22"/>
        </w:rPr>
        <w:t>la transmission d’un projet de termes de référence (TDR) par l’UCP</w:t>
      </w:r>
      <w:r w:rsidR="0021441C" w:rsidRPr="00E01239">
        <w:rPr>
          <w:rFonts w:asciiTheme="minorHAnsi" w:hAnsiTheme="minorHAnsi" w:cstheme="minorHAnsi"/>
          <w:sz w:val="22"/>
          <w:szCs w:val="22"/>
        </w:rPr>
        <w:t xml:space="preserve"> FRSP concernée</w:t>
      </w:r>
      <w:r w:rsidR="001B5DF8" w:rsidRPr="00E01239">
        <w:rPr>
          <w:rFonts w:asciiTheme="minorHAnsi" w:hAnsiTheme="minorHAnsi" w:cstheme="minorHAnsi"/>
          <w:sz w:val="22"/>
          <w:szCs w:val="22"/>
        </w:rPr>
        <w:t xml:space="preserve">, la DEEC organisera une visite des sites avec la participation des membres pertinents du comité technique pour vérifier l’exhaustivité des termes de référence par rapport aux réalités du terrain. La DEEC dispose de 10 jours pour notifier à l’UCP </w:t>
      </w:r>
      <w:r w:rsidR="00D116B6" w:rsidRPr="00E01239">
        <w:rPr>
          <w:rFonts w:asciiTheme="minorHAnsi" w:hAnsiTheme="minorHAnsi" w:cstheme="minorHAnsi"/>
          <w:sz w:val="22"/>
          <w:szCs w:val="22"/>
        </w:rPr>
        <w:t xml:space="preserve">concernée </w:t>
      </w:r>
      <w:r w:rsidR="001B5DF8" w:rsidRPr="00E01239">
        <w:rPr>
          <w:rFonts w:asciiTheme="minorHAnsi" w:hAnsiTheme="minorHAnsi" w:cstheme="minorHAnsi"/>
          <w:sz w:val="22"/>
          <w:szCs w:val="22"/>
        </w:rPr>
        <w:t>les amendements apportés aux TDR sur la base des observations et des constats faits sur les sites ou leur validation. Il peut être demandé au promoteur du projet</w:t>
      </w:r>
      <w:r w:rsidR="00D116B6" w:rsidRPr="00E01239">
        <w:rPr>
          <w:rFonts w:asciiTheme="minorHAnsi" w:hAnsiTheme="minorHAnsi" w:cstheme="minorHAnsi"/>
          <w:sz w:val="22"/>
          <w:szCs w:val="22"/>
        </w:rPr>
        <w:t xml:space="preserve"> </w:t>
      </w:r>
      <w:r w:rsidR="001B5DF8" w:rsidRPr="00E01239">
        <w:rPr>
          <w:rFonts w:asciiTheme="minorHAnsi" w:hAnsiTheme="minorHAnsi" w:cstheme="minorHAnsi"/>
          <w:sz w:val="22"/>
          <w:szCs w:val="22"/>
        </w:rPr>
        <w:t>de compléter certaines informations ou de mettre en conformité certains aspects particuliers des sous projets.</w:t>
      </w:r>
    </w:p>
    <w:p w14:paraId="79F3B9FA" w14:textId="7F6B4217" w:rsidR="001B5DF8" w:rsidRPr="00E01239" w:rsidRDefault="00DB3514" w:rsidP="00027669">
      <w:pPr>
        <w:pStyle w:val="Paragraphedeliste"/>
        <w:numPr>
          <w:ilvl w:val="0"/>
          <w:numId w:val="128"/>
        </w:numPr>
        <w:shd w:val="clear" w:color="auto" w:fill="FFFFFF"/>
        <w:spacing w:before="120" w:line="280" w:lineRule="exact"/>
        <w:ind w:right="19"/>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Recrutement</w:t>
      </w:r>
      <w:r w:rsidR="001B5DF8" w:rsidRPr="00E01239">
        <w:rPr>
          <w:rFonts w:asciiTheme="minorHAnsi" w:hAnsiTheme="minorHAnsi" w:cstheme="minorHAnsi"/>
          <w:color w:val="000000"/>
          <w:sz w:val="22"/>
          <w:szCs w:val="22"/>
        </w:rPr>
        <w:t xml:space="preserve"> des consultants agréés pour réaliser les études susvisées ; </w:t>
      </w:r>
    </w:p>
    <w:p w14:paraId="1632AA27" w14:textId="50D35B53" w:rsidR="001B5DF8" w:rsidRPr="00E01239" w:rsidRDefault="00DB3514" w:rsidP="00027669">
      <w:pPr>
        <w:pStyle w:val="Paragraphedeliste"/>
        <w:numPr>
          <w:ilvl w:val="0"/>
          <w:numId w:val="128"/>
        </w:numPr>
        <w:shd w:val="clear" w:color="auto" w:fill="FFFFFF"/>
        <w:spacing w:before="120" w:line="280" w:lineRule="exact"/>
        <w:ind w:right="19"/>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Réalisation</w:t>
      </w:r>
      <w:r w:rsidR="001B5DF8" w:rsidRPr="00E01239">
        <w:rPr>
          <w:rFonts w:asciiTheme="minorHAnsi" w:hAnsiTheme="minorHAnsi" w:cstheme="minorHAnsi"/>
          <w:color w:val="000000"/>
          <w:sz w:val="22"/>
          <w:szCs w:val="22"/>
        </w:rPr>
        <w:t xml:space="preserve"> des études par les consultants recrutés par l’UCP </w:t>
      </w:r>
      <w:r w:rsidR="0021441C" w:rsidRPr="00E01239">
        <w:rPr>
          <w:rFonts w:asciiTheme="minorHAnsi" w:hAnsiTheme="minorHAnsi" w:cstheme="minorHAnsi"/>
          <w:sz w:val="22"/>
          <w:szCs w:val="22"/>
        </w:rPr>
        <w:t>FRSP concernée</w:t>
      </w:r>
      <w:r w:rsidR="0021441C" w:rsidRPr="00E01239">
        <w:rPr>
          <w:rFonts w:asciiTheme="minorHAnsi" w:hAnsiTheme="minorHAnsi" w:cstheme="minorHAnsi"/>
          <w:color w:val="000000"/>
          <w:sz w:val="22"/>
          <w:szCs w:val="22"/>
        </w:rPr>
        <w:t xml:space="preserve"> </w:t>
      </w:r>
      <w:r w:rsidR="001B5DF8" w:rsidRPr="00E01239">
        <w:rPr>
          <w:rFonts w:asciiTheme="minorHAnsi" w:hAnsiTheme="minorHAnsi" w:cstheme="minorHAnsi"/>
          <w:color w:val="000000"/>
          <w:sz w:val="22"/>
          <w:szCs w:val="22"/>
        </w:rPr>
        <w:t xml:space="preserve">conformément aux termes de référence ; </w:t>
      </w:r>
    </w:p>
    <w:p w14:paraId="30B6573C" w14:textId="57635971" w:rsidR="001B5DF8" w:rsidRPr="00E01239" w:rsidRDefault="005E3A35" w:rsidP="00027669">
      <w:pPr>
        <w:pStyle w:val="Paragraphedeliste"/>
        <w:numPr>
          <w:ilvl w:val="0"/>
          <w:numId w:val="128"/>
        </w:numPr>
        <w:shd w:val="clear" w:color="auto" w:fill="FFFFFF"/>
        <w:spacing w:before="120" w:line="280" w:lineRule="exact"/>
        <w:ind w:right="19"/>
        <w:contextualSpacing w:val="0"/>
        <w:jc w:val="both"/>
        <w:rPr>
          <w:rFonts w:asciiTheme="minorHAnsi" w:hAnsiTheme="minorHAnsi" w:cstheme="minorHAnsi"/>
          <w:sz w:val="22"/>
          <w:szCs w:val="22"/>
        </w:rPr>
      </w:pPr>
      <w:r w:rsidRPr="00E01239">
        <w:rPr>
          <w:rFonts w:asciiTheme="minorHAnsi" w:hAnsiTheme="minorHAnsi" w:cstheme="minorHAnsi"/>
          <w:sz w:val="22"/>
          <w:szCs w:val="22"/>
        </w:rPr>
        <w:t>Revue</w:t>
      </w:r>
      <w:r w:rsidR="001B5DF8" w:rsidRPr="00E01239">
        <w:rPr>
          <w:rFonts w:asciiTheme="minorHAnsi" w:hAnsiTheme="minorHAnsi" w:cstheme="minorHAnsi"/>
          <w:sz w:val="22"/>
          <w:szCs w:val="22"/>
        </w:rPr>
        <w:t xml:space="preserve"> et approbation des études.</w:t>
      </w:r>
    </w:p>
    <w:p w14:paraId="5E3D740F" w14:textId="196B192C" w:rsidR="001B5DF8" w:rsidRPr="00E01239" w:rsidRDefault="3C23D68D" w:rsidP="00027669">
      <w:pPr>
        <w:pStyle w:val="Paragraphedeliste"/>
        <w:numPr>
          <w:ilvl w:val="0"/>
          <w:numId w:val="126"/>
        </w:numPr>
        <w:spacing w:before="120" w:line="280" w:lineRule="exact"/>
        <w:contextualSpacing w:val="0"/>
        <w:jc w:val="both"/>
        <w:rPr>
          <w:rFonts w:asciiTheme="minorHAnsi" w:hAnsiTheme="minorHAnsi" w:cstheme="minorHAnsi"/>
          <w:b/>
          <w:bCs/>
          <w:sz w:val="22"/>
          <w:szCs w:val="22"/>
        </w:rPr>
      </w:pPr>
      <w:r w:rsidRPr="00E01239">
        <w:rPr>
          <w:rFonts w:asciiTheme="minorHAnsi" w:hAnsiTheme="minorHAnsi" w:cstheme="minorBidi"/>
          <w:b/>
          <w:bCs/>
          <w:sz w:val="22"/>
          <w:szCs w:val="22"/>
        </w:rPr>
        <w:t xml:space="preserve">Etape </w:t>
      </w:r>
      <w:r w:rsidR="437DB2D3" w:rsidRPr="00E01239">
        <w:rPr>
          <w:rFonts w:asciiTheme="minorHAnsi" w:hAnsiTheme="minorHAnsi" w:cstheme="minorBidi"/>
          <w:b/>
          <w:bCs/>
          <w:sz w:val="22"/>
          <w:szCs w:val="22"/>
        </w:rPr>
        <w:t>5</w:t>
      </w:r>
      <w:r w:rsidRPr="00E01239">
        <w:rPr>
          <w:rFonts w:asciiTheme="minorHAnsi" w:hAnsiTheme="minorHAnsi" w:cstheme="minorBidi"/>
          <w:b/>
          <w:bCs/>
          <w:sz w:val="22"/>
          <w:szCs w:val="22"/>
        </w:rPr>
        <w:t xml:space="preserve"> : Examen, approbation des rapports de l’EIES/AEI, audiences publiques et diffusion, et Obtention du Certificat de Conformité Environnementale (CCE)</w:t>
      </w:r>
    </w:p>
    <w:p w14:paraId="769A466D" w14:textId="032E233B" w:rsidR="001B5DF8" w:rsidRPr="00E01239" w:rsidRDefault="001B5DF8" w:rsidP="00263B8A">
      <w:pPr>
        <w:shd w:val="clear" w:color="auto" w:fill="FFFFFF"/>
        <w:spacing w:before="120" w:line="280" w:lineRule="exact"/>
        <w:jc w:val="both"/>
        <w:rPr>
          <w:rFonts w:asciiTheme="minorHAnsi" w:hAnsiTheme="minorHAnsi" w:cstheme="minorHAnsi"/>
          <w:sz w:val="22"/>
          <w:szCs w:val="22"/>
        </w:rPr>
      </w:pPr>
      <w:r w:rsidRPr="00E01239">
        <w:rPr>
          <w:rFonts w:asciiTheme="minorHAnsi" w:hAnsiTheme="minorHAnsi" w:cstheme="minorHAnsi"/>
          <w:spacing w:val="-1"/>
          <w:sz w:val="22"/>
          <w:szCs w:val="22"/>
        </w:rPr>
        <w:t xml:space="preserve">En cas de nécessité de réaliser un travail environnemental </w:t>
      </w:r>
      <w:r w:rsidR="00BA3942">
        <w:rPr>
          <w:rFonts w:asciiTheme="minorHAnsi" w:hAnsiTheme="minorHAnsi" w:cstheme="minorHAnsi"/>
          <w:spacing w:val="-1"/>
          <w:sz w:val="22"/>
          <w:szCs w:val="22"/>
        </w:rPr>
        <w:t xml:space="preserve">et social </w:t>
      </w:r>
      <w:r w:rsidRPr="00E01239">
        <w:rPr>
          <w:rFonts w:asciiTheme="minorHAnsi" w:hAnsiTheme="minorHAnsi" w:cstheme="minorHAnsi"/>
          <w:spacing w:val="-1"/>
          <w:sz w:val="22"/>
          <w:szCs w:val="22"/>
        </w:rPr>
        <w:t xml:space="preserve">(EIES/AEI), les rapports </w:t>
      </w:r>
      <w:r w:rsidRPr="00E01239">
        <w:rPr>
          <w:rFonts w:asciiTheme="minorHAnsi" w:hAnsiTheme="minorHAnsi" w:cstheme="minorHAnsi"/>
          <w:spacing w:val="7"/>
          <w:sz w:val="22"/>
          <w:szCs w:val="22"/>
        </w:rPr>
        <w:t xml:space="preserve">d'études environnementales et sociales seront soumis par </w:t>
      </w:r>
      <w:r w:rsidR="00D116B6" w:rsidRPr="00E01239">
        <w:rPr>
          <w:rFonts w:asciiTheme="minorHAnsi" w:hAnsiTheme="minorHAnsi" w:cstheme="minorHAnsi"/>
          <w:spacing w:val="7"/>
          <w:sz w:val="22"/>
          <w:szCs w:val="22"/>
        </w:rPr>
        <w:t>l</w:t>
      </w:r>
      <w:r w:rsidR="0021441C" w:rsidRPr="00E01239">
        <w:rPr>
          <w:rFonts w:asciiTheme="minorHAnsi" w:hAnsiTheme="minorHAnsi" w:cstheme="minorHAnsi"/>
          <w:spacing w:val="7"/>
          <w:sz w:val="22"/>
          <w:szCs w:val="22"/>
        </w:rPr>
        <w:t xml:space="preserve">’UCP </w:t>
      </w:r>
      <w:r w:rsidR="0021441C" w:rsidRPr="00E01239">
        <w:rPr>
          <w:rFonts w:asciiTheme="minorHAnsi" w:hAnsiTheme="minorHAnsi" w:cstheme="minorHAnsi"/>
          <w:sz w:val="22"/>
          <w:szCs w:val="22"/>
        </w:rPr>
        <w:t>FRSP concernée</w:t>
      </w:r>
      <w:r w:rsidRPr="00E01239">
        <w:rPr>
          <w:rFonts w:asciiTheme="minorHAnsi" w:hAnsiTheme="minorHAnsi" w:cstheme="minorHAnsi"/>
          <w:sz w:val="22"/>
          <w:szCs w:val="22"/>
        </w:rPr>
        <w:t xml:space="preserve"> </w:t>
      </w:r>
      <w:r w:rsidRPr="00E01239">
        <w:rPr>
          <w:rFonts w:asciiTheme="minorHAnsi" w:hAnsiTheme="minorHAnsi" w:cstheme="minorHAnsi"/>
          <w:spacing w:val="7"/>
          <w:sz w:val="22"/>
          <w:szCs w:val="22"/>
        </w:rPr>
        <w:t>à l'examen et à l'approbation du comité technique national et de la Banque mondiale</w:t>
      </w:r>
      <w:r w:rsidRPr="00E01239">
        <w:rPr>
          <w:rFonts w:asciiTheme="minorHAnsi" w:hAnsiTheme="minorHAnsi" w:cstheme="minorHAnsi"/>
          <w:spacing w:val="-1"/>
          <w:sz w:val="22"/>
          <w:szCs w:val="22"/>
        </w:rPr>
        <w:t>.</w:t>
      </w:r>
    </w:p>
    <w:p w14:paraId="178CC1C8" w14:textId="77777777" w:rsidR="001B5DF8" w:rsidRPr="00E01239" w:rsidRDefault="001B5DF8" w:rsidP="00263B8A">
      <w:pPr>
        <w:shd w:val="clear" w:color="auto" w:fill="FFFFFF"/>
        <w:spacing w:before="120" w:line="280" w:lineRule="exact"/>
        <w:jc w:val="both"/>
        <w:rPr>
          <w:rFonts w:asciiTheme="minorHAnsi" w:hAnsiTheme="minorHAnsi" w:cstheme="minorHAnsi"/>
          <w:sz w:val="22"/>
          <w:szCs w:val="22"/>
        </w:rPr>
      </w:pPr>
      <w:r w:rsidRPr="00E01239">
        <w:rPr>
          <w:rFonts w:asciiTheme="minorHAnsi" w:hAnsiTheme="minorHAnsi" w:cstheme="minorHAnsi"/>
          <w:spacing w:val="-1"/>
          <w:sz w:val="22"/>
          <w:szCs w:val="22"/>
        </w:rPr>
        <w:t xml:space="preserve">La DEEC en relation avec le Comité technique national institué par Arrêté n°009469 du 28 novembre 2001 </w:t>
      </w:r>
      <w:r w:rsidRPr="00E01239">
        <w:rPr>
          <w:rFonts w:asciiTheme="minorHAnsi" w:hAnsiTheme="minorHAnsi" w:cstheme="minorHAnsi"/>
          <w:sz w:val="22"/>
          <w:szCs w:val="22"/>
        </w:rPr>
        <w:t xml:space="preserve">s'assurera de la recevabilité et de la conformité des rapports vis-à-vis des termes de référence. </w:t>
      </w:r>
    </w:p>
    <w:p w14:paraId="0DF2C4A4" w14:textId="07C33448" w:rsidR="001B5DF8" w:rsidRPr="00E01239" w:rsidRDefault="001B5DF8" w:rsidP="00263B8A">
      <w:pPr>
        <w:shd w:val="clear" w:color="auto" w:fill="FFFFFF"/>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validation des rapports par le comité technique et par les communautés en audience publique constitue les bases réglementaires de délivrance des certificats de conformité délivrés par le </w:t>
      </w:r>
      <w:r w:rsidR="002C7CC2" w:rsidRPr="00E01239">
        <w:rPr>
          <w:rFonts w:asciiTheme="minorHAnsi" w:hAnsiTheme="minorHAnsi" w:cstheme="minorHAnsi"/>
          <w:sz w:val="22"/>
          <w:szCs w:val="22"/>
        </w:rPr>
        <w:t>Ministère</w:t>
      </w:r>
      <w:r w:rsidRPr="00E01239">
        <w:rPr>
          <w:rFonts w:asciiTheme="minorHAnsi" w:hAnsiTheme="minorHAnsi" w:cstheme="minorHAnsi"/>
          <w:sz w:val="22"/>
          <w:szCs w:val="22"/>
        </w:rPr>
        <w:t xml:space="preserve"> chargé de l’Environnement qui dispose d’un délai de quinze jours (Art.8 de l’arrêté 9468) pour les mettre à la disposition du promoteur. </w:t>
      </w:r>
    </w:p>
    <w:p w14:paraId="356E76C9" w14:textId="77777777" w:rsidR="001B5DF8" w:rsidRPr="00E01239" w:rsidRDefault="001B5DF8" w:rsidP="00263B8A">
      <w:pPr>
        <w:shd w:val="clear" w:color="auto" w:fill="FFFFFF"/>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lastRenderedPageBreak/>
        <w:t xml:space="preserve">Le PGES ainsi contenu dans l’EIES/AEI constitue un engagement et une obligation pour le Projet. Un retrait du certificat de conformité peut être décidé par l'autorité compétente en cas de non-respect de ces engagements. </w:t>
      </w:r>
    </w:p>
    <w:p w14:paraId="69CFC121" w14:textId="5ED6E313" w:rsidR="001B5DF8" w:rsidRPr="00E01239" w:rsidRDefault="001B5DF8"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A noter que la législation nationale en matière d’évaluation environnementale </w:t>
      </w:r>
      <w:r w:rsidR="00D71C21">
        <w:rPr>
          <w:rFonts w:asciiTheme="minorHAnsi" w:hAnsiTheme="minorHAnsi" w:cstheme="minorHAnsi"/>
          <w:sz w:val="22"/>
          <w:szCs w:val="22"/>
        </w:rPr>
        <w:t xml:space="preserve">et sociale </w:t>
      </w:r>
      <w:r w:rsidRPr="00E01239">
        <w:rPr>
          <w:rFonts w:asciiTheme="minorHAnsi" w:hAnsiTheme="minorHAnsi" w:cstheme="minorHAnsi"/>
          <w:sz w:val="22"/>
          <w:szCs w:val="22"/>
        </w:rPr>
        <w:t>détermine la procédure de participation du public et la diffusion de l’infirmation.</w:t>
      </w:r>
    </w:p>
    <w:p w14:paraId="6230ED19" w14:textId="77777777" w:rsidR="001B5DF8" w:rsidRPr="00E01239" w:rsidRDefault="001B5DF8"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z w:val="22"/>
          <w:szCs w:val="22"/>
        </w:rPr>
        <w:t xml:space="preserve">Cette procédure </w:t>
      </w:r>
      <w:r w:rsidRPr="00E01239">
        <w:rPr>
          <w:rFonts w:asciiTheme="minorHAnsi" w:hAnsiTheme="minorHAnsi" w:cstheme="minorHAnsi"/>
          <w:spacing w:val="-1"/>
          <w:sz w:val="22"/>
          <w:szCs w:val="22"/>
        </w:rPr>
        <w:t xml:space="preserve">comporte notamment une </w:t>
      </w:r>
      <w:r w:rsidRPr="00E01239">
        <w:rPr>
          <w:rFonts w:asciiTheme="minorHAnsi" w:hAnsiTheme="minorHAnsi" w:cstheme="minorHAnsi"/>
          <w:spacing w:val="7"/>
          <w:sz w:val="22"/>
          <w:szCs w:val="22"/>
        </w:rPr>
        <w:t xml:space="preserve">ou plusieurs réunions de présentation du projet aux parties prenantes (autorités administratives et locales, </w:t>
      </w:r>
      <w:r w:rsidRPr="00E01239">
        <w:rPr>
          <w:rFonts w:asciiTheme="minorHAnsi" w:hAnsiTheme="minorHAnsi" w:cstheme="minorHAnsi"/>
          <w:spacing w:val="1"/>
          <w:sz w:val="22"/>
          <w:szCs w:val="22"/>
        </w:rPr>
        <w:t xml:space="preserve">communautés, organisations de la société civile, etc.). Ces consultations </w:t>
      </w:r>
      <w:r w:rsidRPr="00E01239">
        <w:rPr>
          <w:rFonts w:asciiTheme="minorHAnsi" w:hAnsiTheme="minorHAnsi" w:cstheme="minorHAnsi"/>
          <w:sz w:val="22"/>
          <w:szCs w:val="22"/>
        </w:rPr>
        <w:t xml:space="preserve">permettront d'identifier les différentes préoccupations et recommandations des parties prenantes et de déterminer les modalités de leur prise en compte dans la mise en œuvre des sous-projets. Les </w:t>
      </w:r>
      <w:r w:rsidRPr="00E01239">
        <w:rPr>
          <w:rFonts w:asciiTheme="minorHAnsi" w:hAnsiTheme="minorHAnsi" w:cstheme="minorHAnsi"/>
          <w:spacing w:val="5"/>
          <w:sz w:val="22"/>
          <w:szCs w:val="22"/>
        </w:rPr>
        <w:t xml:space="preserve">résultats de ces consultations seront incorporés dans les rapports diffusés et rendus </w:t>
      </w:r>
      <w:r w:rsidRPr="00E01239">
        <w:rPr>
          <w:rFonts w:asciiTheme="minorHAnsi" w:hAnsiTheme="minorHAnsi" w:cstheme="minorHAnsi"/>
          <w:spacing w:val="-1"/>
          <w:sz w:val="22"/>
          <w:szCs w:val="22"/>
        </w:rPr>
        <w:t>accessibles au public.</w:t>
      </w:r>
    </w:p>
    <w:p w14:paraId="71F97318" w14:textId="66B971AA" w:rsidR="001B5DF8" w:rsidRPr="00E01239" w:rsidRDefault="3C23D68D" w:rsidP="00027669">
      <w:pPr>
        <w:pStyle w:val="Paragraphedeliste"/>
        <w:numPr>
          <w:ilvl w:val="0"/>
          <w:numId w:val="126"/>
        </w:numPr>
        <w:spacing w:before="120" w:line="280" w:lineRule="exact"/>
        <w:contextualSpacing w:val="0"/>
        <w:jc w:val="both"/>
        <w:rPr>
          <w:rFonts w:asciiTheme="minorHAnsi" w:hAnsiTheme="minorHAnsi" w:cstheme="minorHAnsi"/>
          <w:b/>
          <w:bCs/>
          <w:sz w:val="22"/>
          <w:szCs w:val="22"/>
        </w:rPr>
      </w:pPr>
      <w:r w:rsidRPr="00E01239">
        <w:rPr>
          <w:rFonts w:asciiTheme="minorHAnsi" w:hAnsiTheme="minorHAnsi" w:cstheme="minorBidi"/>
          <w:b/>
          <w:bCs/>
          <w:sz w:val="22"/>
          <w:szCs w:val="22"/>
        </w:rPr>
        <w:t xml:space="preserve">Étape </w:t>
      </w:r>
      <w:r w:rsidR="437DB2D3" w:rsidRPr="00E01239">
        <w:rPr>
          <w:rFonts w:asciiTheme="minorHAnsi" w:hAnsiTheme="minorHAnsi" w:cstheme="minorBidi"/>
          <w:b/>
          <w:bCs/>
          <w:sz w:val="22"/>
          <w:szCs w:val="22"/>
        </w:rPr>
        <w:t>6</w:t>
      </w:r>
      <w:r w:rsidRPr="00E01239">
        <w:rPr>
          <w:rFonts w:asciiTheme="minorHAnsi" w:hAnsiTheme="minorHAnsi" w:cstheme="minorBidi"/>
          <w:b/>
          <w:bCs/>
          <w:sz w:val="22"/>
          <w:szCs w:val="22"/>
        </w:rPr>
        <w:t xml:space="preserve"> : Publication du document</w:t>
      </w:r>
    </w:p>
    <w:p w14:paraId="09C1434D" w14:textId="56B08828" w:rsidR="001B5DF8" w:rsidRPr="00E01239" w:rsidRDefault="001B5DF8"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Pour satisfaire aux exigences de la Banque mondiale en matière de consultation des parties prenantes et de diffusion de l’information, le </w:t>
      </w:r>
      <w:r w:rsidR="009369B0" w:rsidRPr="00E01239">
        <w:rPr>
          <w:rFonts w:asciiTheme="minorHAnsi" w:hAnsiTheme="minorHAnsi" w:cstheme="minorHAnsi"/>
          <w:sz w:val="22"/>
          <w:szCs w:val="22"/>
        </w:rPr>
        <w:t xml:space="preserve">FSRP-SN à travers l’UCP concernée </w:t>
      </w:r>
      <w:r w:rsidRPr="00E01239" w:rsidDel="002F1120">
        <w:rPr>
          <w:rFonts w:asciiTheme="minorHAnsi" w:hAnsiTheme="minorHAnsi" w:cstheme="minorHAnsi"/>
          <w:sz w:val="22"/>
          <w:szCs w:val="22"/>
        </w:rPr>
        <w:t>produira</w:t>
      </w:r>
      <w:r w:rsidRPr="00E01239">
        <w:rPr>
          <w:rFonts w:asciiTheme="minorHAnsi" w:hAnsiTheme="minorHAnsi" w:cstheme="minorHAnsi"/>
          <w:sz w:val="22"/>
          <w:szCs w:val="22"/>
        </w:rPr>
        <w:t> :</w:t>
      </w:r>
    </w:p>
    <w:p w14:paraId="563FA3E2" w14:textId="734A79D8" w:rsidR="001B5DF8" w:rsidRPr="00E01239" w:rsidRDefault="00E5380F" w:rsidP="00027669">
      <w:pPr>
        <w:pStyle w:val="Paragraphedeliste"/>
        <w:numPr>
          <w:ilvl w:val="0"/>
          <w:numId w:val="129"/>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Une</w:t>
      </w:r>
      <w:r w:rsidR="001B5DF8" w:rsidRPr="00E01239">
        <w:rPr>
          <w:rFonts w:asciiTheme="minorHAnsi" w:hAnsiTheme="minorHAnsi" w:cstheme="minorHAnsi"/>
          <w:sz w:val="22"/>
          <w:szCs w:val="22"/>
        </w:rPr>
        <w:t xml:space="preserve"> lettre de diffusion dans laquelle elle informera la Banque mondiale de l'approbation des études, </w:t>
      </w:r>
    </w:p>
    <w:p w14:paraId="627EF6CE" w14:textId="0B3153AD" w:rsidR="001B5DF8" w:rsidRPr="00E01239" w:rsidRDefault="00E5380F" w:rsidP="00027669">
      <w:pPr>
        <w:pStyle w:val="Paragraphedeliste"/>
        <w:numPr>
          <w:ilvl w:val="0"/>
          <w:numId w:val="129"/>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Une</w:t>
      </w:r>
      <w:r w:rsidR="001B5DF8" w:rsidRPr="00E01239">
        <w:rPr>
          <w:rFonts w:asciiTheme="minorHAnsi" w:hAnsiTheme="minorHAnsi" w:cstheme="minorHAnsi"/>
          <w:sz w:val="22"/>
          <w:szCs w:val="22"/>
        </w:rPr>
        <w:t xml:space="preserve"> preuve de la diffusion effective de l'ensemble des rapports produits (EIES/AEI) à tous les partenaires concernés et, éventuellement, les personnes susceptibles d'être affectées. </w:t>
      </w:r>
    </w:p>
    <w:p w14:paraId="3BCF37A5" w14:textId="7E63BF3A" w:rsidR="001B5DF8" w:rsidRPr="00E01239" w:rsidRDefault="00E5380F" w:rsidP="00027669">
      <w:pPr>
        <w:pStyle w:val="Paragraphedeliste"/>
        <w:numPr>
          <w:ilvl w:val="0"/>
          <w:numId w:val="129"/>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Une</w:t>
      </w:r>
      <w:r w:rsidR="001B5DF8" w:rsidRPr="00E01239">
        <w:rPr>
          <w:rFonts w:asciiTheme="minorHAnsi" w:hAnsiTheme="minorHAnsi" w:cstheme="minorHAnsi"/>
          <w:sz w:val="22"/>
          <w:szCs w:val="22"/>
        </w:rPr>
        <w:t xml:space="preserve"> autorisation à la Banque mondiale pour que celle-ci procède à la diffusion de ces documents sur son site web. </w:t>
      </w:r>
    </w:p>
    <w:p w14:paraId="1796839E" w14:textId="53AC1ACA" w:rsidR="001B5DF8" w:rsidRPr="00E01239" w:rsidRDefault="3C23D68D" w:rsidP="00027669">
      <w:pPr>
        <w:pStyle w:val="Paragraphedeliste"/>
        <w:numPr>
          <w:ilvl w:val="0"/>
          <w:numId w:val="126"/>
        </w:numPr>
        <w:spacing w:before="120" w:line="280" w:lineRule="exact"/>
        <w:contextualSpacing w:val="0"/>
        <w:jc w:val="both"/>
        <w:rPr>
          <w:rFonts w:asciiTheme="minorHAnsi" w:hAnsiTheme="minorHAnsi" w:cstheme="minorHAnsi"/>
          <w:b/>
          <w:bCs/>
          <w:sz w:val="22"/>
          <w:szCs w:val="22"/>
        </w:rPr>
      </w:pPr>
      <w:r w:rsidRPr="00E01239">
        <w:rPr>
          <w:rFonts w:asciiTheme="minorHAnsi" w:hAnsiTheme="minorHAnsi" w:cstheme="minorBidi"/>
          <w:b/>
          <w:bCs/>
          <w:sz w:val="22"/>
          <w:szCs w:val="22"/>
        </w:rPr>
        <w:t xml:space="preserve">Etape </w:t>
      </w:r>
      <w:r w:rsidR="437DB2D3" w:rsidRPr="00E01239">
        <w:rPr>
          <w:rFonts w:asciiTheme="minorHAnsi" w:hAnsiTheme="minorHAnsi" w:cstheme="minorBidi"/>
          <w:b/>
          <w:bCs/>
          <w:sz w:val="22"/>
          <w:szCs w:val="22"/>
        </w:rPr>
        <w:t>7</w:t>
      </w:r>
      <w:r w:rsidRPr="00E01239">
        <w:rPr>
          <w:rFonts w:asciiTheme="minorHAnsi" w:hAnsiTheme="minorHAnsi" w:cstheme="minorBidi"/>
          <w:b/>
          <w:bCs/>
          <w:sz w:val="22"/>
          <w:szCs w:val="22"/>
        </w:rPr>
        <w:t xml:space="preserve"> : Intégration des dispositions environnementales et sociales dans les Dossiers d'appels d'offres </w:t>
      </w:r>
    </w:p>
    <w:p w14:paraId="0444139A" w14:textId="0C8CA801" w:rsidR="001B5DF8" w:rsidRPr="00E01239" w:rsidRDefault="001B5DF8" w:rsidP="00263B8A">
      <w:pPr>
        <w:shd w:val="clear" w:color="auto" w:fill="FFFFFF"/>
        <w:spacing w:before="120" w:line="280" w:lineRule="exact"/>
        <w:ind w:left="11" w:right="11"/>
        <w:jc w:val="both"/>
        <w:rPr>
          <w:rFonts w:asciiTheme="minorHAnsi" w:hAnsiTheme="minorHAnsi" w:cstheme="minorHAnsi"/>
          <w:spacing w:val="1"/>
          <w:sz w:val="22"/>
          <w:szCs w:val="22"/>
        </w:rPr>
      </w:pPr>
      <w:r w:rsidRPr="00E01239">
        <w:rPr>
          <w:rFonts w:asciiTheme="minorHAnsi" w:hAnsiTheme="minorHAnsi" w:cstheme="minorHAnsi"/>
          <w:spacing w:val="4"/>
          <w:sz w:val="22"/>
          <w:szCs w:val="22"/>
        </w:rPr>
        <w:t>En cas de réalisation d’études spécifiques</w:t>
      </w:r>
      <w:r w:rsidRPr="00E01239">
        <w:rPr>
          <w:rFonts w:asciiTheme="minorHAnsi" w:hAnsiTheme="minorHAnsi" w:cstheme="minorHAnsi"/>
          <w:sz w:val="22"/>
          <w:szCs w:val="22"/>
        </w:rPr>
        <w:t xml:space="preserve">, </w:t>
      </w:r>
      <w:r w:rsidR="009369B0" w:rsidRPr="00E01239">
        <w:rPr>
          <w:rFonts w:asciiTheme="minorHAnsi" w:hAnsiTheme="minorHAnsi" w:cstheme="minorHAnsi"/>
          <w:sz w:val="22"/>
          <w:szCs w:val="22"/>
        </w:rPr>
        <w:t>l</w:t>
      </w:r>
      <w:r w:rsidR="009369B0" w:rsidRPr="00E01239">
        <w:rPr>
          <w:rFonts w:asciiTheme="minorHAnsi" w:hAnsiTheme="minorHAnsi" w:cstheme="minorHAnsi"/>
          <w:bCs/>
          <w:sz w:val="22"/>
          <w:szCs w:val="22"/>
        </w:rPr>
        <w:t>’UCP</w:t>
      </w:r>
      <w:r w:rsidR="0021441C" w:rsidRPr="00E01239">
        <w:rPr>
          <w:rFonts w:asciiTheme="minorHAnsi" w:hAnsiTheme="minorHAnsi" w:cstheme="minorHAnsi"/>
          <w:bCs/>
          <w:sz w:val="22"/>
          <w:szCs w:val="22"/>
        </w:rPr>
        <w:t xml:space="preserve"> </w:t>
      </w:r>
      <w:r w:rsidR="009369B0" w:rsidRPr="00E01239">
        <w:rPr>
          <w:rFonts w:asciiTheme="minorHAnsi" w:hAnsiTheme="minorHAnsi" w:cstheme="minorHAnsi"/>
          <w:bCs/>
          <w:sz w:val="22"/>
          <w:szCs w:val="22"/>
        </w:rPr>
        <w:t>FSRP-SN/MEPA ou l’UCP</w:t>
      </w:r>
      <w:r w:rsidR="0021441C" w:rsidRPr="00E01239">
        <w:rPr>
          <w:rFonts w:asciiTheme="minorHAnsi" w:hAnsiTheme="minorHAnsi" w:cstheme="minorHAnsi"/>
          <w:bCs/>
          <w:sz w:val="22"/>
          <w:szCs w:val="22"/>
        </w:rPr>
        <w:t xml:space="preserve"> </w:t>
      </w:r>
      <w:r w:rsidR="009369B0" w:rsidRPr="00E01239">
        <w:rPr>
          <w:rFonts w:asciiTheme="minorHAnsi" w:hAnsiTheme="minorHAnsi" w:cstheme="minorHAnsi"/>
          <w:bCs/>
          <w:sz w:val="22"/>
          <w:szCs w:val="22"/>
        </w:rPr>
        <w:t xml:space="preserve">FSRP-SN/MAERSA </w:t>
      </w:r>
      <w:r w:rsidRPr="00E01239">
        <w:rPr>
          <w:rFonts w:asciiTheme="minorHAnsi" w:hAnsiTheme="minorHAnsi" w:cstheme="minorHAnsi"/>
          <w:sz w:val="22"/>
          <w:szCs w:val="22"/>
        </w:rPr>
        <w:t>veillera</w:t>
      </w:r>
      <w:r w:rsidRPr="00E01239">
        <w:rPr>
          <w:rFonts w:asciiTheme="minorHAnsi" w:hAnsiTheme="minorHAnsi" w:cstheme="minorHAnsi"/>
          <w:spacing w:val="4"/>
          <w:sz w:val="22"/>
          <w:szCs w:val="22"/>
        </w:rPr>
        <w:t xml:space="preserve"> à intégrer les </w:t>
      </w:r>
      <w:r w:rsidRPr="00E01239">
        <w:rPr>
          <w:rFonts w:asciiTheme="minorHAnsi" w:hAnsiTheme="minorHAnsi" w:cstheme="minorHAnsi"/>
          <w:spacing w:val="3"/>
          <w:sz w:val="22"/>
          <w:szCs w:val="22"/>
        </w:rPr>
        <w:t xml:space="preserve">dispositions (clauses, bordereau des prix, etc.) et autres mesures de gestion environnementale et sociale issues de ces </w:t>
      </w:r>
      <w:r w:rsidRPr="00E01239">
        <w:rPr>
          <w:rFonts w:asciiTheme="minorHAnsi" w:hAnsiTheme="minorHAnsi" w:cstheme="minorHAnsi"/>
          <w:spacing w:val="1"/>
          <w:sz w:val="22"/>
          <w:szCs w:val="22"/>
        </w:rPr>
        <w:t>études dans les dossiers d'appel d'offres et d'exécution des travaux par les entreprises. Des clauses contraignantes devraient être ressorties avec des sanctions</w:t>
      </w:r>
      <w:r w:rsidR="00295649" w:rsidRPr="00E01239">
        <w:rPr>
          <w:rFonts w:asciiTheme="minorHAnsi" w:hAnsiTheme="minorHAnsi" w:cstheme="minorHAnsi"/>
          <w:spacing w:val="1"/>
          <w:sz w:val="22"/>
          <w:szCs w:val="22"/>
        </w:rPr>
        <w:t xml:space="preserve"> (</w:t>
      </w:r>
      <w:r w:rsidR="005C7094" w:rsidRPr="00E01239">
        <w:rPr>
          <w:rFonts w:asciiTheme="minorHAnsi" w:hAnsiTheme="minorHAnsi" w:cstheme="minorHAnsi"/>
          <w:spacing w:val="1"/>
          <w:sz w:val="22"/>
          <w:szCs w:val="22"/>
        </w:rPr>
        <w:t>financières)</w:t>
      </w:r>
      <w:r w:rsidRPr="00E01239">
        <w:rPr>
          <w:rFonts w:asciiTheme="minorHAnsi" w:hAnsiTheme="minorHAnsi" w:cstheme="minorHAnsi"/>
          <w:spacing w:val="1"/>
          <w:sz w:val="22"/>
          <w:szCs w:val="22"/>
        </w:rPr>
        <w:t xml:space="preserve"> en cas de non-conformité notamment dans la mise en œuvre des plans spécifiques.</w:t>
      </w:r>
    </w:p>
    <w:p w14:paraId="42B0AE32" w14:textId="1DAF6407" w:rsidR="001B5DF8" w:rsidRPr="00E01239" w:rsidRDefault="001B5DF8" w:rsidP="00263B8A">
      <w:pPr>
        <w:shd w:val="clear" w:color="auto" w:fill="FFFFFF"/>
        <w:spacing w:before="120" w:line="280" w:lineRule="exact"/>
        <w:ind w:left="11" w:right="11"/>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L’UCP </w:t>
      </w:r>
      <w:r w:rsidR="009369B0" w:rsidRPr="00E01239">
        <w:rPr>
          <w:rFonts w:asciiTheme="minorHAnsi" w:hAnsiTheme="minorHAnsi" w:cstheme="minorHAnsi"/>
          <w:spacing w:val="1"/>
          <w:sz w:val="22"/>
          <w:szCs w:val="22"/>
        </w:rPr>
        <w:t>concernée</w:t>
      </w:r>
      <w:r w:rsidRPr="00E01239">
        <w:rPr>
          <w:rFonts w:asciiTheme="minorHAnsi" w:hAnsiTheme="minorHAnsi" w:cstheme="minorHAnsi"/>
          <w:spacing w:val="1"/>
          <w:sz w:val="22"/>
          <w:szCs w:val="22"/>
        </w:rPr>
        <w:t xml:space="preserve"> ne pourra publier un dossier d’appel d’offres de sous-projet que lorsque toutes les prescriptions environnementales et sociales à mettre en œuvre par les entreprises sont intégrées dans le DAO.</w:t>
      </w:r>
    </w:p>
    <w:p w14:paraId="0F17974C" w14:textId="0B15E211" w:rsidR="001B5DF8" w:rsidRPr="00E01239" w:rsidRDefault="3C23D68D" w:rsidP="00027669">
      <w:pPr>
        <w:pStyle w:val="Paragraphedeliste"/>
        <w:numPr>
          <w:ilvl w:val="0"/>
          <w:numId w:val="126"/>
        </w:numPr>
        <w:spacing w:before="120" w:line="280" w:lineRule="exact"/>
        <w:contextualSpacing w:val="0"/>
        <w:jc w:val="both"/>
        <w:rPr>
          <w:rFonts w:asciiTheme="minorHAnsi" w:hAnsiTheme="minorHAnsi" w:cstheme="minorHAnsi"/>
          <w:b/>
          <w:bCs/>
          <w:sz w:val="22"/>
          <w:szCs w:val="22"/>
        </w:rPr>
      </w:pPr>
      <w:r w:rsidRPr="00E01239">
        <w:rPr>
          <w:rFonts w:asciiTheme="minorHAnsi" w:hAnsiTheme="minorHAnsi" w:cstheme="minorBidi"/>
          <w:b/>
          <w:bCs/>
          <w:sz w:val="22"/>
          <w:szCs w:val="22"/>
        </w:rPr>
        <w:t xml:space="preserve">Etape </w:t>
      </w:r>
      <w:r w:rsidR="437DB2D3" w:rsidRPr="00E01239">
        <w:rPr>
          <w:rFonts w:asciiTheme="minorHAnsi" w:hAnsiTheme="minorHAnsi" w:cstheme="minorBidi"/>
          <w:b/>
          <w:bCs/>
          <w:sz w:val="22"/>
          <w:szCs w:val="22"/>
        </w:rPr>
        <w:t>8</w:t>
      </w:r>
      <w:r w:rsidRPr="00E01239">
        <w:rPr>
          <w:rFonts w:asciiTheme="minorHAnsi" w:hAnsiTheme="minorHAnsi" w:cstheme="minorBidi"/>
          <w:b/>
          <w:bCs/>
          <w:sz w:val="22"/>
          <w:szCs w:val="22"/>
        </w:rPr>
        <w:t xml:space="preserve"> : Approbation du PGES-Chantier (incluant ses annexes notamment le Plan de Gestion des Déchets, le Plan Santé- Sécurité, etc.)</w:t>
      </w:r>
    </w:p>
    <w:p w14:paraId="1713FE00" w14:textId="77777777" w:rsidR="001B5DF8" w:rsidRPr="00E01239" w:rsidRDefault="001B5DF8"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Avant le démarrage des travaux, l’entreprise devrait soumettre à la mission de contrôle les documents suivants :</w:t>
      </w:r>
    </w:p>
    <w:p w14:paraId="75041319" w14:textId="618E6663" w:rsidR="001B5DF8" w:rsidRPr="00E01239" w:rsidRDefault="005C7094" w:rsidP="00027669">
      <w:pPr>
        <w:pStyle w:val="Paragraphedeliste"/>
        <w:numPr>
          <w:ilvl w:val="0"/>
          <w:numId w:val="130"/>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pacing w:val="1"/>
          <w:sz w:val="22"/>
          <w:szCs w:val="22"/>
        </w:rPr>
        <w:t>Un</w:t>
      </w:r>
      <w:r w:rsidR="001B5DF8" w:rsidRPr="00E01239">
        <w:rPr>
          <w:rFonts w:asciiTheme="minorHAnsi" w:hAnsiTheme="minorHAnsi" w:cstheme="minorHAnsi"/>
          <w:spacing w:val="1"/>
          <w:sz w:val="22"/>
          <w:szCs w:val="22"/>
        </w:rPr>
        <w:t xml:space="preserve"> Plan de Gestion Environnementale et Sociale de chantier (PGES-Chantier), </w:t>
      </w:r>
    </w:p>
    <w:p w14:paraId="77D395B9" w14:textId="43FD8811" w:rsidR="00C06187" w:rsidRPr="00E01239" w:rsidRDefault="00C06187" w:rsidP="00C06187">
      <w:pPr>
        <w:pStyle w:val="Paragraphedeliste"/>
        <w:numPr>
          <w:ilvl w:val="0"/>
          <w:numId w:val="130"/>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Un Plan d’Intégration Sociale et Genre (PISG) comprenant la gestion des risques d’exploitation et abus sexuels et harcèlement sexuel, </w:t>
      </w:r>
    </w:p>
    <w:p w14:paraId="7B39F644" w14:textId="2EFAD75B" w:rsidR="001B5DF8" w:rsidRPr="00E01239" w:rsidRDefault="4475E13F" w:rsidP="00027669">
      <w:pPr>
        <w:pStyle w:val="Paragraphedeliste"/>
        <w:numPr>
          <w:ilvl w:val="0"/>
          <w:numId w:val="130"/>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Bidi"/>
          <w:sz w:val="22"/>
          <w:szCs w:val="22"/>
        </w:rPr>
        <w:t>Un</w:t>
      </w:r>
      <w:r w:rsidR="3C23D68D" w:rsidRPr="00E01239">
        <w:rPr>
          <w:rFonts w:asciiTheme="minorHAnsi" w:hAnsiTheme="minorHAnsi" w:cstheme="minorBidi"/>
          <w:sz w:val="22"/>
          <w:szCs w:val="22"/>
        </w:rPr>
        <w:t xml:space="preserve"> Plan de Gestion des Déchets (PGD), </w:t>
      </w:r>
    </w:p>
    <w:p w14:paraId="79A99053" w14:textId="68248D68" w:rsidR="001B5DF8" w:rsidRPr="00E01239" w:rsidRDefault="4475E13F" w:rsidP="00027669">
      <w:pPr>
        <w:pStyle w:val="Paragraphedeliste"/>
        <w:numPr>
          <w:ilvl w:val="0"/>
          <w:numId w:val="130"/>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Bidi"/>
          <w:sz w:val="22"/>
          <w:szCs w:val="22"/>
        </w:rPr>
        <w:t>Et</w:t>
      </w:r>
      <w:r w:rsidR="3C23D68D" w:rsidRPr="00E01239">
        <w:rPr>
          <w:rFonts w:asciiTheme="minorHAnsi" w:hAnsiTheme="minorHAnsi" w:cstheme="minorBidi"/>
          <w:sz w:val="22"/>
          <w:szCs w:val="22"/>
        </w:rPr>
        <w:t xml:space="preserve"> un Plan Santé Sécurité. </w:t>
      </w:r>
    </w:p>
    <w:p w14:paraId="7912C9A5" w14:textId="220B244F" w:rsidR="001B5DF8" w:rsidRPr="00E01239" w:rsidRDefault="001B5DF8"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Après validation de ces plans par la mission de contrôle, ces documents devront être mis en œuvre par l’entreprise conformément aux prescriptions environnementales</w:t>
      </w:r>
      <w:r w:rsidR="00AD6863" w:rsidRPr="00E01239">
        <w:rPr>
          <w:rFonts w:asciiTheme="minorHAnsi" w:hAnsiTheme="minorHAnsi" w:cstheme="minorHAnsi"/>
          <w:sz w:val="22"/>
          <w:szCs w:val="22"/>
        </w:rPr>
        <w:t xml:space="preserve"> et sociales</w:t>
      </w:r>
      <w:r w:rsidRPr="00E01239">
        <w:rPr>
          <w:rFonts w:asciiTheme="minorHAnsi" w:hAnsiTheme="minorHAnsi" w:cstheme="minorHAnsi"/>
          <w:sz w:val="22"/>
          <w:szCs w:val="22"/>
        </w:rPr>
        <w:t xml:space="preserve"> contenues dans le DAO. </w:t>
      </w:r>
      <w:r w:rsidRPr="00E01239">
        <w:rPr>
          <w:rFonts w:asciiTheme="minorHAnsi" w:hAnsiTheme="minorHAnsi" w:cstheme="minorHAnsi"/>
          <w:sz w:val="22"/>
          <w:szCs w:val="22"/>
        </w:rPr>
        <w:lastRenderedPageBreak/>
        <w:t>Des rapports de surveillance mensuelle devront être élaborés par la mission de contrôle pour le suivi des indicateurs environnementaux et sociaux. Ils seront partagés avec l’UCP</w:t>
      </w:r>
      <w:r w:rsidR="009369B0" w:rsidRPr="00E01239">
        <w:rPr>
          <w:rFonts w:asciiTheme="minorHAnsi" w:hAnsiTheme="minorHAnsi" w:cstheme="minorHAnsi"/>
          <w:sz w:val="22"/>
          <w:szCs w:val="22"/>
        </w:rPr>
        <w:t xml:space="preserve"> concernée</w:t>
      </w:r>
      <w:r w:rsidRPr="00E01239">
        <w:rPr>
          <w:rFonts w:asciiTheme="minorHAnsi" w:hAnsiTheme="minorHAnsi" w:cstheme="minorHAnsi"/>
          <w:sz w:val="22"/>
          <w:szCs w:val="22"/>
        </w:rPr>
        <w:t xml:space="preserve"> qui se chargera de les transmettre à la Banque </w:t>
      </w:r>
      <w:r w:rsidR="007A5946">
        <w:rPr>
          <w:rFonts w:asciiTheme="minorHAnsi" w:hAnsiTheme="minorHAnsi" w:cstheme="minorHAnsi"/>
          <w:sz w:val="22"/>
          <w:szCs w:val="22"/>
        </w:rPr>
        <w:t>m</w:t>
      </w:r>
      <w:r w:rsidRPr="00E01239">
        <w:rPr>
          <w:rFonts w:asciiTheme="minorHAnsi" w:hAnsiTheme="minorHAnsi" w:cstheme="minorHAnsi"/>
          <w:sz w:val="22"/>
          <w:szCs w:val="22"/>
        </w:rPr>
        <w:t>ondiale.</w:t>
      </w:r>
    </w:p>
    <w:p w14:paraId="339CEA92" w14:textId="5D51B655" w:rsidR="009369B0" w:rsidRPr="00E01239" w:rsidRDefault="009369B0"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Toutes les recommandations qui ressortiront des missions de supervision de la Banque mondiale et retranscrites dans les aide-mémoires devront être mises en œuvre par les entités concernées (entreprises, missions de contrôle, UCP, </w:t>
      </w:r>
      <w:r w:rsidR="005C7094" w:rsidRPr="00E01239">
        <w:rPr>
          <w:rFonts w:asciiTheme="minorHAnsi" w:hAnsiTheme="minorHAnsi" w:cstheme="minorHAnsi"/>
          <w:sz w:val="22"/>
          <w:szCs w:val="22"/>
        </w:rPr>
        <w:t>etc.</w:t>
      </w:r>
      <w:r w:rsidRPr="00E01239">
        <w:rPr>
          <w:rFonts w:asciiTheme="minorHAnsi" w:hAnsiTheme="minorHAnsi" w:cstheme="minorHAnsi"/>
          <w:sz w:val="22"/>
          <w:szCs w:val="22"/>
        </w:rPr>
        <w:t>).</w:t>
      </w:r>
    </w:p>
    <w:p w14:paraId="30133848" w14:textId="4356B9E8" w:rsidR="001B5DF8" w:rsidRPr="00E01239" w:rsidRDefault="3C23D68D" w:rsidP="00027669">
      <w:pPr>
        <w:pStyle w:val="Paragraphedeliste"/>
        <w:numPr>
          <w:ilvl w:val="0"/>
          <w:numId w:val="126"/>
        </w:numPr>
        <w:spacing w:before="120" w:line="280" w:lineRule="exact"/>
        <w:contextualSpacing w:val="0"/>
        <w:jc w:val="both"/>
        <w:rPr>
          <w:rFonts w:asciiTheme="minorHAnsi" w:hAnsiTheme="minorHAnsi" w:cstheme="minorHAnsi"/>
          <w:b/>
          <w:bCs/>
          <w:sz w:val="22"/>
          <w:szCs w:val="22"/>
        </w:rPr>
      </w:pPr>
      <w:r w:rsidRPr="00E01239">
        <w:rPr>
          <w:rFonts w:asciiTheme="minorHAnsi" w:hAnsiTheme="minorHAnsi" w:cstheme="minorBidi"/>
          <w:b/>
          <w:bCs/>
          <w:sz w:val="22"/>
          <w:szCs w:val="22"/>
        </w:rPr>
        <w:t xml:space="preserve">Etape </w:t>
      </w:r>
      <w:r w:rsidR="437DB2D3" w:rsidRPr="00E01239">
        <w:rPr>
          <w:rFonts w:asciiTheme="minorHAnsi" w:hAnsiTheme="minorHAnsi" w:cstheme="minorBidi"/>
          <w:b/>
          <w:bCs/>
          <w:sz w:val="22"/>
          <w:szCs w:val="22"/>
        </w:rPr>
        <w:t>9</w:t>
      </w:r>
      <w:r w:rsidRPr="00E01239">
        <w:rPr>
          <w:rFonts w:asciiTheme="minorHAnsi" w:hAnsiTheme="minorHAnsi" w:cstheme="minorBidi"/>
          <w:b/>
          <w:bCs/>
          <w:sz w:val="22"/>
          <w:szCs w:val="22"/>
        </w:rPr>
        <w:t xml:space="preserve"> : S</w:t>
      </w:r>
      <w:r w:rsidR="00AB0079">
        <w:rPr>
          <w:rFonts w:asciiTheme="minorHAnsi" w:hAnsiTheme="minorHAnsi" w:cstheme="minorBidi"/>
          <w:b/>
          <w:bCs/>
          <w:sz w:val="22"/>
          <w:szCs w:val="22"/>
        </w:rPr>
        <w:t>urveillance et s</w:t>
      </w:r>
      <w:r w:rsidRPr="00E01239">
        <w:rPr>
          <w:rFonts w:asciiTheme="minorHAnsi" w:hAnsiTheme="minorHAnsi" w:cstheme="minorBidi"/>
          <w:b/>
          <w:bCs/>
          <w:sz w:val="22"/>
          <w:szCs w:val="22"/>
        </w:rPr>
        <w:t xml:space="preserve">uivi environnemental </w:t>
      </w:r>
      <w:r w:rsidR="00E16410">
        <w:rPr>
          <w:rFonts w:asciiTheme="minorHAnsi" w:hAnsiTheme="minorHAnsi" w:cstheme="minorBidi"/>
          <w:b/>
          <w:bCs/>
          <w:sz w:val="22"/>
          <w:szCs w:val="22"/>
        </w:rPr>
        <w:t xml:space="preserve">et social </w:t>
      </w:r>
      <w:r w:rsidRPr="00E01239">
        <w:rPr>
          <w:rFonts w:asciiTheme="minorHAnsi" w:hAnsiTheme="minorHAnsi" w:cstheme="minorBidi"/>
          <w:b/>
          <w:bCs/>
          <w:sz w:val="22"/>
          <w:szCs w:val="22"/>
        </w:rPr>
        <w:t>de la mise en œuvre du projet</w:t>
      </w:r>
    </w:p>
    <w:p w14:paraId="6C6301FD" w14:textId="77777777" w:rsidR="001B5DF8" w:rsidRPr="00E01239" w:rsidRDefault="001B5DF8" w:rsidP="00263B8A">
      <w:pPr>
        <w:shd w:val="clear" w:color="auto" w:fill="FFFFFF"/>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 suivi environnemental et social permet de vérifier et d'apprécier la pertinence, l'effectivité et l'efficacité de la mise en œuvre des mesures environnementales et sociales, hygiène, santé et sécurité du Projet.</w:t>
      </w:r>
    </w:p>
    <w:p w14:paraId="2D502CF7" w14:textId="0E4D16C2" w:rsidR="001B5DF8" w:rsidRPr="00E01239" w:rsidRDefault="001B5DF8" w:rsidP="00263B8A">
      <w:pPr>
        <w:shd w:val="clear" w:color="auto" w:fill="FFFFFF"/>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La supervision au niveau national sera assurée par </w:t>
      </w:r>
      <w:r w:rsidR="009369B0" w:rsidRPr="00E01239">
        <w:rPr>
          <w:rFonts w:asciiTheme="minorHAnsi" w:hAnsiTheme="minorHAnsi" w:cstheme="minorHAnsi"/>
          <w:bCs/>
          <w:sz w:val="22"/>
          <w:szCs w:val="22"/>
        </w:rPr>
        <w:t>l’UCP</w:t>
      </w:r>
      <w:r w:rsidR="0021441C" w:rsidRPr="00E01239">
        <w:rPr>
          <w:rFonts w:asciiTheme="minorHAnsi" w:hAnsiTheme="minorHAnsi" w:cstheme="minorHAnsi"/>
          <w:bCs/>
          <w:sz w:val="22"/>
          <w:szCs w:val="22"/>
        </w:rPr>
        <w:t xml:space="preserve"> </w:t>
      </w:r>
      <w:r w:rsidR="009369B0" w:rsidRPr="00E01239">
        <w:rPr>
          <w:rFonts w:asciiTheme="minorHAnsi" w:hAnsiTheme="minorHAnsi" w:cstheme="minorHAnsi"/>
          <w:bCs/>
          <w:sz w:val="22"/>
          <w:szCs w:val="22"/>
        </w:rPr>
        <w:t>FSRP/MEPA et l’UCP</w:t>
      </w:r>
      <w:r w:rsidR="0021441C" w:rsidRPr="00E01239">
        <w:rPr>
          <w:rFonts w:asciiTheme="minorHAnsi" w:hAnsiTheme="minorHAnsi" w:cstheme="minorHAnsi"/>
          <w:bCs/>
          <w:sz w:val="22"/>
          <w:szCs w:val="22"/>
        </w:rPr>
        <w:t xml:space="preserve"> </w:t>
      </w:r>
      <w:r w:rsidR="009369B0" w:rsidRPr="00E01239">
        <w:rPr>
          <w:rFonts w:asciiTheme="minorHAnsi" w:hAnsiTheme="minorHAnsi" w:cstheme="minorHAnsi"/>
          <w:bCs/>
          <w:sz w:val="22"/>
          <w:szCs w:val="22"/>
        </w:rPr>
        <w:t>/FSRP/MAERSA</w:t>
      </w:r>
      <w:r w:rsidRPr="00E01239">
        <w:rPr>
          <w:rFonts w:asciiTheme="minorHAnsi" w:hAnsiTheme="minorHAnsi" w:cstheme="minorHAnsi"/>
          <w:spacing w:val="-1"/>
          <w:sz w:val="22"/>
          <w:szCs w:val="22"/>
        </w:rPr>
        <w:t>. Elle a la responsabilité de produire les rapports trimestriels sur la conformité environnementale et sociale du projet. Le projet partagera ces rapports avec la Banque mondiale et la DEEC.</w:t>
      </w:r>
    </w:p>
    <w:p w14:paraId="77D9C27D" w14:textId="3BF6B7AC" w:rsidR="001B5DF8" w:rsidRPr="00E01239" w:rsidRDefault="001B5DF8" w:rsidP="00263B8A">
      <w:pPr>
        <w:shd w:val="clear" w:color="auto" w:fill="FFFFFF"/>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Au cours des travaux, la surveillance de proximité sera faite par la mission de contrôle qui sera recrutée par le projet. Ainsi, </w:t>
      </w:r>
      <w:r w:rsidR="009369B0" w:rsidRPr="00E01239">
        <w:rPr>
          <w:rFonts w:asciiTheme="minorHAnsi" w:hAnsiTheme="minorHAnsi" w:cstheme="minorHAnsi"/>
          <w:bCs/>
          <w:sz w:val="22"/>
          <w:szCs w:val="22"/>
        </w:rPr>
        <w:t>l’UCP</w:t>
      </w:r>
      <w:r w:rsidR="0021441C" w:rsidRPr="00E01239">
        <w:rPr>
          <w:rFonts w:asciiTheme="minorHAnsi" w:hAnsiTheme="minorHAnsi" w:cstheme="minorHAnsi"/>
          <w:bCs/>
          <w:sz w:val="22"/>
          <w:szCs w:val="22"/>
        </w:rPr>
        <w:t xml:space="preserve"> </w:t>
      </w:r>
      <w:r w:rsidR="009369B0" w:rsidRPr="00E01239">
        <w:rPr>
          <w:rFonts w:asciiTheme="minorHAnsi" w:hAnsiTheme="minorHAnsi" w:cstheme="minorHAnsi"/>
          <w:bCs/>
          <w:sz w:val="22"/>
          <w:szCs w:val="22"/>
        </w:rPr>
        <w:t>FSRP/MEPA et l’UCP</w:t>
      </w:r>
      <w:r w:rsidR="0021441C" w:rsidRPr="00E01239">
        <w:rPr>
          <w:rFonts w:asciiTheme="minorHAnsi" w:hAnsiTheme="minorHAnsi" w:cstheme="minorHAnsi"/>
          <w:bCs/>
          <w:sz w:val="22"/>
          <w:szCs w:val="22"/>
        </w:rPr>
        <w:t xml:space="preserve"> </w:t>
      </w:r>
      <w:r w:rsidR="009369B0" w:rsidRPr="00E01239">
        <w:rPr>
          <w:rFonts w:asciiTheme="minorHAnsi" w:hAnsiTheme="minorHAnsi" w:cstheme="minorHAnsi"/>
          <w:bCs/>
          <w:sz w:val="22"/>
          <w:szCs w:val="22"/>
        </w:rPr>
        <w:t xml:space="preserve">/FSRP/MAERSA </w:t>
      </w:r>
      <w:r w:rsidRPr="00E01239">
        <w:rPr>
          <w:rFonts w:asciiTheme="minorHAnsi" w:hAnsiTheme="minorHAnsi" w:cstheme="minorHAnsi"/>
          <w:spacing w:val="-1"/>
          <w:sz w:val="22"/>
          <w:szCs w:val="22"/>
        </w:rPr>
        <w:t xml:space="preserve">veilleront à ce que les experts dédiés de la </w:t>
      </w:r>
      <w:proofErr w:type="spellStart"/>
      <w:r w:rsidRPr="00E01239">
        <w:rPr>
          <w:rFonts w:asciiTheme="minorHAnsi" w:hAnsiTheme="minorHAnsi" w:cstheme="minorHAnsi"/>
          <w:spacing w:val="-1"/>
          <w:sz w:val="22"/>
          <w:szCs w:val="22"/>
        </w:rPr>
        <w:t>MdC</w:t>
      </w:r>
      <w:proofErr w:type="spellEnd"/>
      <w:r w:rsidRPr="00E01239">
        <w:rPr>
          <w:rFonts w:asciiTheme="minorHAnsi" w:hAnsiTheme="minorHAnsi" w:cstheme="minorHAnsi"/>
          <w:spacing w:val="-1"/>
          <w:sz w:val="22"/>
          <w:szCs w:val="22"/>
        </w:rPr>
        <w:t xml:space="preserve"> soient mobilisés. </w:t>
      </w:r>
    </w:p>
    <w:p w14:paraId="78072F8A" w14:textId="77777777" w:rsidR="001B5DF8" w:rsidRPr="00E01239" w:rsidRDefault="001B5DF8" w:rsidP="00263B8A">
      <w:pPr>
        <w:shd w:val="clear" w:color="auto" w:fill="FFFFFF"/>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Cette obligation doit être incluse dans les termes de référence de la </w:t>
      </w:r>
      <w:proofErr w:type="spellStart"/>
      <w:r w:rsidRPr="00E01239">
        <w:rPr>
          <w:rFonts w:asciiTheme="minorHAnsi" w:hAnsiTheme="minorHAnsi" w:cstheme="minorHAnsi"/>
          <w:spacing w:val="-1"/>
          <w:sz w:val="22"/>
          <w:szCs w:val="22"/>
        </w:rPr>
        <w:t>MdC</w:t>
      </w:r>
      <w:proofErr w:type="spellEnd"/>
      <w:r w:rsidRPr="00E01239">
        <w:rPr>
          <w:rFonts w:asciiTheme="minorHAnsi" w:hAnsiTheme="minorHAnsi" w:cstheme="minorHAnsi"/>
          <w:spacing w:val="-1"/>
          <w:sz w:val="22"/>
          <w:szCs w:val="22"/>
        </w:rPr>
        <w:t>.</w:t>
      </w:r>
    </w:p>
    <w:p w14:paraId="46B7C455" w14:textId="77777777" w:rsidR="001B5DF8" w:rsidRPr="00E01239" w:rsidRDefault="001B5DF8" w:rsidP="00263B8A">
      <w:pPr>
        <w:shd w:val="clear" w:color="auto" w:fill="FFFFFF"/>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Le suivi externe national/local sera effectué par les comités régionaux de suivi environnemental (CRSE) dont le mandat régalien est de suivre la conformité environnementale et sociale des sous-projets par rapport à la règlementation nationale. </w:t>
      </w:r>
    </w:p>
    <w:p w14:paraId="12F3CCD2" w14:textId="207CBD0C" w:rsidR="001B5DF8" w:rsidRPr="00E01239" w:rsidRDefault="001B5DF8" w:rsidP="00263B8A">
      <w:pPr>
        <w:shd w:val="clear" w:color="auto" w:fill="FFFFFF"/>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La Banque </w:t>
      </w:r>
      <w:r w:rsidR="00DF3008">
        <w:rPr>
          <w:rFonts w:asciiTheme="minorHAnsi" w:hAnsiTheme="minorHAnsi" w:cstheme="minorHAnsi"/>
          <w:spacing w:val="-1"/>
          <w:sz w:val="22"/>
          <w:szCs w:val="22"/>
        </w:rPr>
        <w:t>m</w:t>
      </w:r>
      <w:r w:rsidRPr="00E01239">
        <w:rPr>
          <w:rFonts w:asciiTheme="minorHAnsi" w:hAnsiTheme="minorHAnsi" w:cstheme="minorHAnsi"/>
          <w:spacing w:val="-1"/>
          <w:sz w:val="22"/>
          <w:szCs w:val="22"/>
        </w:rPr>
        <w:t>ondiale assurera le rôle de supervision de la mise en œuvre des sous-projets incluant les questions environnementales et sociales.</w:t>
      </w:r>
    </w:p>
    <w:p w14:paraId="2E0542E5" w14:textId="34424432" w:rsidR="001B5DF8" w:rsidRPr="00E01239" w:rsidRDefault="001B5DF8" w:rsidP="00263B8A">
      <w:pPr>
        <w:pStyle w:val="Lgende"/>
        <w:spacing w:before="120" w:line="280" w:lineRule="exact"/>
        <w:jc w:val="both"/>
        <w:rPr>
          <w:rFonts w:asciiTheme="minorHAnsi" w:hAnsiTheme="minorHAnsi" w:cstheme="minorHAnsi"/>
          <w:b w:val="0"/>
          <w:bCs w:val="0"/>
          <w:sz w:val="22"/>
          <w:szCs w:val="22"/>
        </w:rPr>
      </w:pPr>
      <w:r w:rsidRPr="00E01239">
        <w:rPr>
          <w:rFonts w:asciiTheme="minorHAnsi" w:hAnsiTheme="minorHAnsi" w:cstheme="minorHAnsi"/>
          <w:spacing w:val="-1"/>
          <w:sz w:val="22"/>
          <w:szCs w:val="22"/>
        </w:rPr>
        <w:t xml:space="preserve">Des évaluations de la mise en œuvre du CGES seront faites à mi-parcours et à la fin ; elles seront effectuées par un Consultant Indépendant recruté par </w:t>
      </w:r>
      <w:r w:rsidR="00815182" w:rsidRPr="00E01239">
        <w:rPr>
          <w:rFonts w:asciiTheme="minorHAnsi" w:hAnsiTheme="minorHAnsi" w:cstheme="minorHAnsi"/>
          <w:spacing w:val="-1"/>
          <w:sz w:val="22"/>
          <w:szCs w:val="22"/>
        </w:rPr>
        <w:t>les UCP.</w:t>
      </w:r>
    </w:p>
    <w:p w14:paraId="5EA080C4" w14:textId="5FD14D79" w:rsidR="00815182" w:rsidRPr="00E01239" w:rsidRDefault="001B5DF8" w:rsidP="00263B8A">
      <w:pPr>
        <w:spacing w:before="120" w:line="280" w:lineRule="exact"/>
        <w:rPr>
          <w:rFonts w:asciiTheme="minorHAnsi" w:hAnsiTheme="minorHAnsi" w:cstheme="minorHAnsi"/>
          <w:sz w:val="22"/>
          <w:szCs w:val="22"/>
        </w:rPr>
      </w:pPr>
      <w:r w:rsidRPr="00E01239">
        <w:rPr>
          <w:rFonts w:asciiTheme="minorHAnsi" w:hAnsiTheme="minorHAnsi" w:cstheme="minorHAnsi"/>
          <w:sz w:val="22"/>
          <w:szCs w:val="22"/>
        </w:rPr>
        <w:t xml:space="preserve">La figure </w:t>
      </w:r>
      <w:r w:rsidR="00F73EAB" w:rsidRPr="00E01239">
        <w:rPr>
          <w:rFonts w:asciiTheme="minorHAnsi" w:hAnsiTheme="minorHAnsi" w:cstheme="minorHAnsi"/>
          <w:sz w:val="22"/>
          <w:szCs w:val="22"/>
        </w:rPr>
        <w:t xml:space="preserve">n°5 </w:t>
      </w:r>
      <w:r w:rsidRPr="00E01239">
        <w:rPr>
          <w:rFonts w:asciiTheme="minorHAnsi" w:hAnsiTheme="minorHAnsi" w:cstheme="minorHAnsi"/>
          <w:sz w:val="22"/>
          <w:szCs w:val="22"/>
        </w:rPr>
        <w:t>ci-après illustre la procédure standard de gestion environnementale et sociale des sous-projets.</w:t>
      </w:r>
      <w:bookmarkStart w:id="1013" w:name="_Toc39188751"/>
      <w:bookmarkStart w:id="1014" w:name="_Toc63281812"/>
    </w:p>
    <w:p w14:paraId="2D8FDB61" w14:textId="77777777" w:rsidR="00A82363" w:rsidRPr="00E01239" w:rsidRDefault="00A82363">
      <w:pPr>
        <w:rPr>
          <w:rFonts w:asciiTheme="minorHAnsi" w:hAnsiTheme="minorHAnsi" w:cstheme="minorHAnsi"/>
          <w:b/>
          <w:bCs/>
          <w:sz w:val="22"/>
          <w:szCs w:val="22"/>
        </w:rPr>
      </w:pPr>
    </w:p>
    <w:p w14:paraId="15EB9EF2" w14:textId="77777777" w:rsidR="00A61EC9" w:rsidRPr="00E01239" w:rsidRDefault="00A61EC9" w:rsidP="001B5DF8">
      <w:pPr>
        <w:pStyle w:val="Lgende"/>
        <w:jc w:val="center"/>
        <w:rPr>
          <w:rFonts w:asciiTheme="minorHAnsi" w:hAnsiTheme="minorHAnsi" w:cstheme="minorHAnsi"/>
          <w:sz w:val="22"/>
          <w:szCs w:val="22"/>
        </w:rPr>
        <w:sectPr w:rsidR="00A61EC9" w:rsidRPr="00E01239" w:rsidSect="00DA561C">
          <w:type w:val="continuous"/>
          <w:pgSz w:w="11907" w:h="16840" w:code="9"/>
          <w:pgMar w:top="1418" w:right="1418" w:bottom="1418" w:left="1418" w:header="720" w:footer="720" w:gutter="0"/>
          <w:cols w:space="60"/>
          <w:noEndnote/>
        </w:sectPr>
      </w:pPr>
    </w:p>
    <w:p w14:paraId="5C84653F" w14:textId="3593D2D1" w:rsidR="001B5DF8" w:rsidRPr="00E01239" w:rsidRDefault="001B5DF8" w:rsidP="002E5842">
      <w:pPr>
        <w:pStyle w:val="Lgende"/>
        <w:jc w:val="center"/>
        <w:rPr>
          <w:rFonts w:asciiTheme="minorHAnsi" w:hAnsiTheme="minorHAnsi" w:cstheme="minorHAnsi"/>
          <w:b w:val="0"/>
          <w:sz w:val="22"/>
          <w:szCs w:val="22"/>
        </w:rPr>
      </w:pPr>
      <w:bookmarkStart w:id="1015" w:name="_Toc142854045"/>
      <w:r w:rsidRPr="00E01239">
        <w:rPr>
          <w:rFonts w:asciiTheme="minorHAnsi" w:hAnsiTheme="minorHAnsi" w:cstheme="minorHAnsi"/>
          <w:sz w:val="22"/>
          <w:szCs w:val="22"/>
        </w:rPr>
        <w:lastRenderedPageBreak/>
        <w:t xml:space="preserve">Figure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Figure \* ARABIC </w:instrText>
      </w:r>
      <w:r w:rsidRPr="00E01239">
        <w:rPr>
          <w:rFonts w:asciiTheme="minorHAnsi" w:hAnsiTheme="minorHAnsi" w:cstheme="minorHAnsi"/>
          <w:sz w:val="22"/>
          <w:szCs w:val="22"/>
        </w:rPr>
        <w:fldChar w:fldCharType="separate"/>
      </w:r>
      <w:r w:rsidR="00202CE9" w:rsidRPr="00E01239">
        <w:rPr>
          <w:rFonts w:asciiTheme="minorHAnsi" w:hAnsiTheme="minorHAnsi" w:cstheme="minorHAnsi"/>
          <w:noProof/>
          <w:sz w:val="22"/>
          <w:szCs w:val="22"/>
        </w:rPr>
        <w:t>5</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xml:space="preserve"> : </w:t>
      </w:r>
      <w:r w:rsidRPr="00E01239">
        <w:rPr>
          <w:rFonts w:asciiTheme="minorHAnsi" w:hAnsiTheme="minorHAnsi" w:cstheme="minorHAnsi"/>
          <w:b w:val="0"/>
          <w:sz w:val="24"/>
          <w:szCs w:val="24"/>
        </w:rPr>
        <w:t>Diagramme de la procédure standard de gestion environnementale et sociale des sous-</w:t>
      </w:r>
      <w:r w:rsidRPr="00E01239">
        <w:rPr>
          <w:rFonts w:asciiTheme="minorHAnsi" w:hAnsiTheme="minorHAnsi" w:cstheme="minorHAnsi"/>
          <w:b w:val="0"/>
          <w:sz w:val="22"/>
          <w:szCs w:val="22"/>
        </w:rPr>
        <w:t>projets</w:t>
      </w:r>
      <w:bookmarkEnd w:id="1013"/>
      <w:bookmarkEnd w:id="1014"/>
      <w:bookmarkEnd w:id="1015"/>
    </w:p>
    <w:p w14:paraId="09174E83" w14:textId="435FCD72" w:rsidR="00A61EC9" w:rsidRPr="00E01239" w:rsidRDefault="002E5842" w:rsidP="0021506F">
      <w:pPr>
        <w:jc w:val="center"/>
        <w:rPr>
          <w:rFonts w:asciiTheme="minorHAnsi" w:hAnsiTheme="minorHAnsi" w:cstheme="minorHAnsi"/>
          <w:b/>
        </w:rPr>
      </w:pPr>
      <w:r w:rsidRPr="00E01239">
        <w:rPr>
          <w:rFonts w:asciiTheme="minorHAnsi" w:hAnsiTheme="minorHAnsi" w:cstheme="minorHAnsi"/>
          <w:noProof/>
        </w:rPr>
        <w:drawing>
          <wp:inline distT="0" distB="0" distL="0" distR="0" wp14:anchorId="4D596568" wp14:editId="0E2BFAD5">
            <wp:extent cx="7957487" cy="4895720"/>
            <wp:effectExtent l="0" t="0" r="571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75710" cy="4906931"/>
                    </a:xfrm>
                    <a:prstGeom prst="rect">
                      <a:avLst/>
                    </a:prstGeom>
                  </pic:spPr>
                </pic:pic>
              </a:graphicData>
            </a:graphic>
          </wp:inline>
        </w:drawing>
      </w:r>
    </w:p>
    <w:p w14:paraId="1DA333AB" w14:textId="26159B8A" w:rsidR="002E5842" w:rsidRPr="00E01239" w:rsidRDefault="002E5842" w:rsidP="0021506F">
      <w:pPr>
        <w:jc w:val="center"/>
        <w:rPr>
          <w:rFonts w:asciiTheme="minorHAnsi" w:hAnsiTheme="minorHAnsi" w:cstheme="minorHAnsi"/>
        </w:rPr>
      </w:pPr>
    </w:p>
    <w:p w14:paraId="4DDB23FD" w14:textId="77777777" w:rsidR="00A61EC9" w:rsidRPr="00E01239" w:rsidRDefault="00A61EC9">
      <w:pPr>
        <w:rPr>
          <w:rFonts w:asciiTheme="minorHAnsi" w:hAnsiTheme="minorHAnsi" w:cstheme="minorHAnsi"/>
          <w:sz w:val="22"/>
          <w:szCs w:val="22"/>
        </w:rPr>
        <w:sectPr w:rsidR="00A61EC9" w:rsidRPr="00E01239" w:rsidSect="00B262E8">
          <w:type w:val="continuous"/>
          <w:pgSz w:w="16840" w:h="11907" w:orient="landscape" w:code="9"/>
          <w:pgMar w:top="1418" w:right="1418" w:bottom="1418" w:left="1418" w:header="720" w:footer="720" w:gutter="0"/>
          <w:cols w:space="60"/>
          <w:noEndnote/>
        </w:sectPr>
      </w:pPr>
    </w:p>
    <w:p w14:paraId="2879B7E3" w14:textId="28AEAE1D" w:rsidR="005C3166" w:rsidRDefault="005C3166" w:rsidP="009E5299">
      <w:pPr>
        <w:pStyle w:val="Titre2"/>
        <w:spacing w:before="120" w:line="280" w:lineRule="exact"/>
        <w:ind w:hanging="502"/>
        <w:rPr>
          <w:rFonts w:asciiTheme="minorHAnsi" w:hAnsiTheme="minorHAnsi" w:cstheme="minorHAnsi"/>
          <w:color w:val="auto"/>
        </w:rPr>
      </w:pPr>
      <w:bookmarkStart w:id="1016" w:name="_Toc130714093"/>
      <w:bookmarkStart w:id="1017" w:name="_Toc142378207"/>
      <w:bookmarkStart w:id="1018" w:name="_Toc144654151"/>
      <w:bookmarkEnd w:id="1009"/>
      <w:bookmarkEnd w:id="1010"/>
      <w:r>
        <w:rPr>
          <w:rFonts w:asciiTheme="minorHAnsi" w:hAnsiTheme="minorHAnsi" w:cstheme="minorHAnsi"/>
          <w:color w:val="auto"/>
        </w:rPr>
        <w:lastRenderedPageBreak/>
        <w:t>MESURES DE GESTION ENVIRONNEMENTALE ET SOCIALE DES IMPACTS POSITIFS</w:t>
      </w:r>
    </w:p>
    <w:p w14:paraId="033F8C04" w14:textId="4F6FB206" w:rsidR="005C3166" w:rsidRPr="00522938" w:rsidRDefault="005C3166" w:rsidP="00522938">
      <w:pPr>
        <w:shd w:val="clear" w:color="auto" w:fill="FFFFFF"/>
        <w:spacing w:before="120" w:line="280" w:lineRule="exact"/>
        <w:jc w:val="both"/>
        <w:rPr>
          <w:rFonts w:asciiTheme="minorHAnsi" w:hAnsiTheme="minorHAnsi" w:cstheme="minorHAnsi"/>
          <w:spacing w:val="-1"/>
          <w:sz w:val="22"/>
          <w:szCs w:val="22"/>
        </w:rPr>
      </w:pPr>
      <w:r w:rsidRPr="00522938">
        <w:rPr>
          <w:rFonts w:asciiTheme="minorHAnsi" w:hAnsiTheme="minorHAnsi" w:cstheme="minorHAnsi"/>
          <w:spacing w:val="-1"/>
          <w:sz w:val="22"/>
          <w:szCs w:val="22"/>
        </w:rPr>
        <w:t>Dans le présent chapitre, il est proposé des mesures de bonification des différentes retombées positives susceptibles d’être induites par les activités prévues dans le cadre du FSRP-SN. Ces mesures sont présentées dans le tableau suivant.</w:t>
      </w:r>
    </w:p>
    <w:p w14:paraId="4DBD9CB7" w14:textId="77777777" w:rsidR="005C3166" w:rsidRDefault="005C3166" w:rsidP="00C70C6F"/>
    <w:p w14:paraId="7CF55ADE" w14:textId="77777777" w:rsidR="005C3166" w:rsidRDefault="005C3166" w:rsidP="00C70C6F"/>
    <w:p w14:paraId="4DFA8C24" w14:textId="3FDB79F4" w:rsidR="005C3166" w:rsidRPr="00522938" w:rsidRDefault="005C3166" w:rsidP="00522938">
      <w:pPr>
        <w:pStyle w:val="Lgende"/>
        <w:jc w:val="center"/>
        <w:rPr>
          <w:rFonts w:asciiTheme="minorHAnsi" w:hAnsiTheme="minorHAnsi" w:cstheme="minorHAnsi"/>
          <w:sz w:val="22"/>
          <w:szCs w:val="22"/>
        </w:rPr>
      </w:pPr>
      <w:r w:rsidRPr="00522938">
        <w:rPr>
          <w:rFonts w:asciiTheme="minorHAnsi" w:hAnsiTheme="minorHAnsi" w:cstheme="minorHAnsi"/>
          <w:b w:val="0"/>
          <w:sz w:val="22"/>
          <w:szCs w:val="22"/>
        </w:rPr>
        <w:t xml:space="preserve">Tableau </w:t>
      </w:r>
      <w:r w:rsidRPr="00522938">
        <w:rPr>
          <w:rFonts w:asciiTheme="minorHAnsi" w:hAnsiTheme="minorHAnsi" w:cstheme="minorHAnsi"/>
          <w:b w:val="0"/>
          <w:sz w:val="22"/>
          <w:szCs w:val="22"/>
        </w:rPr>
        <w:fldChar w:fldCharType="begin"/>
      </w:r>
      <w:r w:rsidRPr="00522938">
        <w:rPr>
          <w:rFonts w:asciiTheme="minorHAnsi" w:hAnsiTheme="minorHAnsi" w:cstheme="minorHAnsi"/>
          <w:b w:val="0"/>
          <w:sz w:val="22"/>
          <w:szCs w:val="22"/>
        </w:rPr>
        <w:instrText xml:space="preserve"> SEQ Tableau \* ARABIC </w:instrText>
      </w:r>
      <w:r w:rsidRPr="00522938">
        <w:rPr>
          <w:rFonts w:asciiTheme="minorHAnsi" w:hAnsiTheme="minorHAnsi" w:cstheme="minorHAnsi"/>
          <w:b w:val="0"/>
          <w:sz w:val="22"/>
          <w:szCs w:val="22"/>
        </w:rPr>
        <w:fldChar w:fldCharType="separate"/>
      </w:r>
      <w:r w:rsidRPr="00522938">
        <w:rPr>
          <w:rFonts w:asciiTheme="minorHAnsi" w:hAnsiTheme="minorHAnsi" w:cstheme="minorHAnsi"/>
          <w:b w:val="0"/>
          <w:sz w:val="22"/>
          <w:szCs w:val="22"/>
        </w:rPr>
        <w:t>18</w:t>
      </w:r>
      <w:r w:rsidRPr="00522938">
        <w:rPr>
          <w:rFonts w:asciiTheme="minorHAnsi" w:hAnsiTheme="minorHAnsi" w:cstheme="minorHAnsi"/>
          <w:b w:val="0"/>
          <w:sz w:val="22"/>
          <w:szCs w:val="22"/>
        </w:rPr>
        <w:fldChar w:fldCharType="end"/>
      </w:r>
      <w:r w:rsidRPr="00522938">
        <w:rPr>
          <w:rFonts w:asciiTheme="minorHAnsi" w:hAnsiTheme="minorHAnsi" w:cstheme="minorHAnsi"/>
          <w:b w:val="0"/>
          <w:sz w:val="22"/>
          <w:szCs w:val="22"/>
        </w:rPr>
        <w:t xml:space="preserve"> : Mesures de bonification des impacts E&amp;S positifs </w:t>
      </w:r>
    </w:p>
    <w:tbl>
      <w:tblPr>
        <w:tblStyle w:val="Grilledutableau"/>
        <w:tblW w:w="5000" w:type="pct"/>
        <w:jc w:val="center"/>
        <w:tblBorders>
          <w:top w:val="single" w:sz="4" w:space="0" w:color="808080" w:themeColor="background1" w:themeShade="80"/>
          <w:left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3"/>
        <w:gridCol w:w="4072"/>
        <w:gridCol w:w="3556"/>
      </w:tblGrid>
      <w:tr w:rsidR="005C3166" w:rsidRPr="00E01239" w14:paraId="61CF87FA" w14:textId="77777777" w:rsidTr="0069675F">
        <w:trPr>
          <w:trHeight w:val="558"/>
          <w:tblHeader/>
          <w:jc w:val="center"/>
        </w:trPr>
        <w:tc>
          <w:tcPr>
            <w:tcW w:w="791" w:type="pct"/>
            <w:shd w:val="clear" w:color="auto" w:fill="1F4E79" w:themeFill="accent1" w:themeFillShade="80"/>
            <w:vAlign w:val="center"/>
          </w:tcPr>
          <w:p w14:paraId="308E938B" w14:textId="77777777" w:rsidR="005C3166" w:rsidRPr="00E01239" w:rsidRDefault="005C3166" w:rsidP="0069675F">
            <w:pPr>
              <w:jc w:val="center"/>
              <w:rPr>
                <w:rFonts w:asciiTheme="minorHAnsi" w:hAnsiTheme="minorHAnsi" w:cstheme="minorHAnsi"/>
                <w:color w:val="FFFFFF" w:themeColor="background1"/>
                <w:sz w:val="22"/>
                <w:szCs w:val="22"/>
              </w:rPr>
            </w:pPr>
            <w:r w:rsidRPr="00E01239">
              <w:rPr>
                <w:rFonts w:asciiTheme="minorHAnsi" w:hAnsiTheme="minorHAnsi" w:cstheme="minorHAnsi"/>
                <w:color w:val="FFFFFF" w:themeColor="background1"/>
                <w:sz w:val="22"/>
                <w:szCs w:val="22"/>
              </w:rPr>
              <w:t>Composantes</w:t>
            </w:r>
          </w:p>
        </w:tc>
        <w:tc>
          <w:tcPr>
            <w:tcW w:w="2247" w:type="pct"/>
            <w:shd w:val="clear" w:color="auto" w:fill="1F4E79" w:themeFill="accent1" w:themeFillShade="80"/>
            <w:vAlign w:val="center"/>
          </w:tcPr>
          <w:p w14:paraId="68BEFF01" w14:textId="77777777" w:rsidR="005C3166" w:rsidRPr="00E01239" w:rsidRDefault="005C3166" w:rsidP="0069675F">
            <w:pPr>
              <w:jc w:val="center"/>
              <w:rPr>
                <w:rFonts w:asciiTheme="minorHAnsi" w:hAnsiTheme="minorHAnsi" w:cstheme="minorHAnsi"/>
                <w:color w:val="FFFFFF" w:themeColor="background1"/>
                <w:sz w:val="22"/>
                <w:szCs w:val="22"/>
              </w:rPr>
            </w:pPr>
            <w:r w:rsidRPr="00E01239">
              <w:rPr>
                <w:rFonts w:asciiTheme="minorHAnsi" w:hAnsiTheme="minorHAnsi" w:cstheme="minorHAnsi"/>
                <w:color w:val="FFFFFF" w:themeColor="background1"/>
                <w:sz w:val="22"/>
                <w:szCs w:val="22"/>
              </w:rPr>
              <w:t xml:space="preserve">Principaux Impacts Positifs </w:t>
            </w:r>
          </w:p>
        </w:tc>
        <w:tc>
          <w:tcPr>
            <w:tcW w:w="1963" w:type="pct"/>
            <w:shd w:val="clear" w:color="auto" w:fill="1F4E79" w:themeFill="accent1" w:themeFillShade="80"/>
            <w:vAlign w:val="center"/>
          </w:tcPr>
          <w:p w14:paraId="0249BC75" w14:textId="77777777" w:rsidR="005C3166" w:rsidRPr="00E01239" w:rsidRDefault="005C3166" w:rsidP="0069675F">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Mesures de bonification</w:t>
            </w:r>
          </w:p>
        </w:tc>
      </w:tr>
      <w:tr w:rsidR="005C3166" w:rsidRPr="00E01239" w14:paraId="488E2F7B" w14:textId="77777777" w:rsidTr="0069675F">
        <w:trPr>
          <w:trHeight w:val="1706"/>
          <w:jc w:val="center"/>
        </w:trPr>
        <w:tc>
          <w:tcPr>
            <w:tcW w:w="791" w:type="pct"/>
            <w:vAlign w:val="center"/>
          </w:tcPr>
          <w:p w14:paraId="71A079DB" w14:textId="77777777" w:rsidR="005C3166" w:rsidRPr="00E01239" w:rsidRDefault="005C3166" w:rsidP="0069675F">
            <w:pPr>
              <w:rPr>
                <w:rFonts w:asciiTheme="minorHAnsi" w:hAnsiTheme="minorHAnsi" w:cstheme="minorHAnsi"/>
                <w:sz w:val="22"/>
                <w:szCs w:val="22"/>
              </w:rPr>
            </w:pPr>
            <w:r w:rsidRPr="00E01239">
              <w:rPr>
                <w:rFonts w:asciiTheme="minorHAnsi" w:hAnsiTheme="minorHAnsi" w:cstheme="minorHAnsi"/>
                <w:b/>
                <w:bCs/>
                <w:sz w:val="22"/>
                <w:szCs w:val="22"/>
              </w:rPr>
              <w:t>Composante 1</w:t>
            </w:r>
            <w:r w:rsidRPr="00E01239">
              <w:rPr>
                <w:rFonts w:asciiTheme="minorHAnsi" w:hAnsiTheme="minorHAnsi" w:cstheme="minorHAnsi"/>
                <w:sz w:val="22"/>
                <w:szCs w:val="22"/>
              </w:rPr>
              <w:t xml:space="preserve"> : Services de conseil numérique pour la prévention et la gestion des crises agricoles et alimentaires </w:t>
            </w:r>
          </w:p>
        </w:tc>
        <w:tc>
          <w:tcPr>
            <w:tcW w:w="2247" w:type="pct"/>
            <w:vAlign w:val="center"/>
          </w:tcPr>
          <w:p w14:paraId="346FB6F4"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 la résilience des systèmes productifs face aux aléas climatiques tels que la sécheresse, les pauses pluviométriques et les inondations</w:t>
            </w:r>
          </w:p>
          <w:p w14:paraId="3CCA73CD"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de la gouvernance des dispositifs relatifs au suivi de la sécurité alimentaire</w:t>
            </w:r>
          </w:p>
          <w:p w14:paraId="3DC94C0D"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Limitation des probabilités d’occurrence des feux de brousse par la mise en place d’un dispositif d’alerte précoce</w:t>
            </w:r>
          </w:p>
          <w:p w14:paraId="6E775A9F"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Gestion rationnelle et optimisée des ressources fourragères et en eau</w:t>
            </w:r>
          </w:p>
          <w:p w14:paraId="73DC8609"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du système de surveillance et d'alerte précoce des nuisibles des cultures</w:t>
            </w:r>
          </w:p>
          <w:p w14:paraId="6E0F0645"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de la gouvernance des systèmes alimentaires</w:t>
            </w:r>
          </w:p>
        </w:tc>
        <w:tc>
          <w:tcPr>
            <w:tcW w:w="1963" w:type="pct"/>
            <w:vAlign w:val="center"/>
          </w:tcPr>
          <w:p w14:paraId="517080C6" w14:textId="77777777" w:rsidR="005C3166"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Pr>
                <w:rFonts w:asciiTheme="minorHAnsi" w:hAnsiTheme="minorHAnsi" w:cstheme="minorHAnsi"/>
                <w:sz w:val="22"/>
                <w:szCs w:val="22"/>
                <w:lang w:bidi="fr-FR"/>
              </w:rPr>
              <w:t>Démultiplier les forages multiusages pour l’augmentation des périmètres de cultures fourragères</w:t>
            </w:r>
          </w:p>
          <w:p w14:paraId="64090192"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Pr>
                <w:rFonts w:asciiTheme="minorHAnsi" w:hAnsiTheme="minorHAnsi" w:cstheme="minorHAnsi"/>
                <w:sz w:val="22"/>
                <w:szCs w:val="22"/>
                <w:lang w:bidi="fr-FR"/>
              </w:rPr>
              <w:t xml:space="preserve">Mettre en place une plateforme de partage </w:t>
            </w:r>
            <w:proofErr w:type="spellStart"/>
            <w:r>
              <w:rPr>
                <w:rFonts w:asciiTheme="minorHAnsi" w:hAnsiTheme="minorHAnsi" w:cstheme="minorHAnsi"/>
                <w:sz w:val="22"/>
                <w:szCs w:val="22"/>
                <w:lang w:bidi="fr-FR"/>
              </w:rPr>
              <w:t>Opensource</w:t>
            </w:r>
            <w:proofErr w:type="spellEnd"/>
            <w:r>
              <w:rPr>
                <w:rFonts w:asciiTheme="minorHAnsi" w:hAnsiTheme="minorHAnsi" w:cstheme="minorHAnsi"/>
                <w:sz w:val="22"/>
                <w:szCs w:val="22"/>
                <w:lang w:bidi="fr-FR"/>
              </w:rPr>
              <w:t xml:space="preserve"> de l’information climatique convivial et accessible à tous les acteurs</w:t>
            </w:r>
          </w:p>
        </w:tc>
      </w:tr>
      <w:tr w:rsidR="005C3166" w:rsidRPr="00E01239" w14:paraId="1057D7B8" w14:textId="77777777" w:rsidTr="0069675F">
        <w:trPr>
          <w:trHeight w:val="1687"/>
          <w:jc w:val="center"/>
        </w:trPr>
        <w:tc>
          <w:tcPr>
            <w:tcW w:w="791" w:type="pct"/>
            <w:vAlign w:val="center"/>
          </w:tcPr>
          <w:p w14:paraId="11C05BAD" w14:textId="77777777" w:rsidR="005C3166" w:rsidRPr="00E01239" w:rsidRDefault="005C3166" w:rsidP="0069675F">
            <w:pPr>
              <w:rPr>
                <w:rFonts w:asciiTheme="minorHAnsi" w:hAnsiTheme="minorHAnsi" w:cstheme="minorHAnsi"/>
                <w:sz w:val="22"/>
                <w:szCs w:val="22"/>
              </w:rPr>
            </w:pPr>
            <w:r w:rsidRPr="00E01239">
              <w:rPr>
                <w:rFonts w:asciiTheme="minorHAnsi" w:hAnsiTheme="minorHAnsi" w:cstheme="minorHAnsi"/>
                <w:b/>
                <w:bCs/>
                <w:sz w:val="22"/>
                <w:szCs w:val="22"/>
              </w:rPr>
              <w:t>Composante 2 :</w:t>
            </w:r>
            <w:r w:rsidRPr="00E01239">
              <w:rPr>
                <w:rFonts w:asciiTheme="minorHAnsi" w:hAnsiTheme="minorHAnsi" w:cstheme="minorHAnsi"/>
                <w:sz w:val="22"/>
                <w:szCs w:val="22"/>
              </w:rPr>
              <w:t xml:space="preserve">  Durabilité et capacité d'adaptation de la base productive du système alimentaire</w:t>
            </w:r>
          </w:p>
          <w:p w14:paraId="1B89B518" w14:textId="77777777" w:rsidR="005C3166" w:rsidRPr="00E01239" w:rsidRDefault="005C3166" w:rsidP="0069675F">
            <w:pPr>
              <w:jc w:val="both"/>
              <w:rPr>
                <w:rFonts w:asciiTheme="minorHAnsi" w:hAnsiTheme="minorHAnsi" w:cstheme="minorHAnsi"/>
                <w:sz w:val="22"/>
                <w:szCs w:val="22"/>
              </w:rPr>
            </w:pPr>
          </w:p>
        </w:tc>
        <w:tc>
          <w:tcPr>
            <w:tcW w:w="2247" w:type="pct"/>
            <w:vAlign w:val="center"/>
          </w:tcPr>
          <w:p w14:paraId="0CF52ADF"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génétique du cheptel</w:t>
            </w:r>
          </w:p>
          <w:p w14:paraId="347A55A0"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Intensification de l’élevage bovin et des petits ruminants</w:t>
            </w:r>
          </w:p>
          <w:p w14:paraId="54339FD5"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Accroissement durable</w:t>
            </w:r>
            <w:r>
              <w:rPr>
                <w:rFonts w:asciiTheme="minorHAnsi" w:hAnsiTheme="minorHAnsi" w:cstheme="minorHAnsi"/>
                <w:sz w:val="22"/>
                <w:szCs w:val="22"/>
                <w:lang w:bidi="fr-FR"/>
              </w:rPr>
              <w:t xml:space="preserve"> de</w:t>
            </w:r>
            <w:r w:rsidRPr="00E01239">
              <w:rPr>
                <w:rFonts w:asciiTheme="minorHAnsi" w:hAnsiTheme="minorHAnsi" w:cstheme="minorHAnsi"/>
                <w:sz w:val="22"/>
                <w:szCs w:val="22"/>
                <w:lang w:bidi="fr-FR"/>
              </w:rPr>
              <w:t xml:space="preserve"> la productivité et </w:t>
            </w:r>
            <w:r>
              <w:rPr>
                <w:rFonts w:asciiTheme="minorHAnsi" w:hAnsiTheme="minorHAnsi" w:cstheme="minorHAnsi"/>
                <w:sz w:val="22"/>
                <w:szCs w:val="22"/>
                <w:lang w:bidi="fr-FR"/>
              </w:rPr>
              <w:t>d</w:t>
            </w:r>
            <w:r w:rsidRPr="00E01239">
              <w:rPr>
                <w:rFonts w:asciiTheme="minorHAnsi" w:hAnsiTheme="minorHAnsi" w:cstheme="minorHAnsi"/>
                <w:sz w:val="22"/>
                <w:szCs w:val="22"/>
                <w:lang w:bidi="fr-FR"/>
              </w:rPr>
              <w:t>es productions des élevages</w:t>
            </w:r>
          </w:p>
          <w:p w14:paraId="5B879DDF"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Modernisation des services nationaux de conseil et de vulgarisation agricole</w:t>
            </w:r>
          </w:p>
          <w:p w14:paraId="7CC058A3"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des outils de planification locale avec la détermination des zones de vocation</w:t>
            </w:r>
          </w:p>
          <w:p w14:paraId="7A15633E"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de la résilience des écosystèmes et des systèmes alimentaires par l’augmentation des périmètres aménagés</w:t>
            </w:r>
          </w:p>
          <w:p w14:paraId="218D2F72"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Développement d’outils de quantification des émissions </w:t>
            </w:r>
            <w:r>
              <w:rPr>
                <w:rFonts w:asciiTheme="minorHAnsi" w:hAnsiTheme="minorHAnsi" w:cstheme="minorHAnsi"/>
                <w:sz w:val="22"/>
                <w:szCs w:val="22"/>
                <w:lang w:bidi="fr-FR"/>
              </w:rPr>
              <w:t xml:space="preserve">de </w:t>
            </w:r>
            <w:r w:rsidRPr="00E01239">
              <w:rPr>
                <w:rFonts w:asciiTheme="minorHAnsi" w:hAnsiTheme="minorHAnsi" w:cstheme="minorHAnsi"/>
                <w:sz w:val="22"/>
                <w:szCs w:val="22"/>
                <w:lang w:bidi="fr-FR"/>
              </w:rPr>
              <w:t>GES des systèmes alimentaire dans le but d’évaluer la contribution du secteur de l’agriculture et de l’élevage dans le cadre de la CDN</w:t>
            </w:r>
          </w:p>
        </w:tc>
        <w:tc>
          <w:tcPr>
            <w:tcW w:w="1963" w:type="pct"/>
            <w:vAlign w:val="center"/>
          </w:tcPr>
          <w:p w14:paraId="4061EDDF" w14:textId="77777777" w:rsidR="005C3166"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Pr>
                <w:rFonts w:asciiTheme="minorHAnsi" w:hAnsiTheme="minorHAnsi" w:cstheme="minorHAnsi"/>
                <w:sz w:val="22"/>
                <w:szCs w:val="22"/>
                <w:lang w:bidi="fr-FR"/>
              </w:rPr>
              <w:t>Renforcement des capacités des collectivités territoriales sur les enjeux liés à la maitrise de la gouvernance foncière</w:t>
            </w:r>
          </w:p>
          <w:p w14:paraId="07EF6C77" w14:textId="77777777" w:rsidR="005C3166"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Pr>
                <w:rFonts w:asciiTheme="minorHAnsi" w:hAnsiTheme="minorHAnsi" w:cstheme="minorHAnsi"/>
                <w:sz w:val="22"/>
                <w:szCs w:val="22"/>
                <w:lang w:bidi="fr-FR"/>
              </w:rPr>
              <w:t>Augmentation et vulgarisation des expériences pilotes en termes d’utilisation d’équipements photovoltaïques pour le fonctionnement des installations d’irrigation et de fonctionnement des forages pastoraux</w:t>
            </w:r>
          </w:p>
          <w:p w14:paraId="0720CCA7"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Pr>
                <w:rFonts w:asciiTheme="minorHAnsi" w:hAnsiTheme="minorHAnsi" w:cstheme="minorHAnsi"/>
                <w:sz w:val="22"/>
                <w:szCs w:val="22"/>
                <w:lang w:bidi="fr-FR"/>
              </w:rPr>
              <w:t>Vulgarisation des bonnes pratiques de production durable à travers des plateformes (réseaux sociaux, forums autour des marchés hebdomadaires)</w:t>
            </w:r>
          </w:p>
        </w:tc>
      </w:tr>
      <w:tr w:rsidR="005C3166" w:rsidRPr="00E01239" w14:paraId="3192DB42" w14:textId="77777777" w:rsidTr="0069675F">
        <w:trPr>
          <w:trHeight w:val="713"/>
          <w:jc w:val="center"/>
        </w:trPr>
        <w:tc>
          <w:tcPr>
            <w:tcW w:w="791" w:type="pct"/>
            <w:vAlign w:val="center"/>
          </w:tcPr>
          <w:p w14:paraId="14FB7866" w14:textId="77777777" w:rsidR="005C3166" w:rsidRPr="00E01239" w:rsidRDefault="005C3166" w:rsidP="0069675F">
            <w:pPr>
              <w:rPr>
                <w:rFonts w:asciiTheme="minorHAnsi" w:hAnsiTheme="minorHAnsi" w:cstheme="minorHAnsi"/>
                <w:sz w:val="22"/>
                <w:szCs w:val="22"/>
              </w:rPr>
            </w:pPr>
            <w:r w:rsidRPr="00E01239">
              <w:rPr>
                <w:rFonts w:asciiTheme="minorHAnsi" w:hAnsiTheme="minorHAnsi" w:cstheme="minorHAnsi"/>
                <w:b/>
                <w:bCs/>
                <w:sz w:val="22"/>
                <w:szCs w:val="22"/>
              </w:rPr>
              <w:lastRenderedPageBreak/>
              <w:t>Composante 3</w:t>
            </w:r>
            <w:r w:rsidRPr="00E01239">
              <w:rPr>
                <w:rFonts w:asciiTheme="minorHAnsi" w:hAnsiTheme="minorHAnsi" w:cstheme="minorHAnsi"/>
                <w:sz w:val="22"/>
                <w:szCs w:val="22"/>
              </w:rPr>
              <w:t xml:space="preserve"> : Intégration régionale des marchés alimentaires </w:t>
            </w:r>
            <w:r w:rsidRPr="00E01239">
              <w:rPr>
                <w:rFonts w:asciiTheme="minorHAnsi" w:hAnsiTheme="minorHAnsi" w:cstheme="minorHAnsi"/>
                <w:sz w:val="22"/>
                <w:szCs w:val="22"/>
              </w:rPr>
              <w:br/>
              <w:t xml:space="preserve">&amp; du commerce  </w:t>
            </w:r>
          </w:p>
        </w:tc>
        <w:tc>
          <w:tcPr>
            <w:tcW w:w="2247" w:type="pct"/>
            <w:vAlign w:val="center"/>
          </w:tcPr>
          <w:p w14:paraId="0E46B0A2"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 la production horticole</w:t>
            </w:r>
          </w:p>
          <w:p w14:paraId="48F2E695"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Inclusion sociale et renforcement de l’employabilité des jeunes et des femmes dans le cadre de financement de sous-projets économiques dans les différents maillons des chaines de valeur animales</w:t>
            </w:r>
          </w:p>
          <w:p w14:paraId="2984B0A8"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des capacités techniques des acteurs des filières de l’élevage</w:t>
            </w:r>
          </w:p>
          <w:p w14:paraId="6279DE4B"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de la fourniture de services de vaccination (MEPA)</w:t>
            </w:r>
          </w:p>
          <w:p w14:paraId="7851C519"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Mise aux normes de qualité et de biosécurité des locaux de production de vaccins</w:t>
            </w:r>
          </w:p>
          <w:p w14:paraId="740358D3"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 xml:space="preserve">Création d’aires de mise en défens </w:t>
            </w:r>
          </w:p>
          <w:p w14:paraId="3F738386"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Intensification de l’élevage bovin et des petits ruminants</w:t>
            </w:r>
          </w:p>
          <w:p w14:paraId="4D8982AC"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Renforcement du Système National de Surveillance Epidémiologique (SNSE)</w:t>
            </w:r>
          </w:p>
          <w:p w14:paraId="2F66D5E7"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Amélioration du fonctionnement des laboratoires régionaux</w:t>
            </w:r>
          </w:p>
          <w:p w14:paraId="1728DB75"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sidRPr="00E01239">
              <w:rPr>
                <w:rFonts w:asciiTheme="minorHAnsi" w:hAnsiTheme="minorHAnsi" w:cstheme="minorHAnsi"/>
                <w:sz w:val="22"/>
                <w:szCs w:val="22"/>
                <w:lang w:bidi="fr-FR"/>
              </w:rPr>
              <w:t>Réduction de la prévalence à certaines maladies animales telles que la maladie de Newcastle et la variole aviaire</w:t>
            </w:r>
          </w:p>
        </w:tc>
        <w:tc>
          <w:tcPr>
            <w:tcW w:w="1963" w:type="pct"/>
            <w:vAlign w:val="center"/>
          </w:tcPr>
          <w:p w14:paraId="1577D77F" w14:textId="77777777" w:rsidR="005C3166" w:rsidRPr="00E01239" w:rsidRDefault="005C3166" w:rsidP="005C3166">
            <w:pPr>
              <w:pStyle w:val="Paragraphedeliste"/>
              <w:numPr>
                <w:ilvl w:val="0"/>
                <w:numId w:val="112"/>
              </w:numPr>
              <w:ind w:left="334" w:hanging="283"/>
              <w:contextualSpacing w:val="0"/>
              <w:jc w:val="both"/>
              <w:rPr>
                <w:rFonts w:asciiTheme="minorHAnsi" w:hAnsiTheme="minorHAnsi" w:cstheme="minorHAnsi"/>
                <w:sz w:val="22"/>
                <w:szCs w:val="22"/>
                <w:lang w:bidi="fr-FR"/>
              </w:rPr>
            </w:pPr>
            <w:r>
              <w:rPr>
                <w:rFonts w:asciiTheme="minorHAnsi" w:hAnsiTheme="minorHAnsi" w:cstheme="minorHAnsi"/>
                <w:sz w:val="22"/>
                <w:szCs w:val="22"/>
                <w:lang w:bidi="fr-FR"/>
              </w:rPr>
              <w:t>Mettre en place des cadres de partage des bonnes pratiques au niveau régional en vue d’une capitalisation cohérente des avancées scientifiques et techniques</w:t>
            </w:r>
          </w:p>
        </w:tc>
      </w:tr>
    </w:tbl>
    <w:p w14:paraId="35ADF877" w14:textId="77777777" w:rsidR="005C3166" w:rsidRDefault="005C3166" w:rsidP="00C70C6F"/>
    <w:p w14:paraId="559D6264" w14:textId="77777777" w:rsidR="005C3166" w:rsidRPr="00522938" w:rsidRDefault="005C3166" w:rsidP="00522938"/>
    <w:p w14:paraId="71E51555" w14:textId="2C17CF55" w:rsidR="006854D6" w:rsidRPr="00E01239" w:rsidRDefault="006854D6" w:rsidP="009E5299">
      <w:pPr>
        <w:pStyle w:val="Titre2"/>
        <w:spacing w:before="120" w:line="280" w:lineRule="exact"/>
        <w:ind w:hanging="502"/>
        <w:rPr>
          <w:rFonts w:asciiTheme="minorHAnsi" w:hAnsiTheme="minorHAnsi" w:cstheme="minorHAnsi"/>
          <w:color w:val="auto"/>
        </w:rPr>
      </w:pPr>
      <w:r w:rsidRPr="00E01239">
        <w:rPr>
          <w:rFonts w:asciiTheme="minorHAnsi" w:hAnsiTheme="minorHAnsi" w:cstheme="minorHAnsi"/>
          <w:color w:val="auto"/>
        </w:rPr>
        <w:t xml:space="preserve">MESURES </w:t>
      </w:r>
      <w:bookmarkEnd w:id="1011"/>
      <w:bookmarkEnd w:id="1012"/>
      <w:bookmarkEnd w:id="1016"/>
      <w:r w:rsidR="00CD508F" w:rsidRPr="00E01239">
        <w:rPr>
          <w:rFonts w:asciiTheme="minorHAnsi" w:hAnsiTheme="minorHAnsi" w:cstheme="minorHAnsi"/>
          <w:color w:val="auto"/>
        </w:rPr>
        <w:t>DE GESTION ENVIRONNEMENTALE ET SOCIALE</w:t>
      </w:r>
      <w:bookmarkEnd w:id="1017"/>
      <w:bookmarkEnd w:id="1018"/>
      <w:r w:rsidR="005C3166">
        <w:rPr>
          <w:rFonts w:asciiTheme="minorHAnsi" w:hAnsiTheme="minorHAnsi" w:cstheme="minorHAnsi"/>
          <w:color w:val="auto"/>
        </w:rPr>
        <w:t xml:space="preserve"> DES IMPACTS NEGATIFS</w:t>
      </w:r>
    </w:p>
    <w:p w14:paraId="7161C359" w14:textId="4766DD62" w:rsidR="00661BEF" w:rsidRPr="00E01239" w:rsidRDefault="00661BEF" w:rsidP="00263B8A">
      <w:pPr>
        <w:shd w:val="clear" w:color="auto" w:fill="FFFFFF"/>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Sur la base de l’identification et de l’analyse des impacts et risques environnementaux et sociaux inhérents aux différentes activités du FSRP-SN, des mesures d’évitement et d’atténuation sont proposées dans le présent CGES. A ce stade du projet, ces mesures restent génériques sachant que les études spécifiques feront ressortir les nécessités d’approfondissement et d’opérationnalisation de ces dites mesures.</w:t>
      </w:r>
    </w:p>
    <w:p w14:paraId="23784F26" w14:textId="2E8DAB85" w:rsidR="00582C4E" w:rsidRPr="00E01239" w:rsidRDefault="00582C4E" w:rsidP="00582C4E">
      <w:pPr>
        <w:rPr>
          <w:rFonts w:asciiTheme="minorHAnsi" w:hAnsiTheme="minorHAnsi" w:cstheme="minorHAnsi"/>
          <w:sz w:val="22"/>
          <w:szCs w:val="22"/>
        </w:rPr>
      </w:pPr>
    </w:p>
    <w:p w14:paraId="6BEED070" w14:textId="77777777" w:rsidR="00661BEF" w:rsidRPr="00E01239" w:rsidRDefault="00661BEF" w:rsidP="00582C4E">
      <w:pPr>
        <w:rPr>
          <w:rFonts w:asciiTheme="minorHAnsi" w:hAnsiTheme="minorHAnsi" w:cstheme="minorHAnsi"/>
          <w:sz w:val="22"/>
          <w:szCs w:val="22"/>
        </w:rPr>
        <w:sectPr w:rsidR="00661BEF" w:rsidRPr="00E01239" w:rsidSect="00A61EC9">
          <w:pgSz w:w="11907" w:h="16840" w:code="9"/>
          <w:pgMar w:top="1418" w:right="1418" w:bottom="1418" w:left="1418" w:header="720" w:footer="720" w:gutter="0"/>
          <w:cols w:space="60"/>
          <w:noEndnote/>
        </w:sectPr>
      </w:pPr>
    </w:p>
    <w:p w14:paraId="2BDE9433" w14:textId="226606B5" w:rsidR="00661BEF" w:rsidRPr="00E01239" w:rsidRDefault="00661BEF" w:rsidP="00661BEF">
      <w:pPr>
        <w:pStyle w:val="Lgende"/>
        <w:jc w:val="center"/>
        <w:rPr>
          <w:rFonts w:asciiTheme="minorHAnsi" w:hAnsiTheme="minorHAnsi" w:cstheme="minorHAnsi"/>
          <w:sz w:val="22"/>
          <w:szCs w:val="22"/>
        </w:rPr>
      </w:pPr>
      <w:bookmarkStart w:id="1019" w:name="_Toc88861283"/>
      <w:bookmarkStart w:id="1020" w:name="_Toc144654198"/>
      <w:r w:rsidRPr="00E01239">
        <w:rPr>
          <w:rFonts w:asciiTheme="minorHAnsi" w:hAnsiTheme="minorHAnsi" w:cstheme="minorHAnsi"/>
          <w:sz w:val="22"/>
          <w:szCs w:val="22"/>
        </w:rPr>
        <w:lastRenderedPageBreak/>
        <w:t xml:space="preserve">Tableau </w:t>
      </w:r>
      <w:proofErr w:type="gramStart"/>
      <w:r w:rsidR="00B203AB" w:rsidRPr="00E01239">
        <w:rPr>
          <w:rFonts w:asciiTheme="minorHAnsi" w:hAnsiTheme="minorHAnsi" w:cstheme="minorHAnsi"/>
          <w:sz w:val="22"/>
          <w:szCs w:val="22"/>
        </w:rPr>
        <w:t>19</w:t>
      </w:r>
      <w:r w:rsidRPr="00E01239">
        <w:rPr>
          <w:rFonts w:asciiTheme="minorHAnsi" w:hAnsiTheme="minorHAnsi" w:cstheme="minorHAnsi"/>
          <w:sz w:val="22"/>
          <w:szCs w:val="22"/>
        </w:rPr>
        <w:t>:</w:t>
      </w:r>
      <w:proofErr w:type="gramEnd"/>
      <w:r w:rsidRPr="00E01239">
        <w:rPr>
          <w:rFonts w:asciiTheme="minorHAnsi" w:hAnsiTheme="minorHAnsi" w:cstheme="minorHAnsi"/>
          <w:sz w:val="22"/>
          <w:szCs w:val="22"/>
        </w:rPr>
        <w:t xml:space="preserve"> </w:t>
      </w:r>
      <w:r w:rsidRPr="00E01239">
        <w:rPr>
          <w:rFonts w:asciiTheme="minorHAnsi" w:hAnsiTheme="minorHAnsi" w:cstheme="minorHAnsi"/>
          <w:b w:val="0"/>
          <w:sz w:val="22"/>
          <w:szCs w:val="22"/>
        </w:rPr>
        <w:t>Mesures d’évitement, d’atténuation et de compensation des impacts négatifs</w:t>
      </w:r>
      <w:bookmarkEnd w:id="1019"/>
      <w:bookmarkEnd w:id="1020"/>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9"/>
        <w:gridCol w:w="3826"/>
        <w:gridCol w:w="8329"/>
      </w:tblGrid>
      <w:tr w:rsidR="00804B5E" w:rsidRPr="00E01239" w14:paraId="1D3F75DB" w14:textId="77777777" w:rsidTr="7CB1727A">
        <w:trPr>
          <w:trHeight w:val="841"/>
          <w:tblHeader/>
          <w:jc w:val="center"/>
        </w:trPr>
        <w:tc>
          <w:tcPr>
            <w:tcW w:w="657" w:type="pct"/>
            <w:shd w:val="clear" w:color="auto" w:fill="000000" w:themeFill="text1"/>
            <w:vAlign w:val="center"/>
          </w:tcPr>
          <w:p w14:paraId="519CB27F" w14:textId="77777777" w:rsidR="00804B5E" w:rsidRPr="00E01239" w:rsidRDefault="00804B5E" w:rsidP="008C0C70">
            <w:pPr>
              <w:jc w:val="center"/>
              <w:rPr>
                <w:rFonts w:asciiTheme="minorHAnsi" w:hAnsiTheme="minorHAnsi" w:cstheme="minorHAnsi"/>
                <w:sz w:val="20"/>
                <w:szCs w:val="20"/>
                <w:lang w:bidi="fr-FR"/>
              </w:rPr>
            </w:pPr>
            <w:bookmarkStart w:id="1021" w:name="_Hlk101259265"/>
            <w:r w:rsidRPr="00E01239">
              <w:rPr>
                <w:rFonts w:asciiTheme="minorHAnsi" w:hAnsiTheme="minorHAnsi" w:cstheme="minorHAnsi"/>
                <w:sz w:val="20"/>
                <w:szCs w:val="20"/>
                <w:lang w:bidi="fr-FR"/>
              </w:rPr>
              <w:t>Phase</w:t>
            </w:r>
          </w:p>
        </w:tc>
        <w:tc>
          <w:tcPr>
            <w:tcW w:w="1367" w:type="pct"/>
            <w:shd w:val="clear" w:color="auto" w:fill="000000" w:themeFill="text1"/>
            <w:vAlign w:val="center"/>
          </w:tcPr>
          <w:p w14:paraId="037891AD" w14:textId="77777777" w:rsidR="00804B5E" w:rsidRPr="00E01239" w:rsidRDefault="00804B5E" w:rsidP="008C0C70">
            <w:pPr>
              <w:jc w:val="center"/>
              <w:rPr>
                <w:rFonts w:asciiTheme="minorHAnsi" w:hAnsiTheme="minorHAnsi" w:cstheme="minorHAnsi"/>
                <w:sz w:val="20"/>
                <w:szCs w:val="20"/>
                <w:lang w:bidi="fr-FR"/>
              </w:rPr>
            </w:pPr>
            <w:r w:rsidRPr="00E01239">
              <w:rPr>
                <w:rFonts w:asciiTheme="minorHAnsi" w:hAnsiTheme="minorHAnsi" w:cstheme="minorHAnsi"/>
                <w:sz w:val="20"/>
                <w:szCs w:val="20"/>
                <w:lang w:bidi="fr-FR"/>
              </w:rPr>
              <w:t>Impacts E&amp;S</w:t>
            </w:r>
          </w:p>
        </w:tc>
        <w:tc>
          <w:tcPr>
            <w:tcW w:w="2976" w:type="pct"/>
            <w:shd w:val="clear" w:color="auto" w:fill="000000" w:themeFill="text1"/>
            <w:vAlign w:val="center"/>
          </w:tcPr>
          <w:p w14:paraId="43793DAA" w14:textId="77777777" w:rsidR="00804B5E" w:rsidRPr="00E01239" w:rsidRDefault="00804B5E" w:rsidP="008C0C70">
            <w:pPr>
              <w:jc w:val="center"/>
              <w:rPr>
                <w:rFonts w:asciiTheme="minorHAnsi" w:hAnsiTheme="minorHAnsi" w:cstheme="minorHAnsi"/>
                <w:sz w:val="20"/>
                <w:szCs w:val="20"/>
                <w:lang w:bidi="fr-FR"/>
              </w:rPr>
            </w:pPr>
            <w:r w:rsidRPr="00E01239">
              <w:rPr>
                <w:rFonts w:asciiTheme="minorHAnsi" w:hAnsiTheme="minorHAnsi" w:cstheme="minorHAnsi"/>
                <w:sz w:val="20"/>
                <w:szCs w:val="20"/>
                <w:lang w:bidi="fr-FR"/>
              </w:rPr>
              <w:t>Mesures d’évitement, d’atténuation et/ou de compensation</w:t>
            </w:r>
          </w:p>
        </w:tc>
      </w:tr>
      <w:tr w:rsidR="00804B5E" w:rsidRPr="00E01239" w14:paraId="5A101BD7" w14:textId="77777777" w:rsidTr="7CB1727A">
        <w:trPr>
          <w:trHeight w:val="543"/>
          <w:jc w:val="center"/>
        </w:trPr>
        <w:tc>
          <w:tcPr>
            <w:tcW w:w="5000" w:type="pct"/>
            <w:gridSpan w:val="3"/>
            <w:shd w:val="clear" w:color="auto" w:fill="FFC000" w:themeFill="accent4"/>
            <w:vAlign w:val="center"/>
          </w:tcPr>
          <w:p w14:paraId="269916E5"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rPr>
              <w:t>T</w:t>
            </w:r>
            <w:r w:rsidRPr="00E01239">
              <w:rPr>
                <w:rFonts w:asciiTheme="minorHAnsi" w:hAnsiTheme="minorHAnsi" w:cstheme="minorHAnsi"/>
                <w:sz w:val="22"/>
                <w:szCs w:val="22"/>
              </w:rPr>
              <w:t>ravaux de construction</w:t>
            </w:r>
            <w:r w:rsidRPr="00E01239">
              <w:rPr>
                <w:rFonts w:asciiTheme="minorHAnsi" w:hAnsiTheme="minorHAnsi" w:cstheme="minorHAnsi"/>
              </w:rPr>
              <w:t>/réhabilitation</w:t>
            </w:r>
            <w:r w:rsidRPr="00E01239">
              <w:rPr>
                <w:rFonts w:asciiTheme="minorHAnsi" w:hAnsiTheme="minorHAnsi" w:cstheme="minorHAnsi"/>
                <w:sz w:val="22"/>
                <w:szCs w:val="22"/>
              </w:rPr>
              <w:t xml:space="preserve"> et/ou </w:t>
            </w:r>
            <w:r w:rsidRPr="00E01239">
              <w:rPr>
                <w:rFonts w:asciiTheme="minorHAnsi" w:hAnsiTheme="minorHAnsi" w:cstheme="minorHAnsi"/>
              </w:rPr>
              <w:t>aménagements</w:t>
            </w:r>
            <w:r w:rsidRPr="00E01239">
              <w:rPr>
                <w:rFonts w:asciiTheme="minorHAnsi" w:hAnsiTheme="minorHAnsi" w:cstheme="minorHAnsi"/>
                <w:sz w:val="22"/>
                <w:szCs w:val="22"/>
              </w:rPr>
              <w:t xml:space="preserve"> d’infrastructures</w:t>
            </w:r>
          </w:p>
        </w:tc>
      </w:tr>
      <w:tr w:rsidR="00804B5E" w:rsidRPr="00E01239" w14:paraId="52EE14A5" w14:textId="77777777" w:rsidTr="7CB1727A">
        <w:trPr>
          <w:trHeight w:val="422"/>
          <w:jc w:val="center"/>
        </w:trPr>
        <w:tc>
          <w:tcPr>
            <w:tcW w:w="657" w:type="pct"/>
            <w:vMerge w:val="restart"/>
            <w:vAlign w:val="center"/>
          </w:tcPr>
          <w:p w14:paraId="37090057"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En phase de préparation et travaux</w:t>
            </w:r>
          </w:p>
        </w:tc>
        <w:tc>
          <w:tcPr>
            <w:tcW w:w="1367" w:type="pct"/>
            <w:vAlign w:val="center"/>
          </w:tcPr>
          <w:p w14:paraId="6F5EDF65" w14:textId="6C6D40BC"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Perte de couvert végétal et perturbation de la faune sur les sites d’installation de chantier et au niveau des périmètres à aménager</w:t>
            </w:r>
          </w:p>
        </w:tc>
        <w:tc>
          <w:tcPr>
            <w:tcW w:w="2976" w:type="pct"/>
            <w:vAlign w:val="center"/>
          </w:tcPr>
          <w:p w14:paraId="25AD2512"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Élaborer de concert avec les IREF un plan de reboisement compensatoire</w:t>
            </w:r>
          </w:p>
          <w:p w14:paraId="7E73F548" w14:textId="14DA0816" w:rsidR="00804B5E" w:rsidRPr="00E01239" w:rsidRDefault="0021441C"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Disposer </w:t>
            </w:r>
            <w:r w:rsidR="00804B5E" w:rsidRPr="00E01239">
              <w:rPr>
                <w:rFonts w:asciiTheme="minorHAnsi" w:hAnsiTheme="minorHAnsi" w:cstheme="minorHAnsi"/>
                <w:sz w:val="20"/>
                <w:szCs w:val="20"/>
                <w:lang w:bidi="fr-FR"/>
              </w:rPr>
              <w:t>des permis de coupe nécessaires auprès des services forestiers</w:t>
            </w:r>
          </w:p>
          <w:p w14:paraId="4195D1E1"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Privilégier dans le reboisement des espèces non prisées par les oiseaux (eucalyptus)</w:t>
            </w:r>
          </w:p>
          <w:p w14:paraId="2BA16EFE"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Protéger la végétation de la machinerie en bordure des emprises et plateformes </w:t>
            </w:r>
          </w:p>
          <w:p w14:paraId="6B2BE056"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Sensibiliser les travailleurs des chantiers sur les interdictions de coupes d’arbre</w:t>
            </w:r>
          </w:p>
          <w:p w14:paraId="0D4A29D3" w14:textId="36596229" w:rsidR="00804B5E" w:rsidRPr="00E01239" w:rsidRDefault="0021441C"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Assurer l’é</w:t>
            </w:r>
            <w:r w:rsidR="00804B5E" w:rsidRPr="00E01239">
              <w:rPr>
                <w:rFonts w:asciiTheme="minorHAnsi" w:hAnsiTheme="minorHAnsi" w:cstheme="minorHAnsi"/>
                <w:sz w:val="20"/>
                <w:szCs w:val="20"/>
                <w:lang w:bidi="fr-FR"/>
              </w:rPr>
              <w:t xml:space="preserve">clairage de nuit du chantier </w:t>
            </w:r>
          </w:p>
          <w:p w14:paraId="71332A63" w14:textId="22D48ABF" w:rsidR="00804B5E" w:rsidRPr="00E01239" w:rsidRDefault="0021441C"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Prohiber la </w:t>
            </w:r>
            <w:r w:rsidR="00804B5E" w:rsidRPr="00E01239">
              <w:rPr>
                <w:rFonts w:asciiTheme="minorHAnsi" w:hAnsiTheme="minorHAnsi" w:cstheme="minorHAnsi"/>
                <w:sz w:val="20"/>
                <w:szCs w:val="20"/>
                <w:lang w:bidi="fr-FR"/>
              </w:rPr>
              <w:t xml:space="preserve">Chasse </w:t>
            </w:r>
            <w:r w:rsidRPr="00E01239">
              <w:rPr>
                <w:rFonts w:asciiTheme="minorHAnsi" w:hAnsiTheme="minorHAnsi" w:cstheme="minorHAnsi"/>
                <w:sz w:val="20"/>
                <w:szCs w:val="20"/>
                <w:lang w:bidi="fr-FR"/>
              </w:rPr>
              <w:t xml:space="preserve">par </w:t>
            </w:r>
            <w:r w:rsidR="00804B5E" w:rsidRPr="00E01239">
              <w:rPr>
                <w:rFonts w:asciiTheme="minorHAnsi" w:hAnsiTheme="minorHAnsi" w:cstheme="minorHAnsi"/>
                <w:sz w:val="20"/>
                <w:szCs w:val="20"/>
                <w:lang w:bidi="fr-FR"/>
              </w:rPr>
              <w:t>le personnel de chantier</w:t>
            </w:r>
          </w:p>
        </w:tc>
      </w:tr>
      <w:tr w:rsidR="00804B5E" w:rsidRPr="00E01239" w14:paraId="518CAE8C" w14:textId="77777777" w:rsidTr="7CB1727A">
        <w:trPr>
          <w:trHeight w:val="249"/>
          <w:jc w:val="center"/>
        </w:trPr>
        <w:tc>
          <w:tcPr>
            <w:tcW w:w="657" w:type="pct"/>
            <w:vMerge/>
            <w:vAlign w:val="center"/>
          </w:tcPr>
          <w:p w14:paraId="129AE160"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5AC4D4C6"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Altération de la qualité de l’air et augmentation des émissions de GES</w:t>
            </w:r>
          </w:p>
        </w:tc>
        <w:tc>
          <w:tcPr>
            <w:tcW w:w="2976" w:type="pct"/>
            <w:vAlign w:val="center"/>
          </w:tcPr>
          <w:p w14:paraId="4C2392E9" w14:textId="3F1C13D0"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Fourni</w:t>
            </w:r>
            <w:r w:rsidR="0021441C" w:rsidRPr="00E01239">
              <w:rPr>
                <w:rFonts w:asciiTheme="minorHAnsi" w:hAnsiTheme="minorHAnsi" w:cstheme="minorHAnsi"/>
                <w:sz w:val="20"/>
                <w:szCs w:val="20"/>
                <w:lang w:bidi="fr-FR"/>
              </w:rPr>
              <w:t xml:space="preserve">r des </w:t>
            </w:r>
            <w:r w:rsidRPr="00E01239">
              <w:rPr>
                <w:rFonts w:asciiTheme="minorHAnsi" w:hAnsiTheme="minorHAnsi" w:cstheme="minorHAnsi"/>
                <w:sz w:val="20"/>
                <w:szCs w:val="20"/>
                <w:lang w:bidi="fr-FR"/>
              </w:rPr>
              <w:t>masques à poussière pour le personnel de travaux</w:t>
            </w:r>
          </w:p>
          <w:p w14:paraId="0BC7CC77"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Entretenir régulièrement des équipements et engins de chantier </w:t>
            </w:r>
          </w:p>
          <w:p w14:paraId="0AFBA037" w14:textId="77777777" w:rsidR="00804B5E" w:rsidRPr="00E01239" w:rsidRDefault="00804B5E" w:rsidP="00027669">
            <w:pPr>
              <w:pStyle w:val="Paragraphedeliste"/>
              <w:numPr>
                <w:ilvl w:val="0"/>
                <w:numId w:val="133"/>
              </w:numPr>
              <w:ind w:left="296" w:hanging="283"/>
              <w:rPr>
                <w:rFonts w:asciiTheme="minorHAnsi" w:hAnsiTheme="minorHAnsi" w:cstheme="minorHAnsi"/>
                <w:bCs/>
                <w:color w:val="000000"/>
                <w:sz w:val="20"/>
                <w:szCs w:val="20"/>
              </w:rPr>
            </w:pPr>
            <w:r w:rsidRPr="00E01239">
              <w:rPr>
                <w:rFonts w:asciiTheme="minorHAnsi" w:hAnsiTheme="minorHAnsi" w:cstheme="minorHAnsi"/>
                <w:sz w:val="20"/>
                <w:szCs w:val="20"/>
                <w:lang w:bidi="fr-FR"/>
              </w:rPr>
              <w:t>Etablir un état référentiel de la qualité de l’air en début de chantier notamment sur les paramètres</w:t>
            </w:r>
            <w:r w:rsidRPr="00E01239">
              <w:rPr>
                <w:rFonts w:asciiTheme="minorHAnsi" w:hAnsiTheme="minorHAnsi" w:cstheme="minorHAnsi"/>
                <w:bCs/>
                <w:color w:val="000000"/>
                <w:sz w:val="20"/>
                <w:szCs w:val="20"/>
              </w:rPr>
              <w:t xml:space="preserve"> suivants : PM</w:t>
            </w:r>
            <w:r w:rsidRPr="00E01239">
              <w:rPr>
                <w:rFonts w:asciiTheme="minorHAnsi" w:hAnsiTheme="minorHAnsi" w:cstheme="minorHAnsi"/>
                <w:bCs/>
                <w:color w:val="000000"/>
                <w:sz w:val="20"/>
                <w:szCs w:val="20"/>
                <w:vertAlign w:val="subscript"/>
              </w:rPr>
              <w:t>10</w:t>
            </w:r>
            <w:r w:rsidRPr="00E01239">
              <w:rPr>
                <w:rFonts w:asciiTheme="minorHAnsi" w:hAnsiTheme="minorHAnsi" w:cstheme="minorHAnsi"/>
                <w:bCs/>
                <w:color w:val="000000"/>
                <w:sz w:val="20"/>
                <w:szCs w:val="20"/>
              </w:rPr>
              <w:t>, PM</w:t>
            </w:r>
            <w:r w:rsidRPr="00E01239">
              <w:rPr>
                <w:rFonts w:asciiTheme="minorHAnsi" w:hAnsiTheme="minorHAnsi" w:cstheme="minorHAnsi"/>
                <w:bCs/>
                <w:color w:val="000000"/>
                <w:sz w:val="20"/>
                <w:szCs w:val="20"/>
                <w:vertAlign w:val="subscript"/>
              </w:rPr>
              <w:t xml:space="preserve">2.5 </w:t>
            </w:r>
            <w:r w:rsidRPr="00E01239">
              <w:rPr>
                <w:rFonts w:asciiTheme="minorHAnsi" w:hAnsiTheme="minorHAnsi" w:cstheme="minorHAnsi"/>
                <w:bCs/>
                <w:color w:val="000000"/>
                <w:sz w:val="20"/>
                <w:szCs w:val="20"/>
              </w:rPr>
              <w:t>et SO</w:t>
            </w:r>
            <w:r w:rsidRPr="00E01239">
              <w:rPr>
                <w:rFonts w:asciiTheme="minorHAnsi" w:hAnsiTheme="minorHAnsi" w:cstheme="minorHAnsi"/>
                <w:bCs/>
                <w:color w:val="000000"/>
                <w:sz w:val="20"/>
                <w:szCs w:val="20"/>
                <w:vertAlign w:val="subscript"/>
              </w:rPr>
              <w:t>2</w:t>
            </w:r>
          </w:p>
          <w:p w14:paraId="723E0D2F" w14:textId="3330E609"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bCs/>
                <w:color w:val="000000"/>
                <w:sz w:val="20"/>
                <w:szCs w:val="20"/>
              </w:rPr>
              <w:t>Suiv</w:t>
            </w:r>
            <w:r w:rsidR="0021441C" w:rsidRPr="00E01239">
              <w:rPr>
                <w:rFonts w:asciiTheme="minorHAnsi" w:hAnsiTheme="minorHAnsi" w:cstheme="minorHAnsi"/>
                <w:bCs/>
                <w:color w:val="000000"/>
                <w:sz w:val="20"/>
                <w:szCs w:val="20"/>
              </w:rPr>
              <w:t>re (tous les deux mois)</w:t>
            </w:r>
            <w:r w:rsidRPr="00E01239">
              <w:rPr>
                <w:rFonts w:asciiTheme="minorHAnsi" w:hAnsiTheme="minorHAnsi" w:cstheme="minorHAnsi"/>
                <w:bCs/>
                <w:color w:val="000000"/>
                <w:sz w:val="20"/>
                <w:szCs w:val="20"/>
              </w:rPr>
              <w:t xml:space="preserve"> la qualité de l’air notamment des PM</w:t>
            </w:r>
            <w:r w:rsidRPr="00E01239">
              <w:rPr>
                <w:rFonts w:asciiTheme="minorHAnsi" w:hAnsiTheme="minorHAnsi" w:cstheme="minorHAnsi"/>
                <w:bCs/>
                <w:color w:val="000000"/>
                <w:sz w:val="20"/>
                <w:szCs w:val="20"/>
                <w:vertAlign w:val="subscript"/>
              </w:rPr>
              <w:t>10</w:t>
            </w:r>
            <w:r w:rsidRPr="00E01239">
              <w:rPr>
                <w:rFonts w:asciiTheme="minorHAnsi" w:hAnsiTheme="minorHAnsi" w:cstheme="minorHAnsi"/>
                <w:bCs/>
                <w:color w:val="000000"/>
                <w:sz w:val="20"/>
                <w:szCs w:val="20"/>
              </w:rPr>
              <w:t>, PM</w:t>
            </w:r>
            <w:r w:rsidRPr="00E01239">
              <w:rPr>
                <w:rFonts w:asciiTheme="minorHAnsi" w:hAnsiTheme="minorHAnsi" w:cstheme="minorHAnsi"/>
                <w:bCs/>
                <w:color w:val="000000"/>
                <w:sz w:val="20"/>
                <w:szCs w:val="20"/>
                <w:vertAlign w:val="subscript"/>
              </w:rPr>
              <w:t xml:space="preserve">2.5 </w:t>
            </w:r>
            <w:r w:rsidRPr="00E01239">
              <w:rPr>
                <w:rFonts w:asciiTheme="minorHAnsi" w:hAnsiTheme="minorHAnsi" w:cstheme="minorHAnsi"/>
                <w:bCs/>
                <w:color w:val="000000"/>
                <w:sz w:val="20"/>
                <w:szCs w:val="20"/>
              </w:rPr>
              <w:t>et SO</w:t>
            </w:r>
            <w:r w:rsidRPr="00E01239">
              <w:rPr>
                <w:rFonts w:asciiTheme="minorHAnsi" w:hAnsiTheme="minorHAnsi" w:cstheme="minorHAnsi"/>
                <w:bCs/>
                <w:color w:val="000000"/>
                <w:sz w:val="20"/>
                <w:szCs w:val="20"/>
                <w:vertAlign w:val="subscript"/>
              </w:rPr>
              <w:t>2</w:t>
            </w:r>
          </w:p>
        </w:tc>
      </w:tr>
      <w:tr w:rsidR="00804B5E" w:rsidRPr="00E01239" w14:paraId="04B078A2" w14:textId="77777777" w:rsidTr="7CB1727A">
        <w:trPr>
          <w:trHeight w:val="422"/>
          <w:jc w:val="center"/>
        </w:trPr>
        <w:tc>
          <w:tcPr>
            <w:tcW w:w="657" w:type="pct"/>
            <w:vMerge/>
            <w:vAlign w:val="center"/>
          </w:tcPr>
          <w:p w14:paraId="1D110F0C"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327AFF33"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Pollution des eaux souterraines et des eaux de surface</w:t>
            </w:r>
          </w:p>
        </w:tc>
        <w:tc>
          <w:tcPr>
            <w:tcW w:w="2976" w:type="pct"/>
            <w:vAlign w:val="center"/>
          </w:tcPr>
          <w:p w14:paraId="339D1814"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Éviter les sources d’eau utilisées par les populations pour approvisionner le chantier</w:t>
            </w:r>
          </w:p>
          <w:p w14:paraId="2CB174DC"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Mettre en place des dispositifs de contention/traitement des eaux pluviales avant leur rejet dans les plans d’eau</w:t>
            </w:r>
          </w:p>
          <w:p w14:paraId="2EDCDB3D" w14:textId="08B30856" w:rsidR="00804B5E" w:rsidRPr="00E01239" w:rsidRDefault="002D400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Interdire</w:t>
            </w:r>
            <w:r w:rsidR="0021441C" w:rsidRPr="00E01239">
              <w:rPr>
                <w:rFonts w:asciiTheme="minorHAnsi" w:hAnsiTheme="minorHAnsi" w:cstheme="minorHAnsi"/>
                <w:sz w:val="20"/>
                <w:szCs w:val="20"/>
                <w:lang w:bidi="fr-FR"/>
              </w:rPr>
              <w:t xml:space="preserve"> </w:t>
            </w:r>
            <w:r w:rsidR="00996617" w:rsidRPr="00E01239">
              <w:rPr>
                <w:rFonts w:asciiTheme="minorHAnsi" w:hAnsiTheme="minorHAnsi" w:cstheme="minorHAnsi"/>
                <w:sz w:val="20"/>
                <w:szCs w:val="20"/>
                <w:lang w:bidi="fr-FR"/>
              </w:rPr>
              <w:t>la vidange</w:t>
            </w:r>
            <w:r w:rsidR="00804B5E" w:rsidRPr="00E01239">
              <w:rPr>
                <w:rFonts w:asciiTheme="minorHAnsi" w:hAnsiTheme="minorHAnsi" w:cstheme="minorHAnsi"/>
                <w:sz w:val="20"/>
                <w:szCs w:val="20"/>
                <w:lang w:bidi="fr-FR"/>
              </w:rPr>
              <w:t xml:space="preserve"> des engins de chantier sur site</w:t>
            </w:r>
          </w:p>
          <w:p w14:paraId="69D3794A" w14:textId="3051901E"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M</w:t>
            </w:r>
            <w:r w:rsidR="0021441C" w:rsidRPr="00E01239">
              <w:rPr>
                <w:rFonts w:asciiTheme="minorHAnsi" w:hAnsiTheme="minorHAnsi" w:cstheme="minorHAnsi"/>
                <w:sz w:val="20"/>
                <w:szCs w:val="20"/>
                <w:lang w:bidi="fr-FR"/>
              </w:rPr>
              <w:t>ett</w:t>
            </w:r>
            <w:r w:rsidR="009D62F0">
              <w:rPr>
                <w:rFonts w:asciiTheme="minorHAnsi" w:hAnsiTheme="minorHAnsi" w:cstheme="minorHAnsi"/>
                <w:sz w:val="20"/>
                <w:szCs w:val="20"/>
                <w:lang w:bidi="fr-FR"/>
              </w:rPr>
              <w:t>r</w:t>
            </w:r>
            <w:r w:rsidR="0021441C" w:rsidRPr="00E01239">
              <w:rPr>
                <w:rFonts w:asciiTheme="minorHAnsi" w:hAnsiTheme="minorHAnsi" w:cstheme="minorHAnsi"/>
                <w:sz w:val="20"/>
                <w:szCs w:val="20"/>
                <w:lang w:bidi="fr-FR"/>
              </w:rPr>
              <w:t xml:space="preserve">e </w:t>
            </w:r>
            <w:r w:rsidRPr="00E01239">
              <w:rPr>
                <w:rFonts w:asciiTheme="minorHAnsi" w:hAnsiTheme="minorHAnsi" w:cstheme="minorHAnsi"/>
                <w:sz w:val="20"/>
                <w:szCs w:val="20"/>
                <w:lang w:bidi="fr-FR"/>
              </w:rPr>
              <w:t>en place de</w:t>
            </w:r>
            <w:r w:rsidR="0021441C" w:rsidRPr="00E01239">
              <w:rPr>
                <w:rFonts w:asciiTheme="minorHAnsi" w:hAnsiTheme="minorHAnsi" w:cstheme="minorHAnsi"/>
                <w:sz w:val="20"/>
                <w:szCs w:val="20"/>
                <w:lang w:bidi="fr-FR"/>
              </w:rPr>
              <w:t>s</w:t>
            </w:r>
            <w:r w:rsidRPr="00E01239">
              <w:rPr>
                <w:rFonts w:asciiTheme="minorHAnsi" w:hAnsiTheme="minorHAnsi" w:cstheme="minorHAnsi"/>
                <w:sz w:val="20"/>
                <w:szCs w:val="20"/>
                <w:lang w:bidi="fr-FR"/>
              </w:rPr>
              <w:t xml:space="preserve"> cuves de stockage des huiles usagées sur site</w:t>
            </w:r>
          </w:p>
          <w:p w14:paraId="70E10CAF"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Mobiliser des kits anti-pollution dans les chantiers</w:t>
            </w:r>
          </w:p>
        </w:tc>
      </w:tr>
      <w:tr w:rsidR="00804B5E" w:rsidRPr="00E01239" w14:paraId="6723A4AD" w14:textId="77777777" w:rsidTr="7CB1727A">
        <w:trPr>
          <w:trHeight w:val="1015"/>
          <w:jc w:val="center"/>
        </w:trPr>
        <w:tc>
          <w:tcPr>
            <w:tcW w:w="657" w:type="pct"/>
            <w:vMerge/>
            <w:vAlign w:val="center"/>
          </w:tcPr>
          <w:p w14:paraId="0110976D"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748DE964"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Pollution et dégradation des sols lors des aménagements </w:t>
            </w:r>
          </w:p>
        </w:tc>
        <w:tc>
          <w:tcPr>
            <w:tcW w:w="2976" w:type="pct"/>
            <w:vAlign w:val="center"/>
          </w:tcPr>
          <w:p w14:paraId="033F9566" w14:textId="4F5B3D7F" w:rsidR="00804B5E" w:rsidRPr="00E01239" w:rsidRDefault="00274CC6"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Installer</w:t>
            </w:r>
            <w:r w:rsidR="0021441C" w:rsidRPr="00E01239">
              <w:rPr>
                <w:rFonts w:asciiTheme="minorHAnsi" w:hAnsiTheme="minorHAnsi" w:cstheme="minorHAnsi"/>
                <w:sz w:val="20"/>
                <w:szCs w:val="20"/>
                <w:lang w:bidi="fr-FR"/>
              </w:rPr>
              <w:t xml:space="preserve"> un b</w:t>
            </w:r>
            <w:r w:rsidR="00804B5E" w:rsidRPr="00E01239">
              <w:rPr>
                <w:rFonts w:asciiTheme="minorHAnsi" w:hAnsiTheme="minorHAnsi" w:cstheme="minorHAnsi"/>
                <w:sz w:val="20"/>
                <w:szCs w:val="20"/>
                <w:lang w:bidi="fr-FR"/>
              </w:rPr>
              <w:t xml:space="preserve">ac étanche mobile pour piéger les éventuelles égouttures d’hydrocarbures </w:t>
            </w:r>
          </w:p>
          <w:p w14:paraId="395310A5" w14:textId="46518FBB"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Install</w:t>
            </w:r>
            <w:r w:rsidR="0021441C" w:rsidRPr="00E01239">
              <w:rPr>
                <w:rFonts w:asciiTheme="minorHAnsi" w:hAnsiTheme="minorHAnsi" w:cstheme="minorHAnsi"/>
                <w:sz w:val="20"/>
                <w:szCs w:val="20"/>
                <w:lang w:bidi="fr-FR"/>
              </w:rPr>
              <w:t xml:space="preserve">er </w:t>
            </w:r>
            <w:r w:rsidRPr="00E01239">
              <w:rPr>
                <w:rFonts w:asciiTheme="minorHAnsi" w:hAnsiTheme="minorHAnsi" w:cstheme="minorHAnsi"/>
                <w:sz w:val="20"/>
                <w:szCs w:val="20"/>
                <w:lang w:bidi="fr-FR"/>
              </w:rPr>
              <w:t>une dalle de rétention étanche pour les cuves à gasoil</w:t>
            </w:r>
          </w:p>
          <w:p w14:paraId="42B25253" w14:textId="61936B10" w:rsidR="00804B5E" w:rsidRPr="00E01239" w:rsidRDefault="00274CC6"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Enlever</w:t>
            </w:r>
            <w:r w:rsidR="0021441C" w:rsidRPr="00E01239">
              <w:rPr>
                <w:rFonts w:asciiTheme="minorHAnsi" w:hAnsiTheme="minorHAnsi" w:cstheme="minorHAnsi"/>
                <w:sz w:val="20"/>
                <w:szCs w:val="20"/>
                <w:lang w:bidi="fr-FR"/>
              </w:rPr>
              <w:t xml:space="preserve"> l</w:t>
            </w:r>
            <w:r w:rsidR="00804B5E" w:rsidRPr="00E01239">
              <w:rPr>
                <w:rFonts w:asciiTheme="minorHAnsi" w:hAnsiTheme="minorHAnsi" w:cstheme="minorHAnsi"/>
                <w:sz w:val="20"/>
                <w:szCs w:val="20"/>
                <w:lang w:bidi="fr-FR"/>
              </w:rPr>
              <w:t>es matériaux souillés en cas de déversement et évacuation par une entreprise agrée.</w:t>
            </w:r>
          </w:p>
          <w:p w14:paraId="4E0D1677" w14:textId="77777777" w:rsidR="00804B5E" w:rsidRPr="00E01239" w:rsidRDefault="00804B5E" w:rsidP="00027669">
            <w:pPr>
              <w:numPr>
                <w:ilvl w:val="0"/>
                <w:numId w:val="133"/>
              </w:numPr>
              <w:autoSpaceDE w:val="0"/>
              <w:autoSpaceDN w:val="0"/>
              <w:adjustRightInd w:val="0"/>
              <w:ind w:left="296" w:hanging="283"/>
              <w:contextualSpacing/>
              <w:rPr>
                <w:rFonts w:asciiTheme="minorHAnsi" w:hAnsiTheme="minorHAnsi" w:cstheme="minorHAnsi"/>
                <w:sz w:val="20"/>
                <w:szCs w:val="20"/>
                <w:lang w:bidi="fr-FR"/>
              </w:rPr>
            </w:pPr>
            <w:r w:rsidRPr="00E01239">
              <w:rPr>
                <w:rFonts w:asciiTheme="minorHAnsi" w:eastAsia="Calibri" w:hAnsiTheme="minorHAnsi" w:cstheme="minorHAnsi"/>
                <w:sz w:val="20"/>
                <w:szCs w:val="20"/>
                <w:lang w:bidi="fr-FR"/>
              </w:rPr>
              <w:t>Imperméabiliser les dalles de rétention des produits hydrocarburées</w:t>
            </w:r>
          </w:p>
        </w:tc>
      </w:tr>
      <w:tr w:rsidR="00804B5E" w:rsidRPr="00E01239" w14:paraId="666A467E" w14:textId="77777777" w:rsidTr="7CB1727A">
        <w:trPr>
          <w:trHeight w:val="255"/>
          <w:jc w:val="center"/>
        </w:trPr>
        <w:tc>
          <w:tcPr>
            <w:tcW w:w="657" w:type="pct"/>
            <w:vMerge/>
            <w:vAlign w:val="center"/>
          </w:tcPr>
          <w:p w14:paraId="5D716BB2"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633D6640"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Pollution du milieu par les déchets de chantier</w:t>
            </w:r>
          </w:p>
        </w:tc>
        <w:tc>
          <w:tcPr>
            <w:tcW w:w="2976" w:type="pct"/>
            <w:vAlign w:val="center"/>
          </w:tcPr>
          <w:p w14:paraId="4588963E" w14:textId="6F7F40AB"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Collecte</w:t>
            </w:r>
            <w:r w:rsidR="0021441C" w:rsidRPr="00E01239">
              <w:rPr>
                <w:rFonts w:asciiTheme="minorHAnsi" w:hAnsiTheme="minorHAnsi" w:cstheme="minorHAnsi"/>
                <w:sz w:val="20"/>
                <w:szCs w:val="20"/>
                <w:lang w:bidi="fr-FR"/>
              </w:rPr>
              <w:t>r</w:t>
            </w:r>
            <w:r w:rsidRPr="00E01239">
              <w:rPr>
                <w:rFonts w:asciiTheme="minorHAnsi" w:hAnsiTheme="minorHAnsi" w:cstheme="minorHAnsi"/>
                <w:sz w:val="20"/>
                <w:szCs w:val="20"/>
                <w:lang w:bidi="fr-FR"/>
              </w:rPr>
              <w:t>, évacu</w:t>
            </w:r>
            <w:r w:rsidR="0021441C" w:rsidRPr="00E01239">
              <w:rPr>
                <w:rFonts w:asciiTheme="minorHAnsi" w:hAnsiTheme="minorHAnsi" w:cstheme="minorHAnsi"/>
                <w:sz w:val="20"/>
                <w:szCs w:val="20"/>
                <w:lang w:bidi="fr-FR"/>
              </w:rPr>
              <w:t xml:space="preserve">er </w:t>
            </w:r>
            <w:r w:rsidRPr="00E01239">
              <w:rPr>
                <w:rFonts w:asciiTheme="minorHAnsi" w:hAnsiTheme="minorHAnsi" w:cstheme="minorHAnsi"/>
                <w:sz w:val="20"/>
                <w:szCs w:val="20"/>
                <w:lang w:bidi="fr-FR"/>
              </w:rPr>
              <w:t>et élimin</w:t>
            </w:r>
            <w:r w:rsidR="0021441C" w:rsidRPr="00E01239">
              <w:rPr>
                <w:rFonts w:asciiTheme="minorHAnsi" w:hAnsiTheme="minorHAnsi" w:cstheme="minorHAnsi"/>
                <w:sz w:val="20"/>
                <w:szCs w:val="20"/>
                <w:lang w:bidi="fr-FR"/>
              </w:rPr>
              <w:t>er les</w:t>
            </w:r>
            <w:r w:rsidRPr="00E01239">
              <w:rPr>
                <w:rFonts w:asciiTheme="minorHAnsi" w:hAnsiTheme="minorHAnsi" w:cstheme="minorHAnsi"/>
                <w:sz w:val="20"/>
                <w:szCs w:val="20"/>
                <w:lang w:bidi="fr-FR"/>
              </w:rPr>
              <w:t xml:space="preserve"> déchets solides et liquides </w:t>
            </w:r>
          </w:p>
          <w:p w14:paraId="23F89F11"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Acheminer les déchets non réutilisés dans une décharge autorisée</w:t>
            </w:r>
          </w:p>
          <w:p w14:paraId="13FB2126" w14:textId="7FE0C39F"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Aménage</w:t>
            </w:r>
            <w:r w:rsidR="0021441C" w:rsidRPr="00E01239">
              <w:rPr>
                <w:rFonts w:asciiTheme="minorHAnsi" w:hAnsiTheme="minorHAnsi" w:cstheme="minorHAnsi"/>
                <w:sz w:val="20"/>
                <w:szCs w:val="20"/>
                <w:lang w:bidi="fr-FR"/>
              </w:rPr>
              <w:t>r des</w:t>
            </w:r>
            <w:r w:rsidRPr="00E01239">
              <w:rPr>
                <w:rFonts w:asciiTheme="minorHAnsi" w:hAnsiTheme="minorHAnsi" w:cstheme="minorHAnsi"/>
                <w:sz w:val="20"/>
                <w:szCs w:val="20"/>
                <w:lang w:bidi="fr-FR"/>
              </w:rPr>
              <w:t xml:space="preserve"> bacs à ordures dans les chantiers</w:t>
            </w:r>
          </w:p>
          <w:p w14:paraId="24337DB5" w14:textId="6CBDB35B"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Nettoy</w:t>
            </w:r>
            <w:r w:rsidR="0021441C" w:rsidRPr="00E01239">
              <w:rPr>
                <w:rFonts w:asciiTheme="minorHAnsi" w:hAnsiTheme="minorHAnsi" w:cstheme="minorHAnsi"/>
                <w:sz w:val="20"/>
                <w:szCs w:val="20"/>
                <w:lang w:bidi="fr-FR"/>
              </w:rPr>
              <w:t>er</w:t>
            </w:r>
            <w:r w:rsidRPr="00E01239">
              <w:rPr>
                <w:rFonts w:asciiTheme="minorHAnsi" w:hAnsiTheme="minorHAnsi" w:cstheme="minorHAnsi"/>
                <w:sz w:val="20"/>
                <w:szCs w:val="20"/>
                <w:lang w:bidi="fr-FR"/>
              </w:rPr>
              <w:t xml:space="preserve"> et rem</w:t>
            </w:r>
            <w:r w:rsidR="0021441C" w:rsidRPr="00E01239">
              <w:rPr>
                <w:rFonts w:asciiTheme="minorHAnsi" w:hAnsiTheme="minorHAnsi" w:cstheme="minorHAnsi"/>
                <w:sz w:val="20"/>
                <w:szCs w:val="20"/>
                <w:lang w:bidi="fr-FR"/>
              </w:rPr>
              <w:t xml:space="preserve">ettre </w:t>
            </w:r>
            <w:r w:rsidRPr="00E01239">
              <w:rPr>
                <w:rFonts w:asciiTheme="minorHAnsi" w:hAnsiTheme="minorHAnsi" w:cstheme="minorHAnsi"/>
                <w:sz w:val="20"/>
                <w:szCs w:val="20"/>
                <w:lang w:bidi="fr-FR"/>
              </w:rPr>
              <w:t xml:space="preserve">en état </w:t>
            </w:r>
            <w:r w:rsidR="0021441C" w:rsidRPr="00E01239">
              <w:rPr>
                <w:rFonts w:asciiTheme="minorHAnsi" w:hAnsiTheme="minorHAnsi" w:cstheme="minorHAnsi"/>
                <w:sz w:val="20"/>
                <w:szCs w:val="20"/>
                <w:lang w:bidi="fr-FR"/>
              </w:rPr>
              <w:t>l</w:t>
            </w:r>
            <w:r w:rsidRPr="00E01239">
              <w:rPr>
                <w:rFonts w:asciiTheme="minorHAnsi" w:hAnsiTheme="minorHAnsi" w:cstheme="minorHAnsi"/>
                <w:sz w:val="20"/>
                <w:szCs w:val="20"/>
                <w:lang w:bidi="fr-FR"/>
              </w:rPr>
              <w:t>es sites après les travaux</w:t>
            </w:r>
          </w:p>
        </w:tc>
      </w:tr>
      <w:tr w:rsidR="00804B5E" w:rsidRPr="00E01239" w14:paraId="73C5399E" w14:textId="77777777" w:rsidTr="7CB1727A">
        <w:trPr>
          <w:trHeight w:val="422"/>
          <w:jc w:val="center"/>
        </w:trPr>
        <w:tc>
          <w:tcPr>
            <w:tcW w:w="657" w:type="pct"/>
            <w:vMerge/>
            <w:vAlign w:val="center"/>
          </w:tcPr>
          <w:p w14:paraId="161F4364"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48691138" w14:textId="57538802"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Exposition du personnel et des populations riveraines aux MST</w:t>
            </w:r>
            <w:r w:rsidR="005C3166">
              <w:rPr>
                <w:rFonts w:asciiTheme="minorHAnsi" w:hAnsiTheme="minorHAnsi" w:cstheme="minorHAnsi"/>
                <w:sz w:val="20"/>
                <w:szCs w:val="20"/>
                <w:lang w:bidi="fr-FR"/>
              </w:rPr>
              <w:t xml:space="preserve">, </w:t>
            </w:r>
            <w:r w:rsidRPr="00E01239">
              <w:rPr>
                <w:rFonts w:asciiTheme="minorHAnsi" w:hAnsiTheme="minorHAnsi" w:cstheme="minorHAnsi"/>
                <w:sz w:val="20"/>
                <w:szCs w:val="20"/>
                <w:lang w:bidi="fr-FR"/>
              </w:rPr>
              <w:t>aux IRA</w:t>
            </w:r>
            <w:r w:rsidR="005C3166">
              <w:rPr>
                <w:rFonts w:asciiTheme="minorHAnsi" w:hAnsiTheme="minorHAnsi" w:cstheme="minorHAnsi"/>
                <w:sz w:val="20"/>
                <w:szCs w:val="20"/>
                <w:lang w:bidi="fr-FR"/>
              </w:rPr>
              <w:t xml:space="preserve"> et au péril fécal</w:t>
            </w:r>
          </w:p>
        </w:tc>
        <w:tc>
          <w:tcPr>
            <w:tcW w:w="2976" w:type="pct"/>
            <w:vAlign w:val="center"/>
          </w:tcPr>
          <w:p w14:paraId="01C66C89" w14:textId="77777777" w:rsidR="00804B5E" w:rsidRPr="00E01239" w:rsidRDefault="00804B5E" w:rsidP="008C0C70">
            <w:pPr>
              <w:autoSpaceDE w:val="0"/>
              <w:autoSpaceDN w:val="0"/>
              <w:adjustRightInd w:val="0"/>
              <w:rPr>
                <w:rFonts w:asciiTheme="minorHAnsi" w:hAnsiTheme="minorHAnsi" w:cstheme="minorHAnsi"/>
                <w:iCs/>
                <w:sz w:val="20"/>
                <w:u w:val="single"/>
              </w:rPr>
            </w:pPr>
            <w:r w:rsidRPr="00E01239">
              <w:rPr>
                <w:rFonts w:asciiTheme="minorHAnsi" w:hAnsiTheme="minorHAnsi" w:cstheme="minorHAnsi"/>
                <w:iCs/>
                <w:sz w:val="20"/>
                <w:u w:val="single"/>
              </w:rPr>
              <w:t>Maladies sexuellement transmissibles :</w:t>
            </w:r>
          </w:p>
          <w:p w14:paraId="343E796B"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Sensibiliser le personnel de chantier et les populations sur les IST et le VIH/SIDA</w:t>
            </w:r>
          </w:p>
          <w:p w14:paraId="5BC4D9CF" w14:textId="77777777" w:rsidR="00804B5E" w:rsidRPr="00E01239" w:rsidRDefault="00804B5E" w:rsidP="008C0C70">
            <w:pPr>
              <w:autoSpaceDE w:val="0"/>
              <w:autoSpaceDN w:val="0"/>
              <w:adjustRightInd w:val="0"/>
              <w:rPr>
                <w:rFonts w:asciiTheme="minorHAnsi" w:hAnsiTheme="minorHAnsi" w:cstheme="minorHAnsi"/>
                <w:iCs/>
                <w:sz w:val="20"/>
                <w:u w:val="single"/>
              </w:rPr>
            </w:pPr>
            <w:r w:rsidRPr="00E01239">
              <w:rPr>
                <w:rFonts w:asciiTheme="minorHAnsi" w:hAnsiTheme="minorHAnsi" w:cstheme="minorHAnsi"/>
                <w:iCs/>
                <w:sz w:val="20"/>
                <w:u w:val="single"/>
              </w:rPr>
              <w:t>Maladies respiratoires :</w:t>
            </w:r>
          </w:p>
          <w:p w14:paraId="29E4C62C"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lastRenderedPageBreak/>
              <w:t>Équiper le personnel de masques à poussières et exiger leur port obligatoire</w:t>
            </w:r>
          </w:p>
          <w:p w14:paraId="48935602"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Informer et sensibiliser les populations sur la nature et le programme des travaux</w:t>
            </w:r>
          </w:p>
          <w:p w14:paraId="57576444" w14:textId="77777777" w:rsidR="00804B5E" w:rsidRPr="00E01239" w:rsidRDefault="00804B5E" w:rsidP="008C0C70">
            <w:pPr>
              <w:autoSpaceDE w:val="0"/>
              <w:autoSpaceDN w:val="0"/>
              <w:adjustRightInd w:val="0"/>
              <w:rPr>
                <w:rFonts w:asciiTheme="minorHAnsi" w:hAnsiTheme="minorHAnsi" w:cstheme="minorHAnsi"/>
                <w:iCs/>
                <w:sz w:val="20"/>
                <w:u w:val="single"/>
              </w:rPr>
            </w:pPr>
            <w:r w:rsidRPr="00E01239">
              <w:rPr>
                <w:rFonts w:asciiTheme="minorHAnsi" w:hAnsiTheme="minorHAnsi" w:cstheme="minorHAnsi"/>
                <w:iCs/>
                <w:sz w:val="20"/>
                <w:u w:val="single"/>
              </w:rPr>
              <w:t>Péril fécal :</w:t>
            </w:r>
          </w:p>
          <w:p w14:paraId="4EAE60DD"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Installer des sanitaires et vestiaires en nombre suffisant dans le chantier</w:t>
            </w:r>
          </w:p>
          <w:p w14:paraId="12C6E829"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Mettre en place un système d’alimentation en eau potable dans le chantier</w:t>
            </w:r>
          </w:p>
        </w:tc>
      </w:tr>
      <w:tr w:rsidR="00804B5E" w:rsidRPr="00E01239" w14:paraId="2F3CA59F" w14:textId="77777777" w:rsidTr="7CB1727A">
        <w:trPr>
          <w:trHeight w:val="422"/>
          <w:jc w:val="center"/>
        </w:trPr>
        <w:tc>
          <w:tcPr>
            <w:tcW w:w="657" w:type="pct"/>
            <w:vMerge/>
            <w:vAlign w:val="center"/>
          </w:tcPr>
          <w:p w14:paraId="70406299"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71137FB0"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Impacts liés à la manutention, aux chutes et aux engins</w:t>
            </w:r>
          </w:p>
        </w:tc>
        <w:tc>
          <w:tcPr>
            <w:tcW w:w="2976" w:type="pct"/>
            <w:vAlign w:val="center"/>
          </w:tcPr>
          <w:p w14:paraId="141689BD" w14:textId="449688FE" w:rsidR="00804B5E" w:rsidRPr="00E01239" w:rsidRDefault="0038300D"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Systématiser</w:t>
            </w:r>
            <w:r w:rsidR="0021441C" w:rsidRPr="00E01239">
              <w:rPr>
                <w:rFonts w:asciiTheme="minorHAnsi" w:hAnsiTheme="minorHAnsi" w:cstheme="minorHAnsi"/>
                <w:sz w:val="20"/>
                <w:szCs w:val="20"/>
                <w:lang w:bidi="fr-FR"/>
              </w:rPr>
              <w:t xml:space="preserve"> le p</w:t>
            </w:r>
            <w:r w:rsidR="00804B5E" w:rsidRPr="00E01239">
              <w:rPr>
                <w:rFonts w:asciiTheme="minorHAnsi" w:hAnsiTheme="minorHAnsi" w:cstheme="minorHAnsi"/>
                <w:sz w:val="20"/>
                <w:szCs w:val="20"/>
                <w:lang w:bidi="fr-FR"/>
              </w:rPr>
              <w:t>ort obligatoire des EPI (gants, chaussures de sécurité)</w:t>
            </w:r>
          </w:p>
          <w:p w14:paraId="3FAEC272"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Établir un plan de circulation des engins et véhicules </w:t>
            </w:r>
          </w:p>
          <w:p w14:paraId="2E665E64"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Former les opérateurs/conducteurs à la conduite en sécurité</w:t>
            </w:r>
          </w:p>
          <w:p w14:paraId="283FE70A"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Baliser les zones à risques ;</w:t>
            </w:r>
          </w:p>
          <w:p w14:paraId="368F33C4"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Sensibiliser le personnel de chantier sur les mesures de sécurité ;</w:t>
            </w:r>
          </w:p>
          <w:p w14:paraId="2EC1A478" w14:textId="05337E66"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Inform</w:t>
            </w:r>
            <w:r w:rsidR="0021441C" w:rsidRPr="00E01239">
              <w:rPr>
                <w:rFonts w:asciiTheme="minorHAnsi" w:hAnsiTheme="minorHAnsi" w:cstheme="minorHAnsi"/>
                <w:sz w:val="20"/>
                <w:szCs w:val="20"/>
                <w:lang w:bidi="fr-FR"/>
              </w:rPr>
              <w:t>er l</w:t>
            </w:r>
            <w:r w:rsidRPr="00E01239">
              <w:rPr>
                <w:rFonts w:asciiTheme="minorHAnsi" w:hAnsiTheme="minorHAnsi" w:cstheme="minorHAnsi"/>
                <w:sz w:val="20"/>
                <w:szCs w:val="20"/>
                <w:lang w:bidi="fr-FR"/>
              </w:rPr>
              <w:t>es riverains sur les risques encourus,</w:t>
            </w:r>
          </w:p>
          <w:p w14:paraId="55CF6742" w14:textId="5E125781"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Blind</w:t>
            </w:r>
            <w:r w:rsidR="0021441C" w:rsidRPr="00E01239">
              <w:rPr>
                <w:rFonts w:asciiTheme="minorHAnsi" w:hAnsiTheme="minorHAnsi" w:cstheme="minorHAnsi"/>
                <w:sz w:val="20"/>
                <w:szCs w:val="20"/>
                <w:lang w:bidi="fr-FR"/>
              </w:rPr>
              <w:t xml:space="preserve">er </w:t>
            </w:r>
            <w:r w:rsidRPr="00E01239">
              <w:rPr>
                <w:rFonts w:asciiTheme="minorHAnsi" w:hAnsiTheme="minorHAnsi" w:cstheme="minorHAnsi"/>
                <w:sz w:val="20"/>
                <w:szCs w:val="20"/>
                <w:lang w:bidi="fr-FR"/>
              </w:rPr>
              <w:t>/</w:t>
            </w:r>
            <w:r w:rsidR="0021441C" w:rsidRPr="00E01239">
              <w:rPr>
                <w:rFonts w:asciiTheme="minorHAnsi" w:hAnsiTheme="minorHAnsi" w:cstheme="minorHAnsi"/>
                <w:sz w:val="20"/>
                <w:szCs w:val="20"/>
                <w:lang w:bidi="fr-FR"/>
              </w:rPr>
              <w:t xml:space="preserve"> </w:t>
            </w:r>
            <w:r w:rsidRPr="00E01239">
              <w:rPr>
                <w:rFonts w:asciiTheme="minorHAnsi" w:hAnsiTheme="minorHAnsi" w:cstheme="minorHAnsi"/>
                <w:sz w:val="20"/>
                <w:szCs w:val="20"/>
                <w:lang w:bidi="fr-FR"/>
              </w:rPr>
              <w:t>Talut</w:t>
            </w:r>
            <w:r w:rsidR="0021441C" w:rsidRPr="00E01239">
              <w:rPr>
                <w:rFonts w:asciiTheme="minorHAnsi" w:hAnsiTheme="minorHAnsi" w:cstheme="minorHAnsi"/>
                <w:sz w:val="20"/>
                <w:szCs w:val="20"/>
                <w:lang w:bidi="fr-FR"/>
              </w:rPr>
              <w:t>er les</w:t>
            </w:r>
            <w:r w:rsidRPr="00E01239">
              <w:rPr>
                <w:rFonts w:asciiTheme="minorHAnsi" w:hAnsiTheme="minorHAnsi" w:cstheme="minorHAnsi"/>
                <w:sz w:val="20"/>
                <w:szCs w:val="20"/>
                <w:lang w:bidi="fr-FR"/>
              </w:rPr>
              <w:t xml:space="preserve"> fouilles</w:t>
            </w:r>
          </w:p>
          <w:p w14:paraId="10B93CC0" w14:textId="35C1ABED"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M</w:t>
            </w:r>
            <w:r w:rsidR="0021441C" w:rsidRPr="00E01239">
              <w:rPr>
                <w:rFonts w:asciiTheme="minorHAnsi" w:hAnsiTheme="minorHAnsi" w:cstheme="minorHAnsi"/>
                <w:sz w:val="20"/>
                <w:szCs w:val="20"/>
                <w:lang w:bidi="fr-FR"/>
              </w:rPr>
              <w:t xml:space="preserve">ettre </w:t>
            </w:r>
            <w:r w:rsidRPr="00E01239">
              <w:rPr>
                <w:rFonts w:asciiTheme="minorHAnsi" w:hAnsiTheme="minorHAnsi" w:cstheme="minorHAnsi"/>
                <w:sz w:val="20"/>
                <w:szCs w:val="20"/>
                <w:lang w:bidi="fr-FR"/>
              </w:rPr>
              <w:t>en place un permis de travail pour les activités critiques</w:t>
            </w:r>
          </w:p>
          <w:p w14:paraId="2D5C4933" w14:textId="2C631CAC" w:rsidR="00804B5E" w:rsidRPr="00E01239" w:rsidRDefault="005C3166" w:rsidP="00027669">
            <w:pPr>
              <w:pStyle w:val="Paragraphedeliste"/>
              <w:numPr>
                <w:ilvl w:val="0"/>
                <w:numId w:val="133"/>
              </w:numPr>
              <w:ind w:left="296" w:hanging="283"/>
              <w:rPr>
                <w:rFonts w:asciiTheme="minorHAnsi" w:hAnsiTheme="minorHAnsi" w:cstheme="minorHAnsi"/>
                <w:sz w:val="20"/>
                <w:szCs w:val="20"/>
                <w:lang w:bidi="fr-FR"/>
              </w:rPr>
            </w:pPr>
            <w:r>
              <w:rPr>
                <w:rFonts w:asciiTheme="minorHAnsi" w:hAnsiTheme="minorHAnsi" w:cstheme="minorHAnsi"/>
                <w:sz w:val="20"/>
                <w:szCs w:val="20"/>
                <w:lang w:bidi="fr-FR"/>
              </w:rPr>
              <w:t xml:space="preserve">Mettre en place un dispositif d’éclairage de nuit </w:t>
            </w:r>
            <w:proofErr w:type="gramStart"/>
            <w:r>
              <w:rPr>
                <w:rFonts w:asciiTheme="minorHAnsi" w:hAnsiTheme="minorHAnsi" w:cstheme="minorHAnsi"/>
                <w:sz w:val="20"/>
                <w:szCs w:val="20"/>
                <w:lang w:bidi="fr-FR"/>
              </w:rPr>
              <w:t xml:space="preserve">des  </w:t>
            </w:r>
            <w:r w:rsidR="00804B5E" w:rsidRPr="00E01239">
              <w:rPr>
                <w:rFonts w:asciiTheme="minorHAnsi" w:hAnsiTheme="minorHAnsi" w:cstheme="minorHAnsi"/>
                <w:sz w:val="20"/>
                <w:szCs w:val="20"/>
                <w:lang w:bidi="fr-FR"/>
              </w:rPr>
              <w:t>fouilles</w:t>
            </w:r>
            <w:proofErr w:type="gramEnd"/>
          </w:p>
          <w:p w14:paraId="4870ECE3" w14:textId="155D5683"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Signalis</w:t>
            </w:r>
            <w:r w:rsidR="0021441C" w:rsidRPr="00E01239">
              <w:rPr>
                <w:rFonts w:asciiTheme="minorHAnsi" w:hAnsiTheme="minorHAnsi" w:cstheme="minorHAnsi"/>
                <w:sz w:val="20"/>
                <w:szCs w:val="20"/>
                <w:lang w:bidi="fr-FR"/>
              </w:rPr>
              <w:t xml:space="preserve">er d’une manière </w:t>
            </w:r>
            <w:r w:rsidRPr="00E01239">
              <w:rPr>
                <w:rFonts w:asciiTheme="minorHAnsi" w:hAnsiTheme="minorHAnsi" w:cstheme="minorHAnsi"/>
                <w:sz w:val="20"/>
                <w:szCs w:val="20"/>
                <w:lang w:bidi="fr-FR"/>
              </w:rPr>
              <w:t xml:space="preserve">avancée et </w:t>
            </w:r>
            <w:r w:rsidR="0021441C" w:rsidRPr="00E01239">
              <w:rPr>
                <w:rFonts w:asciiTheme="minorHAnsi" w:hAnsiTheme="minorHAnsi" w:cstheme="minorHAnsi"/>
                <w:sz w:val="20"/>
                <w:szCs w:val="20"/>
                <w:lang w:bidi="fr-FR"/>
              </w:rPr>
              <w:t xml:space="preserve">la </w:t>
            </w:r>
            <w:r w:rsidRPr="00E01239">
              <w:rPr>
                <w:rFonts w:asciiTheme="minorHAnsi" w:hAnsiTheme="minorHAnsi" w:cstheme="minorHAnsi"/>
                <w:sz w:val="20"/>
                <w:szCs w:val="20"/>
                <w:lang w:bidi="fr-FR"/>
              </w:rPr>
              <w:t>position des axes de travaux</w:t>
            </w:r>
          </w:p>
        </w:tc>
      </w:tr>
      <w:tr w:rsidR="00804B5E" w:rsidRPr="00E01239" w14:paraId="71E0D12F" w14:textId="77777777" w:rsidTr="7CB1727A">
        <w:trPr>
          <w:trHeight w:val="422"/>
          <w:jc w:val="center"/>
        </w:trPr>
        <w:tc>
          <w:tcPr>
            <w:tcW w:w="657" w:type="pct"/>
            <w:vMerge/>
            <w:vAlign w:val="center"/>
          </w:tcPr>
          <w:p w14:paraId="44AA807B"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5C0FBF9B"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Perturbation des parcours pastoraux et confits avec les éleveurs</w:t>
            </w:r>
          </w:p>
        </w:tc>
        <w:tc>
          <w:tcPr>
            <w:tcW w:w="2976" w:type="pct"/>
            <w:vAlign w:val="center"/>
          </w:tcPr>
          <w:p w14:paraId="63367DBD"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Prévoir des couloirs de passage d’accès aux points d’eau et des parcours du bétail</w:t>
            </w:r>
          </w:p>
          <w:p w14:paraId="3C82B319" w14:textId="00B3EAE6"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Réalis</w:t>
            </w:r>
            <w:r w:rsidR="0021441C" w:rsidRPr="00E01239">
              <w:rPr>
                <w:rFonts w:asciiTheme="minorHAnsi" w:hAnsiTheme="minorHAnsi" w:cstheme="minorHAnsi"/>
                <w:sz w:val="20"/>
                <w:szCs w:val="20"/>
                <w:lang w:bidi="fr-FR"/>
              </w:rPr>
              <w:t>er des</w:t>
            </w:r>
            <w:r w:rsidRPr="00E01239">
              <w:rPr>
                <w:rFonts w:asciiTheme="minorHAnsi" w:hAnsiTheme="minorHAnsi" w:cstheme="minorHAnsi"/>
                <w:sz w:val="20"/>
                <w:szCs w:val="20"/>
                <w:lang w:bidi="fr-FR"/>
              </w:rPr>
              <w:t xml:space="preserve"> mares d’abreuvement alimentées en eau toute l’année </w:t>
            </w:r>
          </w:p>
          <w:p w14:paraId="7D1D8E16" w14:textId="59011695"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Mettre en place une communication avec les éleveurs</w:t>
            </w:r>
            <w:r w:rsidR="00C70C6F">
              <w:rPr>
                <w:rFonts w:asciiTheme="minorHAnsi" w:hAnsiTheme="minorHAnsi" w:cstheme="minorHAnsi"/>
                <w:sz w:val="20"/>
                <w:szCs w:val="20"/>
                <w:lang w:bidi="fr-FR"/>
              </w:rPr>
              <w:t xml:space="preserve"> et les producteurs agricoles</w:t>
            </w:r>
          </w:p>
        </w:tc>
      </w:tr>
      <w:tr w:rsidR="00804B5E" w:rsidRPr="00E01239" w14:paraId="30D688A6" w14:textId="77777777" w:rsidTr="7CB1727A">
        <w:trPr>
          <w:trHeight w:val="422"/>
          <w:jc w:val="center"/>
        </w:trPr>
        <w:tc>
          <w:tcPr>
            <w:tcW w:w="657" w:type="pct"/>
            <w:vMerge/>
            <w:vAlign w:val="center"/>
          </w:tcPr>
          <w:p w14:paraId="58C5E731"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3B432B07"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Impacts sur la mobilité et gêne pour les populations riveraines </w:t>
            </w:r>
          </w:p>
        </w:tc>
        <w:tc>
          <w:tcPr>
            <w:tcW w:w="2976" w:type="pct"/>
            <w:vAlign w:val="center"/>
          </w:tcPr>
          <w:p w14:paraId="1AD6786C" w14:textId="1D2CAE17" w:rsidR="00804B5E" w:rsidRPr="00E01239" w:rsidRDefault="0021441C"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Organiser des s</w:t>
            </w:r>
            <w:r w:rsidR="00804B5E" w:rsidRPr="00E01239">
              <w:rPr>
                <w:rFonts w:asciiTheme="minorHAnsi" w:hAnsiTheme="minorHAnsi" w:cstheme="minorHAnsi"/>
                <w:sz w:val="20"/>
                <w:szCs w:val="20"/>
                <w:lang w:bidi="fr-FR"/>
              </w:rPr>
              <w:t>éances d’information des populations sur les travaux et les affichages sur les règles de sécurité à observer dans le périmètre des travaux</w:t>
            </w:r>
          </w:p>
        </w:tc>
      </w:tr>
      <w:tr w:rsidR="00804B5E" w:rsidRPr="00E01239" w14:paraId="4E09D42B" w14:textId="77777777" w:rsidTr="7CB1727A">
        <w:trPr>
          <w:trHeight w:val="422"/>
          <w:jc w:val="center"/>
        </w:trPr>
        <w:tc>
          <w:tcPr>
            <w:tcW w:w="657" w:type="pct"/>
            <w:vMerge/>
            <w:vAlign w:val="center"/>
          </w:tcPr>
          <w:p w14:paraId="314511BC"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41C63370"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Risques de conflits entre les populations et les ouvriers</w:t>
            </w:r>
          </w:p>
        </w:tc>
        <w:tc>
          <w:tcPr>
            <w:tcW w:w="2976" w:type="pct"/>
            <w:vAlign w:val="center"/>
          </w:tcPr>
          <w:p w14:paraId="6BB016DE"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Recruter en priorité la main d’œuvre locale pour les emplois non qualifiés </w:t>
            </w:r>
          </w:p>
          <w:p w14:paraId="5D6A31EA" w14:textId="114736C6"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Inform</w:t>
            </w:r>
            <w:r w:rsidR="0021441C" w:rsidRPr="00E01239">
              <w:rPr>
                <w:rFonts w:asciiTheme="minorHAnsi" w:hAnsiTheme="minorHAnsi" w:cstheme="minorHAnsi"/>
                <w:sz w:val="20"/>
                <w:szCs w:val="20"/>
                <w:lang w:bidi="fr-FR"/>
              </w:rPr>
              <w:t>er</w:t>
            </w:r>
            <w:r w:rsidRPr="00E01239">
              <w:rPr>
                <w:rFonts w:asciiTheme="minorHAnsi" w:hAnsiTheme="minorHAnsi" w:cstheme="minorHAnsi"/>
                <w:sz w:val="20"/>
                <w:szCs w:val="20"/>
                <w:lang w:bidi="fr-FR"/>
              </w:rPr>
              <w:t xml:space="preserve"> &amp; sensibilis</w:t>
            </w:r>
            <w:r w:rsidR="0021441C" w:rsidRPr="00E01239">
              <w:rPr>
                <w:rFonts w:asciiTheme="minorHAnsi" w:hAnsiTheme="minorHAnsi" w:cstheme="minorHAnsi"/>
                <w:sz w:val="20"/>
                <w:szCs w:val="20"/>
                <w:lang w:bidi="fr-FR"/>
              </w:rPr>
              <w:t>er l</w:t>
            </w:r>
            <w:r w:rsidRPr="00E01239">
              <w:rPr>
                <w:rFonts w:asciiTheme="minorHAnsi" w:hAnsiTheme="minorHAnsi" w:cstheme="minorHAnsi"/>
                <w:sz w:val="20"/>
                <w:szCs w:val="20"/>
                <w:lang w:bidi="fr-FR"/>
              </w:rPr>
              <w:t>es populations et du personnel de chantier</w:t>
            </w:r>
          </w:p>
        </w:tc>
      </w:tr>
      <w:tr w:rsidR="00804B5E" w:rsidRPr="00E01239" w14:paraId="431D8E24" w14:textId="77777777" w:rsidTr="7CB1727A">
        <w:trPr>
          <w:trHeight w:val="221"/>
          <w:jc w:val="center"/>
        </w:trPr>
        <w:tc>
          <w:tcPr>
            <w:tcW w:w="657" w:type="pct"/>
            <w:vMerge/>
            <w:vAlign w:val="center"/>
          </w:tcPr>
          <w:p w14:paraId="6A1D609E"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041075ED"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Dégradation de sites culturels et cultuels</w:t>
            </w:r>
          </w:p>
        </w:tc>
        <w:tc>
          <w:tcPr>
            <w:tcW w:w="2976" w:type="pct"/>
            <w:vAlign w:val="center"/>
          </w:tcPr>
          <w:p w14:paraId="0688C77D" w14:textId="77777777" w:rsidR="00804B5E" w:rsidRPr="00E01239" w:rsidRDefault="00804B5E" w:rsidP="008C0C70">
            <w:pPr>
              <w:autoSpaceDE w:val="0"/>
              <w:autoSpaceDN w:val="0"/>
              <w:adjustRightInd w:val="0"/>
              <w:jc w:val="both"/>
              <w:rPr>
                <w:rFonts w:asciiTheme="minorHAnsi" w:hAnsiTheme="minorHAnsi" w:cstheme="minorHAnsi"/>
                <w:sz w:val="20"/>
                <w:szCs w:val="20"/>
                <w:u w:val="single"/>
              </w:rPr>
            </w:pPr>
            <w:r w:rsidRPr="00E01239">
              <w:rPr>
                <w:rFonts w:asciiTheme="minorHAnsi" w:hAnsiTheme="minorHAnsi" w:cstheme="minorHAnsi"/>
                <w:sz w:val="20"/>
                <w:szCs w:val="20"/>
                <w:u w:val="single"/>
              </w:rPr>
              <w:t xml:space="preserve">En cas de découverte de vestiges : </w:t>
            </w:r>
          </w:p>
          <w:p w14:paraId="4859B757" w14:textId="77777777" w:rsidR="00804B5E" w:rsidRPr="00E01239" w:rsidRDefault="00804B5E" w:rsidP="00027669">
            <w:pPr>
              <w:numPr>
                <w:ilvl w:val="0"/>
                <w:numId w:val="133"/>
              </w:numPr>
              <w:autoSpaceDE w:val="0"/>
              <w:autoSpaceDN w:val="0"/>
              <w:adjustRightInd w:val="0"/>
              <w:jc w:val="both"/>
              <w:rPr>
                <w:rFonts w:asciiTheme="minorHAnsi" w:hAnsiTheme="minorHAnsi" w:cstheme="minorHAnsi"/>
                <w:sz w:val="20"/>
                <w:szCs w:val="20"/>
              </w:rPr>
            </w:pPr>
            <w:r w:rsidRPr="00E01239">
              <w:rPr>
                <w:rFonts w:asciiTheme="minorHAnsi" w:hAnsiTheme="minorHAnsi" w:cstheme="minorHAnsi"/>
                <w:sz w:val="20"/>
                <w:szCs w:val="20"/>
              </w:rPr>
              <w:t xml:space="preserve">Arrêter les travaux </w:t>
            </w:r>
          </w:p>
          <w:p w14:paraId="34DB4F89" w14:textId="77777777" w:rsidR="00804B5E" w:rsidRPr="00E01239" w:rsidRDefault="00804B5E" w:rsidP="00027669">
            <w:pPr>
              <w:numPr>
                <w:ilvl w:val="0"/>
                <w:numId w:val="133"/>
              </w:numPr>
              <w:autoSpaceDE w:val="0"/>
              <w:autoSpaceDN w:val="0"/>
              <w:adjustRightInd w:val="0"/>
              <w:jc w:val="both"/>
              <w:rPr>
                <w:rFonts w:asciiTheme="minorHAnsi" w:hAnsiTheme="minorHAnsi" w:cstheme="minorHAnsi"/>
              </w:rPr>
            </w:pPr>
            <w:r w:rsidRPr="00E01239">
              <w:rPr>
                <w:rFonts w:asciiTheme="minorHAnsi" w:hAnsiTheme="minorHAnsi" w:cstheme="minorHAnsi"/>
                <w:sz w:val="20"/>
                <w:szCs w:val="20"/>
              </w:rPr>
              <w:t>Circonscrire et protéger la zone de découverte</w:t>
            </w:r>
          </w:p>
          <w:p w14:paraId="5C8706D2" w14:textId="77777777" w:rsidR="00804B5E" w:rsidRPr="00E01239" w:rsidRDefault="00804B5E" w:rsidP="00027669">
            <w:pPr>
              <w:pStyle w:val="Paragraphedeliste"/>
              <w:numPr>
                <w:ilvl w:val="0"/>
                <w:numId w:val="133"/>
              </w:numPr>
              <w:rPr>
                <w:rFonts w:asciiTheme="minorHAnsi" w:hAnsiTheme="minorHAnsi" w:cstheme="minorHAnsi"/>
                <w:sz w:val="20"/>
                <w:szCs w:val="20"/>
                <w:lang w:bidi="fr-FR"/>
              </w:rPr>
            </w:pPr>
            <w:r w:rsidRPr="00E01239">
              <w:rPr>
                <w:rFonts w:asciiTheme="minorHAnsi" w:hAnsiTheme="minorHAnsi" w:cstheme="minorHAnsi"/>
                <w:sz w:val="20"/>
                <w:szCs w:val="20"/>
              </w:rPr>
              <w:t>Avertir immédiatement les services compétents</w:t>
            </w:r>
          </w:p>
        </w:tc>
      </w:tr>
      <w:tr w:rsidR="00804B5E" w:rsidRPr="00E01239" w14:paraId="23D92FBC" w14:textId="77777777" w:rsidTr="7CB1727A">
        <w:trPr>
          <w:trHeight w:val="253"/>
          <w:jc w:val="center"/>
        </w:trPr>
        <w:tc>
          <w:tcPr>
            <w:tcW w:w="657" w:type="pct"/>
            <w:vMerge/>
            <w:vAlign w:val="center"/>
          </w:tcPr>
          <w:p w14:paraId="5FE2CB79"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1AA4DD57"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Pertes de terres et autres biens économiques</w:t>
            </w:r>
          </w:p>
        </w:tc>
        <w:tc>
          <w:tcPr>
            <w:tcW w:w="2976" w:type="pct"/>
            <w:vAlign w:val="center"/>
          </w:tcPr>
          <w:p w14:paraId="41CC1A2A"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Elaborer un plan d’actions de réinstallation conformément aux exigences de la NES 5 et du Cadre de Politique de Réinstallation du FSRP-SN</w:t>
            </w:r>
          </w:p>
          <w:p w14:paraId="4E1482A4"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Compenser les pertes et payer les indemnisations avant le démarrage des travaux</w:t>
            </w:r>
          </w:p>
          <w:p w14:paraId="03E4AF10"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Accompagner les groupes vulnérables impactés par le projet</w:t>
            </w:r>
          </w:p>
          <w:p w14:paraId="771CB859"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Mettre en place un mécanisme de gestion des plaintes</w:t>
            </w:r>
          </w:p>
        </w:tc>
      </w:tr>
      <w:tr w:rsidR="00804B5E" w:rsidRPr="00E01239" w14:paraId="4E63C146" w14:textId="77777777" w:rsidTr="7CB1727A">
        <w:trPr>
          <w:trHeight w:val="257"/>
          <w:jc w:val="center"/>
        </w:trPr>
        <w:tc>
          <w:tcPr>
            <w:tcW w:w="657" w:type="pct"/>
            <w:vMerge/>
            <w:vAlign w:val="center"/>
          </w:tcPr>
          <w:p w14:paraId="5E090D72"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1C55B990"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Risques EAS/HS</w:t>
            </w:r>
          </w:p>
        </w:tc>
        <w:tc>
          <w:tcPr>
            <w:tcW w:w="2976" w:type="pct"/>
            <w:vAlign w:val="center"/>
          </w:tcPr>
          <w:p w14:paraId="1FBC996A"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Signer les codes de conduite interdisant la VBG/EAS/HS dans un langage clair et sans ambiguïté et précisant les sanctions encourues</w:t>
            </w:r>
          </w:p>
          <w:p w14:paraId="215631A8"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lastRenderedPageBreak/>
              <w:t xml:space="preserve">Cartographier, dans le cadre des EIES, les services d’appui médical, psychosociale et légal pour les survivantes de VBG/EAS/HS </w:t>
            </w:r>
          </w:p>
          <w:p w14:paraId="02BBABB6"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Proposer un mécanisme de gestion des plaintes axé sur les cas de VBG/EAS/HS</w:t>
            </w:r>
          </w:p>
          <w:p w14:paraId="74B72900"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Sensibiliser les travailleurs et les communautés sur les dispositions du code de conduite et sur les mécanismes de saisine prévus dans le MGP</w:t>
            </w:r>
          </w:p>
          <w:p w14:paraId="31ACD492" w14:textId="03C78770"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rPr>
            </w:pPr>
            <w:r w:rsidRPr="00E01239">
              <w:rPr>
                <w:rFonts w:asciiTheme="minorHAnsi" w:hAnsiTheme="minorHAnsi" w:cstheme="minorHAnsi"/>
                <w:sz w:val="20"/>
                <w:szCs w:val="20"/>
                <w:lang w:bidi="fr-FR"/>
              </w:rPr>
              <w:t>Mettre en place des installations intégrant les aspects VBG (éclairage, toilettes séparées pour les hommes et femmes qui puissent être fermées à clé à partir de l’intérieur, affichages des règles et consignes à respecter</w:t>
            </w:r>
            <w:r w:rsidR="00AE70FE">
              <w:rPr>
                <w:rFonts w:asciiTheme="minorHAnsi" w:hAnsiTheme="minorHAnsi" w:cstheme="minorHAnsi"/>
                <w:sz w:val="20"/>
                <w:szCs w:val="20"/>
                <w:lang w:bidi="fr-FR"/>
              </w:rPr>
              <w:t>)</w:t>
            </w:r>
          </w:p>
        </w:tc>
      </w:tr>
      <w:tr w:rsidR="00804B5E" w:rsidRPr="00E01239" w14:paraId="1A974450" w14:textId="77777777" w:rsidTr="7CB1727A">
        <w:trPr>
          <w:trHeight w:val="422"/>
          <w:jc w:val="center"/>
        </w:trPr>
        <w:tc>
          <w:tcPr>
            <w:tcW w:w="657" w:type="pct"/>
            <w:vMerge/>
            <w:vAlign w:val="center"/>
          </w:tcPr>
          <w:p w14:paraId="63FA8B45"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1DBDC50A"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Exposition des travailleurs à des braquages, enlèvements et attaques </w:t>
            </w:r>
          </w:p>
        </w:tc>
        <w:tc>
          <w:tcPr>
            <w:tcW w:w="2976" w:type="pct"/>
            <w:vAlign w:val="center"/>
          </w:tcPr>
          <w:p w14:paraId="143CC47C"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Impliquer les autorités locales et les services militaires pour la sécurisation des zones de travaux</w:t>
            </w:r>
          </w:p>
          <w:p w14:paraId="7A4A9732"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Identifier les zones rouges et sensibiliser le personnel de chantier sur les mesures de sécurité à observer</w:t>
            </w:r>
          </w:p>
        </w:tc>
      </w:tr>
      <w:tr w:rsidR="00804B5E" w:rsidRPr="00E01239" w14:paraId="05E2AFCC" w14:textId="77777777" w:rsidTr="7CB1727A">
        <w:trPr>
          <w:trHeight w:val="422"/>
          <w:jc w:val="center"/>
        </w:trPr>
        <w:tc>
          <w:tcPr>
            <w:tcW w:w="657" w:type="pct"/>
            <w:vMerge/>
            <w:vAlign w:val="center"/>
          </w:tcPr>
          <w:p w14:paraId="39EAAE8A"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7B36AFA8"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Nuisances sonores</w:t>
            </w:r>
          </w:p>
        </w:tc>
        <w:tc>
          <w:tcPr>
            <w:tcW w:w="2976" w:type="pct"/>
            <w:vAlign w:val="center"/>
          </w:tcPr>
          <w:p w14:paraId="7BFDC3D4"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Choisir les équipements qui respectent la limite de 85 </w:t>
            </w:r>
            <w:proofErr w:type="spellStart"/>
            <w:r w:rsidRPr="00E01239">
              <w:rPr>
                <w:rFonts w:asciiTheme="minorHAnsi" w:hAnsiTheme="minorHAnsi" w:cstheme="minorHAnsi"/>
                <w:sz w:val="20"/>
                <w:szCs w:val="20"/>
                <w:lang w:bidi="fr-FR"/>
              </w:rPr>
              <w:t>db</w:t>
            </w:r>
            <w:proofErr w:type="spellEnd"/>
            <w:r w:rsidRPr="00E01239">
              <w:rPr>
                <w:rFonts w:asciiTheme="minorHAnsi" w:hAnsiTheme="minorHAnsi" w:cstheme="minorHAnsi"/>
                <w:sz w:val="20"/>
                <w:szCs w:val="20"/>
                <w:lang w:bidi="fr-FR"/>
              </w:rPr>
              <w:t xml:space="preserve"> à 01 mètre</w:t>
            </w:r>
          </w:p>
          <w:p w14:paraId="514E8956"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Port de casque antibruit pour le personnel de chantier et le personnel exploitant</w:t>
            </w:r>
          </w:p>
          <w:p w14:paraId="4CF782AE" w14:textId="77777777" w:rsidR="00804B5E"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Utiliser des groupes électrogènes respectant la norme de 85 </w:t>
            </w:r>
            <w:proofErr w:type="spellStart"/>
            <w:r w:rsidRPr="00E01239">
              <w:rPr>
                <w:rFonts w:asciiTheme="minorHAnsi" w:hAnsiTheme="minorHAnsi" w:cstheme="minorHAnsi"/>
                <w:sz w:val="20"/>
                <w:szCs w:val="20"/>
                <w:lang w:bidi="fr-FR"/>
              </w:rPr>
              <w:t>db</w:t>
            </w:r>
            <w:proofErr w:type="spellEnd"/>
            <w:r w:rsidRPr="00E01239">
              <w:rPr>
                <w:rFonts w:asciiTheme="minorHAnsi" w:hAnsiTheme="minorHAnsi" w:cstheme="minorHAnsi"/>
                <w:sz w:val="20"/>
                <w:szCs w:val="20"/>
                <w:lang w:bidi="fr-FR"/>
              </w:rPr>
              <w:t xml:space="preserve"> à 01 mètre</w:t>
            </w:r>
          </w:p>
          <w:p w14:paraId="4CDCFA68" w14:textId="17F0D432" w:rsidR="00C70C6F" w:rsidRPr="00E01239" w:rsidRDefault="00C70C6F" w:rsidP="00027669">
            <w:pPr>
              <w:pStyle w:val="Paragraphedeliste"/>
              <w:numPr>
                <w:ilvl w:val="0"/>
                <w:numId w:val="133"/>
              </w:numPr>
              <w:ind w:left="296" w:hanging="283"/>
              <w:jc w:val="both"/>
              <w:rPr>
                <w:rFonts w:asciiTheme="minorHAnsi" w:hAnsiTheme="minorHAnsi" w:cstheme="minorHAnsi"/>
                <w:sz w:val="20"/>
                <w:szCs w:val="20"/>
                <w:lang w:bidi="fr-FR"/>
              </w:rPr>
            </w:pPr>
            <w:r>
              <w:rPr>
                <w:rFonts w:asciiTheme="minorHAnsi" w:hAnsiTheme="minorHAnsi" w:cstheme="minorHAnsi"/>
                <w:sz w:val="20"/>
                <w:szCs w:val="20"/>
                <w:lang w:bidi="fr-FR"/>
              </w:rPr>
              <w:t>Respecter les seuils maxima de bruits à ne pas dépasser conformément à la réglementation nationale</w:t>
            </w:r>
            <w:r>
              <w:rPr>
                <w:rStyle w:val="Appelnotedebasdep"/>
                <w:rFonts w:asciiTheme="minorHAnsi" w:hAnsiTheme="minorHAnsi" w:cstheme="minorHAnsi"/>
                <w:sz w:val="20"/>
                <w:szCs w:val="20"/>
                <w:lang w:bidi="fr-FR"/>
              </w:rPr>
              <w:footnoteReference w:id="6"/>
            </w:r>
          </w:p>
          <w:p w14:paraId="4E5D3044"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Planifier les heures de ravitaillement du chantier</w:t>
            </w:r>
          </w:p>
          <w:p w14:paraId="68117F7C"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Entretenir les outils pneumatiques, les machines et l’équipement pour maintenir le niveau de bruit généré à une valeur acceptable</w:t>
            </w:r>
          </w:p>
          <w:p w14:paraId="0254AFA3"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Sensibiliser le voisinage sur les nuisances sonores produites par les travaux et les mesures mises en place</w:t>
            </w:r>
          </w:p>
        </w:tc>
      </w:tr>
      <w:tr w:rsidR="00804B5E" w:rsidRPr="00E01239" w14:paraId="733EE486" w14:textId="77777777" w:rsidTr="7CB1727A">
        <w:trPr>
          <w:trHeight w:val="422"/>
          <w:jc w:val="center"/>
        </w:trPr>
        <w:tc>
          <w:tcPr>
            <w:tcW w:w="5000" w:type="pct"/>
            <w:gridSpan w:val="3"/>
            <w:shd w:val="clear" w:color="auto" w:fill="FFC000" w:themeFill="accent4"/>
            <w:vAlign w:val="center"/>
          </w:tcPr>
          <w:p w14:paraId="647EE5B3" w14:textId="77777777" w:rsidR="00804B5E" w:rsidRPr="00E01239" w:rsidRDefault="00804B5E" w:rsidP="008C0C70">
            <w:pPr>
              <w:jc w:val="both"/>
              <w:rPr>
                <w:rFonts w:asciiTheme="minorHAnsi" w:hAnsiTheme="minorHAnsi" w:cstheme="minorHAnsi"/>
                <w:sz w:val="20"/>
                <w:szCs w:val="20"/>
                <w:lang w:bidi="fr-FR"/>
              </w:rPr>
            </w:pPr>
            <w:r w:rsidRPr="00E01239">
              <w:rPr>
                <w:rFonts w:asciiTheme="minorHAnsi" w:hAnsiTheme="minorHAnsi" w:cstheme="minorHAnsi"/>
              </w:rPr>
              <w:t>I</w:t>
            </w:r>
            <w:r w:rsidRPr="00E01239">
              <w:rPr>
                <w:rFonts w:asciiTheme="minorHAnsi" w:hAnsiTheme="minorHAnsi" w:cstheme="minorHAnsi"/>
                <w:sz w:val="22"/>
                <w:szCs w:val="22"/>
              </w:rPr>
              <w:t>mpacts négatifs transversaux aux secteurs agricoles et pastorau</w:t>
            </w:r>
            <w:r w:rsidRPr="00E01239">
              <w:rPr>
                <w:rFonts w:asciiTheme="minorHAnsi" w:hAnsiTheme="minorHAnsi" w:cstheme="minorHAnsi"/>
              </w:rPr>
              <w:t>x</w:t>
            </w:r>
          </w:p>
        </w:tc>
      </w:tr>
      <w:tr w:rsidR="00804B5E" w:rsidRPr="00E01239" w14:paraId="66CC53AC" w14:textId="77777777" w:rsidTr="7CB1727A">
        <w:trPr>
          <w:trHeight w:val="422"/>
          <w:jc w:val="center"/>
        </w:trPr>
        <w:tc>
          <w:tcPr>
            <w:tcW w:w="657" w:type="pct"/>
            <w:vAlign w:val="center"/>
          </w:tcPr>
          <w:p w14:paraId="4ED1D7CC"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63509555"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Faible portée du processus de digitalisation</w:t>
            </w:r>
          </w:p>
        </w:tc>
        <w:tc>
          <w:tcPr>
            <w:tcW w:w="2976" w:type="pct"/>
            <w:vAlign w:val="center"/>
          </w:tcPr>
          <w:p w14:paraId="257DD11F" w14:textId="740D0CC4"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Défini</w:t>
            </w:r>
            <w:r w:rsidR="0021441C" w:rsidRPr="00E01239">
              <w:rPr>
                <w:rFonts w:asciiTheme="minorHAnsi" w:hAnsiTheme="minorHAnsi" w:cstheme="minorHAnsi"/>
                <w:sz w:val="20"/>
                <w:szCs w:val="20"/>
                <w:lang w:bidi="fr-FR"/>
              </w:rPr>
              <w:t>r</w:t>
            </w:r>
            <w:r w:rsidRPr="00E01239">
              <w:rPr>
                <w:rFonts w:asciiTheme="minorHAnsi" w:hAnsiTheme="minorHAnsi" w:cstheme="minorHAnsi"/>
                <w:sz w:val="20"/>
                <w:szCs w:val="20"/>
                <w:lang w:bidi="fr-FR"/>
              </w:rPr>
              <w:t xml:space="preserve"> l’archétype de la cible de producteur afin d’adapter les mesures en fonction de leur profil</w:t>
            </w:r>
          </w:p>
        </w:tc>
      </w:tr>
      <w:tr w:rsidR="00804B5E" w:rsidRPr="00E01239" w14:paraId="0971ED94" w14:textId="77777777" w:rsidTr="7CB1727A">
        <w:trPr>
          <w:trHeight w:val="422"/>
          <w:jc w:val="center"/>
        </w:trPr>
        <w:tc>
          <w:tcPr>
            <w:tcW w:w="657" w:type="pct"/>
            <w:vAlign w:val="center"/>
          </w:tcPr>
          <w:p w14:paraId="47B2DD47"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33DFC6EF"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Modification des aires de vocation des terres</w:t>
            </w:r>
          </w:p>
        </w:tc>
        <w:tc>
          <w:tcPr>
            <w:tcW w:w="2976" w:type="pct"/>
            <w:vAlign w:val="center"/>
          </w:tcPr>
          <w:p w14:paraId="2ADF8602"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Intégrer les vocations traditionnelles des terres dans l’élaboration des POAS</w:t>
            </w:r>
          </w:p>
          <w:p w14:paraId="5C24C3A1"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Impliquer les communautés dans le processus d’élaboration des POA</w:t>
            </w:r>
          </w:p>
        </w:tc>
      </w:tr>
      <w:tr w:rsidR="00804B5E" w:rsidRPr="00E01239" w14:paraId="7F1ADC9A" w14:textId="77777777" w:rsidTr="7CB1727A">
        <w:trPr>
          <w:trHeight w:val="422"/>
          <w:jc w:val="center"/>
        </w:trPr>
        <w:tc>
          <w:tcPr>
            <w:tcW w:w="5000" w:type="pct"/>
            <w:gridSpan w:val="3"/>
            <w:shd w:val="clear" w:color="auto" w:fill="FFC000" w:themeFill="accent4"/>
            <w:vAlign w:val="center"/>
          </w:tcPr>
          <w:p w14:paraId="72B4046E" w14:textId="77777777" w:rsidR="00804B5E" w:rsidRPr="00E01239" w:rsidRDefault="00804B5E" w:rsidP="008C0C70">
            <w:pPr>
              <w:jc w:val="both"/>
              <w:rPr>
                <w:rFonts w:asciiTheme="minorHAnsi" w:hAnsiTheme="minorHAnsi" w:cstheme="minorHAnsi"/>
                <w:sz w:val="22"/>
                <w:szCs w:val="22"/>
              </w:rPr>
            </w:pPr>
            <w:r w:rsidRPr="00E01239">
              <w:rPr>
                <w:rFonts w:asciiTheme="minorHAnsi" w:hAnsiTheme="minorHAnsi" w:cstheme="minorHAnsi"/>
              </w:rPr>
              <w:t>I</w:t>
            </w:r>
            <w:r w:rsidRPr="00E01239">
              <w:rPr>
                <w:rFonts w:asciiTheme="minorHAnsi" w:hAnsiTheme="minorHAnsi" w:cstheme="minorHAnsi"/>
                <w:sz w:val="22"/>
                <w:szCs w:val="22"/>
              </w:rPr>
              <w:t>mpacts négatifs liés à l’exploitation des infrastructures agricoles</w:t>
            </w:r>
          </w:p>
        </w:tc>
      </w:tr>
      <w:tr w:rsidR="00804B5E" w:rsidRPr="00E01239" w14:paraId="7882EC3E" w14:textId="77777777" w:rsidTr="7CB1727A">
        <w:trPr>
          <w:trHeight w:val="528"/>
          <w:jc w:val="center"/>
        </w:trPr>
        <w:tc>
          <w:tcPr>
            <w:tcW w:w="657" w:type="pct"/>
            <w:vAlign w:val="center"/>
          </w:tcPr>
          <w:p w14:paraId="448E0ED5"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18DBEA35"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Augmentation de l’empreinte carbone des systèmes alimentaires </w:t>
            </w:r>
          </w:p>
        </w:tc>
        <w:tc>
          <w:tcPr>
            <w:tcW w:w="2976" w:type="pct"/>
            <w:vAlign w:val="center"/>
          </w:tcPr>
          <w:p w14:paraId="47B4AB26" w14:textId="171FE09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Utilis</w:t>
            </w:r>
            <w:r w:rsidR="0021441C" w:rsidRPr="00E01239">
              <w:rPr>
                <w:rFonts w:asciiTheme="minorHAnsi" w:hAnsiTheme="minorHAnsi" w:cstheme="minorHAnsi"/>
                <w:sz w:val="20"/>
                <w:szCs w:val="20"/>
                <w:lang w:bidi="fr-FR"/>
              </w:rPr>
              <w:t>er des é</w:t>
            </w:r>
            <w:r w:rsidRPr="00E01239">
              <w:rPr>
                <w:rFonts w:asciiTheme="minorHAnsi" w:hAnsiTheme="minorHAnsi" w:cstheme="minorHAnsi"/>
                <w:sz w:val="20"/>
                <w:szCs w:val="20"/>
                <w:lang w:bidi="fr-FR"/>
              </w:rPr>
              <w:t>quipements d’irrigation de type solaire et limiter les équipements fonctionnant au fioul</w:t>
            </w:r>
          </w:p>
          <w:p w14:paraId="7916BDF9"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Elaborer des outils de quantification des GES dans le secteur de l’agriculture</w:t>
            </w:r>
          </w:p>
        </w:tc>
      </w:tr>
      <w:tr w:rsidR="00804B5E" w:rsidRPr="00E01239" w14:paraId="33623579" w14:textId="77777777" w:rsidTr="7CB1727A">
        <w:trPr>
          <w:trHeight w:val="528"/>
          <w:jc w:val="center"/>
        </w:trPr>
        <w:tc>
          <w:tcPr>
            <w:tcW w:w="657" w:type="pct"/>
            <w:vAlign w:val="center"/>
          </w:tcPr>
          <w:p w14:paraId="51AE1137"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1DD74D37"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Destruction des écosystèmes naturels</w:t>
            </w:r>
          </w:p>
        </w:tc>
        <w:tc>
          <w:tcPr>
            <w:tcW w:w="2976" w:type="pct"/>
            <w:vAlign w:val="center"/>
          </w:tcPr>
          <w:p w14:paraId="67B9EF79" w14:textId="33AFA172"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M</w:t>
            </w:r>
            <w:r w:rsidR="0021441C" w:rsidRPr="00E01239">
              <w:rPr>
                <w:rFonts w:asciiTheme="minorHAnsi" w:hAnsiTheme="minorHAnsi" w:cstheme="minorHAnsi"/>
                <w:sz w:val="20"/>
                <w:szCs w:val="20"/>
                <w:lang w:bidi="fr-FR"/>
              </w:rPr>
              <w:t>ettre</w:t>
            </w:r>
            <w:r w:rsidRPr="00E01239">
              <w:rPr>
                <w:rFonts w:asciiTheme="minorHAnsi" w:hAnsiTheme="minorHAnsi" w:cstheme="minorHAnsi"/>
                <w:sz w:val="20"/>
                <w:szCs w:val="20"/>
                <w:lang w:bidi="fr-FR"/>
              </w:rPr>
              <w:t xml:space="preserve"> en œuvre d’un plan de formation des producteurs sur les bonnes pratiques en matière d’utilisation des pesticides </w:t>
            </w:r>
          </w:p>
          <w:p w14:paraId="6324F382"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Minimiser l’usage des pesticides et des engrais chimiques et promouvoir la lutte intégrée contre les nuisibles</w:t>
            </w:r>
          </w:p>
          <w:p w14:paraId="1B9EBA6A"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Mettre en œuvre un système de traitement en amont pour réduire le niveau de pollution des eaux de drainage</w:t>
            </w:r>
          </w:p>
        </w:tc>
      </w:tr>
      <w:tr w:rsidR="00804B5E" w:rsidRPr="00E01239" w14:paraId="1C701D85" w14:textId="77777777" w:rsidTr="7CB1727A">
        <w:trPr>
          <w:trHeight w:val="528"/>
          <w:jc w:val="center"/>
        </w:trPr>
        <w:tc>
          <w:tcPr>
            <w:tcW w:w="657" w:type="pct"/>
            <w:vAlign w:val="center"/>
          </w:tcPr>
          <w:p w14:paraId="59AA28F0"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6FF1720D"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Prolifération de plantes envahissantes </w:t>
            </w:r>
          </w:p>
        </w:tc>
        <w:tc>
          <w:tcPr>
            <w:tcW w:w="2976" w:type="pct"/>
            <w:vAlign w:val="center"/>
          </w:tcPr>
          <w:p w14:paraId="1CB14806" w14:textId="73D15360"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Form</w:t>
            </w:r>
            <w:r w:rsidR="0021441C" w:rsidRPr="00E01239">
              <w:rPr>
                <w:rFonts w:asciiTheme="minorHAnsi" w:hAnsiTheme="minorHAnsi" w:cstheme="minorHAnsi"/>
                <w:sz w:val="20"/>
                <w:szCs w:val="20"/>
                <w:lang w:bidi="fr-FR"/>
              </w:rPr>
              <w:t>er les</w:t>
            </w:r>
            <w:r w:rsidRPr="00E01239">
              <w:rPr>
                <w:rFonts w:asciiTheme="minorHAnsi" w:hAnsiTheme="minorHAnsi" w:cstheme="minorHAnsi"/>
                <w:sz w:val="20"/>
                <w:szCs w:val="20"/>
                <w:lang w:bidi="fr-FR"/>
              </w:rPr>
              <w:t xml:space="preserve"> populations riveraines sur la valorisation des plantes envahissantes (combustible ; matériaux de construction)</w:t>
            </w:r>
          </w:p>
          <w:p w14:paraId="5824C5DA" w14:textId="18E4C4A6"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Cur</w:t>
            </w:r>
            <w:r w:rsidR="0021441C" w:rsidRPr="00E01239">
              <w:rPr>
                <w:rFonts w:asciiTheme="minorHAnsi" w:hAnsiTheme="minorHAnsi" w:cstheme="minorHAnsi"/>
                <w:sz w:val="20"/>
                <w:szCs w:val="20"/>
                <w:lang w:bidi="fr-FR"/>
              </w:rPr>
              <w:t xml:space="preserve">er les </w:t>
            </w:r>
            <w:r w:rsidRPr="00E01239">
              <w:rPr>
                <w:rFonts w:asciiTheme="minorHAnsi" w:hAnsiTheme="minorHAnsi" w:cstheme="minorHAnsi"/>
                <w:sz w:val="20"/>
                <w:szCs w:val="20"/>
                <w:lang w:bidi="fr-FR"/>
              </w:rPr>
              <w:t xml:space="preserve">canaux et </w:t>
            </w:r>
            <w:r w:rsidR="00EC4440" w:rsidRPr="00E01239">
              <w:rPr>
                <w:rFonts w:asciiTheme="minorHAnsi" w:hAnsiTheme="minorHAnsi" w:cstheme="minorHAnsi"/>
                <w:sz w:val="20"/>
                <w:szCs w:val="20"/>
                <w:lang w:bidi="fr-FR"/>
              </w:rPr>
              <w:t>enlever</w:t>
            </w:r>
            <w:r w:rsidRPr="00E01239">
              <w:rPr>
                <w:rFonts w:asciiTheme="minorHAnsi" w:hAnsiTheme="minorHAnsi" w:cstheme="minorHAnsi"/>
                <w:sz w:val="20"/>
                <w:szCs w:val="20"/>
                <w:lang w:bidi="fr-FR"/>
              </w:rPr>
              <w:t xml:space="preserve"> réguli</w:t>
            </w:r>
            <w:r w:rsidR="0021441C" w:rsidRPr="00E01239">
              <w:rPr>
                <w:rFonts w:asciiTheme="minorHAnsi" w:hAnsiTheme="minorHAnsi" w:cstheme="minorHAnsi"/>
                <w:sz w:val="20"/>
                <w:szCs w:val="20"/>
                <w:lang w:bidi="fr-FR"/>
              </w:rPr>
              <w:t xml:space="preserve">èrement les </w:t>
            </w:r>
            <w:r w:rsidRPr="00E01239">
              <w:rPr>
                <w:rFonts w:asciiTheme="minorHAnsi" w:hAnsiTheme="minorHAnsi" w:cstheme="minorHAnsi"/>
                <w:sz w:val="20"/>
                <w:szCs w:val="20"/>
                <w:lang w:bidi="fr-FR"/>
              </w:rPr>
              <w:t>plantes envahissantes (lutte mécanique)</w:t>
            </w:r>
          </w:p>
          <w:p w14:paraId="15C71477"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Retirer le sable, le limon et l’argile à l’intérieur et en aval des installations</w:t>
            </w:r>
          </w:p>
          <w:p w14:paraId="1168CBA9"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Mettre en place des mesures de lutte antiérosive, de fixation des berges</w:t>
            </w:r>
          </w:p>
          <w:p w14:paraId="7C59CF3C"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Mettre en place un programme d’entretien courant et périodique des installations</w:t>
            </w:r>
          </w:p>
        </w:tc>
      </w:tr>
      <w:tr w:rsidR="00804B5E" w:rsidRPr="00E01239" w14:paraId="2AA3AA1E" w14:textId="77777777" w:rsidTr="7CB1727A">
        <w:trPr>
          <w:trHeight w:val="528"/>
          <w:jc w:val="center"/>
        </w:trPr>
        <w:tc>
          <w:tcPr>
            <w:tcW w:w="657" w:type="pct"/>
            <w:vAlign w:val="center"/>
          </w:tcPr>
          <w:p w14:paraId="14294060"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0D975A2D"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Exposition des producteurs et des riverains aux maladies liées à l’eau</w:t>
            </w:r>
          </w:p>
        </w:tc>
        <w:tc>
          <w:tcPr>
            <w:tcW w:w="2976" w:type="pct"/>
            <w:vAlign w:val="center"/>
          </w:tcPr>
          <w:p w14:paraId="026B25C7" w14:textId="1B58E60E"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Drain</w:t>
            </w:r>
            <w:r w:rsidR="0021441C" w:rsidRPr="00E01239">
              <w:rPr>
                <w:rFonts w:asciiTheme="minorHAnsi" w:hAnsiTheme="minorHAnsi" w:cstheme="minorHAnsi"/>
                <w:sz w:val="20"/>
                <w:szCs w:val="20"/>
                <w:lang w:bidi="fr-FR"/>
              </w:rPr>
              <w:t>er</w:t>
            </w:r>
            <w:r w:rsidRPr="00E01239">
              <w:rPr>
                <w:rFonts w:asciiTheme="minorHAnsi" w:hAnsiTheme="minorHAnsi" w:cstheme="minorHAnsi"/>
                <w:sz w:val="20"/>
                <w:szCs w:val="20"/>
                <w:lang w:bidi="fr-FR"/>
              </w:rPr>
              <w:t>, cur</w:t>
            </w:r>
            <w:r w:rsidR="0021441C" w:rsidRPr="00E01239">
              <w:rPr>
                <w:rFonts w:asciiTheme="minorHAnsi" w:hAnsiTheme="minorHAnsi" w:cstheme="minorHAnsi"/>
                <w:sz w:val="20"/>
                <w:szCs w:val="20"/>
                <w:lang w:bidi="fr-FR"/>
              </w:rPr>
              <w:t>er</w:t>
            </w:r>
            <w:r w:rsidRPr="00E01239">
              <w:rPr>
                <w:rFonts w:asciiTheme="minorHAnsi" w:hAnsiTheme="minorHAnsi" w:cstheme="minorHAnsi"/>
                <w:sz w:val="20"/>
                <w:szCs w:val="20"/>
                <w:lang w:bidi="fr-FR"/>
              </w:rPr>
              <w:t xml:space="preserve"> et traite</w:t>
            </w:r>
            <w:r w:rsidR="0021441C" w:rsidRPr="00E01239">
              <w:rPr>
                <w:rFonts w:asciiTheme="minorHAnsi" w:hAnsiTheme="minorHAnsi" w:cstheme="minorHAnsi"/>
                <w:sz w:val="20"/>
                <w:szCs w:val="20"/>
                <w:lang w:bidi="fr-FR"/>
              </w:rPr>
              <w:t>r les</w:t>
            </w:r>
            <w:r w:rsidRPr="00E01239">
              <w:rPr>
                <w:rFonts w:asciiTheme="minorHAnsi" w:hAnsiTheme="minorHAnsi" w:cstheme="minorHAnsi"/>
                <w:sz w:val="20"/>
                <w:szCs w:val="20"/>
                <w:lang w:bidi="fr-FR"/>
              </w:rPr>
              <w:t xml:space="preserve"> canaux d’irrigation</w:t>
            </w:r>
          </w:p>
          <w:p w14:paraId="6394E3F6"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Exiger le port de bottes et de gants pour réduire les contacts avec l’eau </w:t>
            </w:r>
          </w:p>
          <w:p w14:paraId="61FA35B3" w14:textId="3C7E6115"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Lutte</w:t>
            </w:r>
            <w:r w:rsidR="0021441C" w:rsidRPr="00E01239">
              <w:rPr>
                <w:rFonts w:asciiTheme="minorHAnsi" w:hAnsiTheme="minorHAnsi" w:cstheme="minorHAnsi"/>
                <w:sz w:val="20"/>
                <w:szCs w:val="20"/>
                <w:lang w:bidi="fr-FR"/>
              </w:rPr>
              <w:t>r contre les v</w:t>
            </w:r>
            <w:r w:rsidRPr="00E01239">
              <w:rPr>
                <w:rFonts w:asciiTheme="minorHAnsi" w:hAnsiTheme="minorHAnsi" w:cstheme="minorHAnsi"/>
                <w:sz w:val="20"/>
                <w:szCs w:val="20"/>
                <w:lang w:bidi="fr-FR"/>
              </w:rPr>
              <w:t>ect</w:t>
            </w:r>
            <w:r w:rsidR="0021441C" w:rsidRPr="00E01239">
              <w:rPr>
                <w:rFonts w:asciiTheme="minorHAnsi" w:hAnsiTheme="minorHAnsi" w:cstheme="minorHAnsi"/>
                <w:sz w:val="20"/>
                <w:szCs w:val="20"/>
                <w:lang w:bidi="fr-FR"/>
              </w:rPr>
              <w:t>eurs de maladies</w:t>
            </w:r>
            <w:r w:rsidRPr="00E01239">
              <w:rPr>
                <w:rFonts w:asciiTheme="minorHAnsi" w:hAnsiTheme="minorHAnsi" w:cstheme="minorHAnsi"/>
                <w:sz w:val="20"/>
                <w:szCs w:val="20"/>
                <w:lang w:bidi="fr-FR"/>
              </w:rPr>
              <w:t xml:space="preserve"> en rapport avec les services d’hygiène </w:t>
            </w:r>
          </w:p>
          <w:p w14:paraId="56EB02FF" w14:textId="575F2CBB"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Dot</w:t>
            </w:r>
            <w:r w:rsidR="0021441C" w:rsidRPr="00E01239">
              <w:rPr>
                <w:rFonts w:asciiTheme="minorHAnsi" w:hAnsiTheme="minorHAnsi" w:cstheme="minorHAnsi"/>
                <w:sz w:val="20"/>
                <w:szCs w:val="20"/>
                <w:lang w:bidi="fr-FR"/>
              </w:rPr>
              <w:t>er le personnel et les populations riveraines de</w:t>
            </w:r>
            <w:r w:rsidRPr="00E01239">
              <w:rPr>
                <w:rFonts w:asciiTheme="minorHAnsi" w:hAnsiTheme="minorHAnsi" w:cstheme="minorHAnsi"/>
                <w:sz w:val="20"/>
                <w:szCs w:val="20"/>
                <w:lang w:bidi="fr-FR"/>
              </w:rPr>
              <w:t xml:space="preserve"> moustiquaires imprégnées </w:t>
            </w:r>
          </w:p>
          <w:p w14:paraId="10DECADB" w14:textId="7943F46C"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Sensibilis</w:t>
            </w:r>
            <w:r w:rsidR="0021441C" w:rsidRPr="00E01239">
              <w:rPr>
                <w:rFonts w:asciiTheme="minorHAnsi" w:hAnsiTheme="minorHAnsi" w:cstheme="minorHAnsi"/>
                <w:sz w:val="20"/>
                <w:szCs w:val="20"/>
                <w:lang w:bidi="fr-FR"/>
              </w:rPr>
              <w:t>er les</w:t>
            </w:r>
            <w:r w:rsidRPr="00E01239">
              <w:rPr>
                <w:rFonts w:asciiTheme="minorHAnsi" w:hAnsiTheme="minorHAnsi" w:cstheme="minorHAnsi"/>
                <w:sz w:val="20"/>
                <w:szCs w:val="20"/>
                <w:lang w:bidi="fr-FR"/>
              </w:rPr>
              <w:t xml:space="preserve"> producteurs et populations riveraines</w:t>
            </w:r>
          </w:p>
          <w:p w14:paraId="4E18DB58" w14:textId="1E4A5EB3" w:rsidR="00804B5E" w:rsidRPr="00E01239" w:rsidRDefault="0021441C"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Assurer le s</w:t>
            </w:r>
            <w:r w:rsidR="00804B5E" w:rsidRPr="00E01239">
              <w:rPr>
                <w:rFonts w:asciiTheme="minorHAnsi" w:hAnsiTheme="minorHAnsi" w:cstheme="minorHAnsi"/>
                <w:sz w:val="20"/>
                <w:szCs w:val="20"/>
                <w:lang w:bidi="fr-FR"/>
              </w:rPr>
              <w:t xml:space="preserve">uivi des maladies d’origine hydrique et </w:t>
            </w:r>
            <w:r w:rsidR="00394A82" w:rsidRPr="00E01239">
              <w:rPr>
                <w:rFonts w:asciiTheme="minorHAnsi" w:hAnsiTheme="minorHAnsi" w:cstheme="minorHAnsi"/>
                <w:sz w:val="20"/>
                <w:szCs w:val="20"/>
                <w:lang w:bidi="fr-FR"/>
              </w:rPr>
              <w:t>mettre en œuvre l</w:t>
            </w:r>
            <w:r w:rsidR="00804B5E" w:rsidRPr="00E01239">
              <w:rPr>
                <w:rFonts w:asciiTheme="minorHAnsi" w:hAnsiTheme="minorHAnsi" w:cstheme="minorHAnsi"/>
                <w:sz w:val="20"/>
                <w:szCs w:val="20"/>
                <w:lang w:bidi="fr-FR"/>
              </w:rPr>
              <w:t>es mesures de lutte préconisées</w:t>
            </w:r>
          </w:p>
        </w:tc>
      </w:tr>
      <w:tr w:rsidR="00804B5E" w:rsidRPr="00E01239" w14:paraId="1F28A0A0" w14:textId="77777777" w:rsidTr="7CB1727A">
        <w:trPr>
          <w:trHeight w:val="528"/>
          <w:jc w:val="center"/>
        </w:trPr>
        <w:tc>
          <w:tcPr>
            <w:tcW w:w="657" w:type="pct"/>
            <w:vAlign w:val="center"/>
          </w:tcPr>
          <w:p w14:paraId="63C210FF"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2712E725"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Augmentation des prélèvements sur les ressources en eau de surface</w:t>
            </w:r>
          </w:p>
          <w:p w14:paraId="1B3A4E7C" w14:textId="77777777" w:rsidR="00804B5E" w:rsidRPr="00E01239" w:rsidRDefault="00804B5E" w:rsidP="008C0C70">
            <w:pPr>
              <w:rPr>
                <w:rFonts w:asciiTheme="minorHAnsi" w:hAnsiTheme="minorHAnsi" w:cstheme="minorHAnsi"/>
                <w:sz w:val="20"/>
                <w:szCs w:val="20"/>
                <w:lang w:bidi="fr-FR"/>
              </w:rPr>
            </w:pPr>
          </w:p>
        </w:tc>
        <w:tc>
          <w:tcPr>
            <w:tcW w:w="2976" w:type="pct"/>
            <w:vAlign w:val="center"/>
          </w:tcPr>
          <w:p w14:paraId="26E1AEEF"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 xml:space="preserve">Respecter les volumes d’irrigation prévus pour chaque ha de terres aménagées </w:t>
            </w:r>
          </w:p>
          <w:p w14:paraId="3B00D008"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Sensibiliser les producteurs sur la gestion rationnelle des eaux</w:t>
            </w:r>
          </w:p>
          <w:p w14:paraId="29398824" w14:textId="261FCAB3" w:rsidR="00804B5E" w:rsidRPr="00E01239" w:rsidRDefault="00394A82"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Assurer le s</w:t>
            </w:r>
            <w:r w:rsidR="00804B5E" w:rsidRPr="00E01239">
              <w:rPr>
                <w:rFonts w:asciiTheme="minorHAnsi" w:hAnsiTheme="minorHAnsi" w:cstheme="minorHAnsi"/>
                <w:sz w:val="20"/>
                <w:szCs w:val="20"/>
                <w:lang w:bidi="fr-FR"/>
              </w:rPr>
              <w:t>uivi des prélèvements et des équilibres du système hydraulique des plans d’eau</w:t>
            </w:r>
          </w:p>
        </w:tc>
      </w:tr>
      <w:tr w:rsidR="00804B5E" w:rsidRPr="00E01239" w14:paraId="5AFE886C" w14:textId="77777777" w:rsidTr="7CB1727A">
        <w:trPr>
          <w:trHeight w:val="528"/>
          <w:jc w:val="center"/>
        </w:trPr>
        <w:tc>
          <w:tcPr>
            <w:tcW w:w="657" w:type="pct"/>
            <w:vAlign w:val="center"/>
          </w:tcPr>
          <w:p w14:paraId="74A6E1E7"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41355B92"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Impacts sur le foncier et la dynamique organisationnelle des producteurs</w:t>
            </w:r>
          </w:p>
        </w:tc>
        <w:tc>
          <w:tcPr>
            <w:tcW w:w="2976" w:type="pct"/>
            <w:vAlign w:val="center"/>
          </w:tcPr>
          <w:p w14:paraId="3706C53C" w14:textId="2CB00E6B" w:rsidR="00804B5E" w:rsidRPr="00E01239" w:rsidRDefault="00394A82"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Veiller à la t</w:t>
            </w:r>
            <w:r w:rsidR="00804B5E" w:rsidRPr="00E01239">
              <w:rPr>
                <w:rFonts w:asciiTheme="minorHAnsi" w:hAnsiTheme="minorHAnsi" w:cstheme="minorHAnsi"/>
                <w:sz w:val="20"/>
                <w:szCs w:val="20"/>
                <w:lang w:bidi="fr-FR"/>
              </w:rPr>
              <w:t>ransparence dans la procédure d’attribution des parcelles sur l’ensemble du périmètre</w:t>
            </w:r>
          </w:p>
          <w:p w14:paraId="19C9566E"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Accorder un quota pour les groupes vulnérables</w:t>
            </w:r>
          </w:p>
          <w:p w14:paraId="5C058650"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Impliquer les autorités administratives</w:t>
            </w:r>
          </w:p>
        </w:tc>
      </w:tr>
      <w:tr w:rsidR="00804B5E" w:rsidRPr="00E01239" w14:paraId="30179A8D" w14:textId="77777777" w:rsidTr="7CB1727A">
        <w:trPr>
          <w:trHeight w:val="528"/>
          <w:jc w:val="center"/>
        </w:trPr>
        <w:tc>
          <w:tcPr>
            <w:tcW w:w="657" w:type="pct"/>
            <w:vAlign w:val="center"/>
          </w:tcPr>
          <w:p w14:paraId="71C47D82"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1A0FE21C"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Contamination du bétail</w:t>
            </w:r>
          </w:p>
        </w:tc>
        <w:tc>
          <w:tcPr>
            <w:tcW w:w="2976" w:type="pct"/>
            <w:vAlign w:val="center"/>
          </w:tcPr>
          <w:p w14:paraId="6E6205A4" w14:textId="7925ED18" w:rsidR="00804B5E" w:rsidRPr="00E01239" w:rsidRDefault="00394A82"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Mener des c</w:t>
            </w:r>
            <w:r w:rsidR="00804B5E" w:rsidRPr="00E01239">
              <w:rPr>
                <w:rFonts w:asciiTheme="minorHAnsi" w:hAnsiTheme="minorHAnsi" w:cstheme="minorHAnsi"/>
                <w:sz w:val="20"/>
                <w:szCs w:val="20"/>
                <w:lang w:bidi="fr-FR"/>
              </w:rPr>
              <w:t>oncertation</w:t>
            </w:r>
            <w:r w:rsidRPr="00E01239">
              <w:rPr>
                <w:rFonts w:asciiTheme="minorHAnsi" w:hAnsiTheme="minorHAnsi" w:cstheme="minorHAnsi"/>
                <w:sz w:val="20"/>
                <w:szCs w:val="20"/>
                <w:lang w:bidi="fr-FR"/>
              </w:rPr>
              <w:t>s</w:t>
            </w:r>
            <w:r w:rsidR="00804B5E" w:rsidRPr="00E01239">
              <w:rPr>
                <w:rFonts w:asciiTheme="minorHAnsi" w:hAnsiTheme="minorHAnsi" w:cstheme="minorHAnsi"/>
                <w:sz w:val="20"/>
                <w:szCs w:val="20"/>
                <w:lang w:bidi="fr-FR"/>
              </w:rPr>
              <w:t xml:space="preserve"> avec les éleveurs</w:t>
            </w:r>
          </w:p>
          <w:p w14:paraId="417F4AA1"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Prévoir des couloirs de passage d’accès aux points d’eau et des parcours du bétail</w:t>
            </w:r>
          </w:p>
          <w:p w14:paraId="4B5EEB9D" w14:textId="3F04C20E"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Réalis</w:t>
            </w:r>
            <w:r w:rsidR="00394A82" w:rsidRPr="00E01239">
              <w:rPr>
                <w:rFonts w:asciiTheme="minorHAnsi" w:hAnsiTheme="minorHAnsi" w:cstheme="minorHAnsi"/>
                <w:sz w:val="20"/>
                <w:szCs w:val="20"/>
                <w:lang w:bidi="fr-FR"/>
              </w:rPr>
              <w:t>er des</w:t>
            </w:r>
            <w:r w:rsidRPr="00E01239">
              <w:rPr>
                <w:rFonts w:asciiTheme="minorHAnsi" w:hAnsiTheme="minorHAnsi" w:cstheme="minorHAnsi"/>
                <w:sz w:val="20"/>
                <w:szCs w:val="20"/>
                <w:lang w:bidi="fr-FR"/>
              </w:rPr>
              <w:t xml:space="preserve"> mares d’abreuvement et récurage des mares naturelles</w:t>
            </w:r>
          </w:p>
          <w:p w14:paraId="1381B9CF"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Sécuriser les parcelles (cavaliers infranchissables) pour empêcher la divagation</w:t>
            </w:r>
          </w:p>
          <w:p w14:paraId="72C1F085"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lastRenderedPageBreak/>
              <w:t>Faciliter aux éleveurs l’accès à la paille de riz récolté et mettre en place un mécanisme de coopération entre agriculteurs et éleveurs</w:t>
            </w:r>
          </w:p>
          <w:p w14:paraId="1535129C"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Appuyer les éleveurs à acquérir des presses paille</w:t>
            </w:r>
          </w:p>
        </w:tc>
      </w:tr>
      <w:tr w:rsidR="00804B5E" w:rsidRPr="00E01239" w14:paraId="1747EBF6" w14:textId="77777777" w:rsidTr="7CB1727A">
        <w:trPr>
          <w:trHeight w:val="528"/>
          <w:jc w:val="center"/>
        </w:trPr>
        <w:tc>
          <w:tcPr>
            <w:tcW w:w="5000" w:type="pct"/>
            <w:gridSpan w:val="3"/>
            <w:shd w:val="clear" w:color="auto" w:fill="FFC000" w:themeFill="accent4"/>
            <w:vAlign w:val="center"/>
          </w:tcPr>
          <w:p w14:paraId="1490EFB0"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lastRenderedPageBreak/>
              <w:t>Impacts négatifs liés à l’exploitation des infrastructures hydrauliques</w:t>
            </w:r>
          </w:p>
        </w:tc>
      </w:tr>
      <w:tr w:rsidR="00804B5E" w:rsidRPr="00E01239" w14:paraId="6C7A528A" w14:textId="77777777" w:rsidTr="7CB1727A">
        <w:trPr>
          <w:trHeight w:val="528"/>
          <w:jc w:val="center"/>
        </w:trPr>
        <w:tc>
          <w:tcPr>
            <w:tcW w:w="657" w:type="pct"/>
            <w:vAlign w:val="center"/>
          </w:tcPr>
          <w:p w14:paraId="3D33F89C"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0DD55403"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Conflits sociaux</w:t>
            </w:r>
          </w:p>
        </w:tc>
        <w:tc>
          <w:tcPr>
            <w:tcW w:w="2976" w:type="pct"/>
            <w:vAlign w:val="center"/>
          </w:tcPr>
          <w:p w14:paraId="4C04BAAD" w14:textId="7D1B82FA"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rPr>
              <w:t>Adopter des modes de gestion consensuelle des mini-forages profitables à tous les usage</w:t>
            </w:r>
            <w:r w:rsidR="001A4EE5">
              <w:rPr>
                <w:rFonts w:asciiTheme="minorHAnsi" w:hAnsiTheme="minorHAnsi" w:cstheme="minorHAnsi"/>
                <w:sz w:val="20"/>
                <w:szCs w:val="20"/>
              </w:rPr>
              <w:t>r</w:t>
            </w:r>
            <w:r w:rsidRPr="00E01239">
              <w:rPr>
                <w:rFonts w:asciiTheme="minorHAnsi" w:hAnsiTheme="minorHAnsi" w:cstheme="minorHAnsi"/>
                <w:sz w:val="20"/>
                <w:szCs w:val="20"/>
              </w:rPr>
              <w:t>s</w:t>
            </w:r>
          </w:p>
        </w:tc>
      </w:tr>
      <w:tr w:rsidR="00804B5E" w:rsidRPr="00E01239" w14:paraId="129F24C5" w14:textId="77777777" w:rsidTr="7CB1727A">
        <w:trPr>
          <w:trHeight w:val="528"/>
          <w:jc w:val="center"/>
        </w:trPr>
        <w:tc>
          <w:tcPr>
            <w:tcW w:w="657" w:type="pct"/>
            <w:vAlign w:val="center"/>
          </w:tcPr>
          <w:p w14:paraId="2BBD7437"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1E203408"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Altération de la qualité de l’eau potable par des phénomènes externes</w:t>
            </w:r>
          </w:p>
        </w:tc>
        <w:tc>
          <w:tcPr>
            <w:tcW w:w="2976" w:type="pct"/>
            <w:vAlign w:val="center"/>
          </w:tcPr>
          <w:p w14:paraId="5478C669"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Limiter les prélèvements aux besoins</w:t>
            </w:r>
          </w:p>
          <w:p w14:paraId="38608A21" w14:textId="77777777"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Aménager des micro-piézomètres pour suivre le comportement des nappes</w:t>
            </w:r>
          </w:p>
          <w:p w14:paraId="6A9FE19D"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Eviter l’aménagement d’exploitation agricoles et d’ouvrages d’assainissement dans un rayon de 10 km des ouvrages hydrauliques</w:t>
            </w:r>
          </w:p>
        </w:tc>
      </w:tr>
      <w:tr w:rsidR="00804B5E" w:rsidRPr="00E01239" w14:paraId="393F6FB1" w14:textId="77777777" w:rsidTr="7CB1727A">
        <w:trPr>
          <w:trHeight w:val="528"/>
          <w:jc w:val="center"/>
        </w:trPr>
        <w:tc>
          <w:tcPr>
            <w:tcW w:w="5000" w:type="pct"/>
            <w:gridSpan w:val="3"/>
            <w:shd w:val="clear" w:color="auto" w:fill="FFC000" w:themeFill="accent4"/>
            <w:vAlign w:val="center"/>
          </w:tcPr>
          <w:p w14:paraId="7E526025"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Impacts négatifs liés à l’exploitation des infrastructures pastorales</w:t>
            </w:r>
          </w:p>
        </w:tc>
      </w:tr>
      <w:tr w:rsidR="00804B5E" w:rsidRPr="00E01239" w14:paraId="47C5D546" w14:textId="77777777" w:rsidTr="7CB1727A">
        <w:trPr>
          <w:trHeight w:val="1117"/>
          <w:jc w:val="center"/>
        </w:trPr>
        <w:tc>
          <w:tcPr>
            <w:tcW w:w="657" w:type="pct"/>
            <w:vAlign w:val="center"/>
          </w:tcPr>
          <w:p w14:paraId="51ACA3B4"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67111864"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Risques liés à la mauvaise conception des laboratoires vétérinaires</w:t>
            </w:r>
          </w:p>
        </w:tc>
        <w:tc>
          <w:tcPr>
            <w:tcW w:w="2976" w:type="pct"/>
            <w:vAlign w:val="center"/>
          </w:tcPr>
          <w:p w14:paraId="15E192AA" w14:textId="566B14CB" w:rsidR="00804B5E" w:rsidRPr="00E01239" w:rsidRDefault="00394A82"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Mettre en place des s</w:t>
            </w:r>
            <w:r w:rsidR="00804B5E" w:rsidRPr="00E01239">
              <w:rPr>
                <w:rFonts w:asciiTheme="minorHAnsi" w:hAnsiTheme="minorHAnsi" w:cstheme="minorHAnsi"/>
                <w:sz w:val="20"/>
                <w:szCs w:val="20"/>
                <w:lang w:bidi="fr-FR"/>
              </w:rPr>
              <w:t>ystèmes de ventilation et d’extraction avec des débits suffisants capables d'assurer en permanence une aération minimale afin d’éviter l’accumulation de gaz ou de substances nocives</w:t>
            </w:r>
          </w:p>
          <w:p w14:paraId="09C45189"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Prévoir des sols anti-dérapants pour éviter les chutes de plain-pied</w:t>
            </w:r>
          </w:p>
          <w:p w14:paraId="4B78BD13" w14:textId="77777777"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Prévoir des zones de manœuvre ou de contention, d’attente, de sortie des animaux ou d’isolement des animaux contagieux, de tri des déchets de soins délimités, des lieux de stockage séparés des zones de soins, facilitent la circulation du personnel vétérinaire, des animaux et des produits</w:t>
            </w:r>
          </w:p>
          <w:p w14:paraId="71FA669A" w14:textId="34955F70" w:rsidR="00804B5E" w:rsidRPr="00E01239" w:rsidRDefault="00804B5E" w:rsidP="00027669">
            <w:pPr>
              <w:pStyle w:val="Paragraphedeliste"/>
              <w:numPr>
                <w:ilvl w:val="0"/>
                <w:numId w:val="133"/>
              </w:numPr>
              <w:ind w:left="296" w:hanging="283"/>
              <w:jc w:val="both"/>
              <w:rPr>
                <w:rFonts w:asciiTheme="minorHAnsi" w:hAnsiTheme="minorHAnsi" w:cstheme="minorHAnsi"/>
                <w:sz w:val="20"/>
                <w:szCs w:val="20"/>
                <w:lang w:bidi="fr-FR"/>
              </w:rPr>
            </w:pPr>
            <w:r w:rsidRPr="00E01239">
              <w:rPr>
                <w:rFonts w:asciiTheme="minorHAnsi" w:hAnsiTheme="minorHAnsi" w:cstheme="minorHAnsi"/>
                <w:sz w:val="20"/>
                <w:szCs w:val="20"/>
                <w:lang w:bidi="fr-FR"/>
              </w:rPr>
              <w:t>Aménage</w:t>
            </w:r>
            <w:r w:rsidR="00394A82" w:rsidRPr="00E01239">
              <w:rPr>
                <w:rFonts w:asciiTheme="minorHAnsi" w:hAnsiTheme="minorHAnsi" w:cstheme="minorHAnsi"/>
                <w:sz w:val="20"/>
                <w:szCs w:val="20"/>
                <w:lang w:bidi="fr-FR"/>
              </w:rPr>
              <w:t>r des</w:t>
            </w:r>
            <w:r w:rsidRPr="00E01239">
              <w:rPr>
                <w:rFonts w:asciiTheme="minorHAnsi" w:hAnsiTheme="minorHAnsi" w:cstheme="minorHAnsi"/>
                <w:sz w:val="20"/>
                <w:szCs w:val="20"/>
                <w:lang w:bidi="fr-FR"/>
              </w:rPr>
              <w:t xml:space="preserve"> locaux de stockage des produits pharmaceutiques avec des rayonnages métalliques, des armoires de sécurité pour petites quantités pour le stockage de produits inflammables, armoires avec étagères de rétention, matériels de stockage avec bacs rétention pour prévenir et maîtriser les fuites accidentelles de liquides polluants</w:t>
            </w:r>
          </w:p>
          <w:p w14:paraId="2E3F26F2" w14:textId="3C0998FB" w:rsidR="00804B5E" w:rsidRPr="00E01239" w:rsidRDefault="00804B5E" w:rsidP="00027669">
            <w:pPr>
              <w:pStyle w:val="Paragraphedeliste"/>
              <w:numPr>
                <w:ilvl w:val="0"/>
                <w:numId w:val="133"/>
              </w:numPr>
              <w:ind w:left="296" w:hanging="283"/>
              <w:rPr>
                <w:rFonts w:asciiTheme="minorHAnsi" w:hAnsiTheme="minorHAnsi" w:cstheme="minorHAnsi"/>
                <w:sz w:val="20"/>
                <w:szCs w:val="20"/>
                <w:lang w:bidi="fr-FR"/>
              </w:rPr>
            </w:pPr>
            <w:r w:rsidRPr="00E01239">
              <w:rPr>
                <w:rFonts w:asciiTheme="minorHAnsi" w:hAnsiTheme="minorHAnsi" w:cstheme="minorHAnsi"/>
                <w:sz w:val="20"/>
                <w:szCs w:val="20"/>
                <w:lang w:bidi="fr-FR"/>
              </w:rPr>
              <w:t>Dot</w:t>
            </w:r>
            <w:r w:rsidR="00394A82" w:rsidRPr="00E01239">
              <w:rPr>
                <w:rFonts w:asciiTheme="minorHAnsi" w:hAnsiTheme="minorHAnsi" w:cstheme="minorHAnsi"/>
                <w:sz w:val="20"/>
                <w:szCs w:val="20"/>
                <w:lang w:bidi="fr-FR"/>
              </w:rPr>
              <w:t xml:space="preserve">er en </w:t>
            </w:r>
            <w:r w:rsidRPr="00E01239">
              <w:rPr>
                <w:rFonts w:asciiTheme="minorHAnsi" w:hAnsiTheme="minorHAnsi" w:cstheme="minorHAnsi"/>
                <w:sz w:val="20"/>
                <w:szCs w:val="20"/>
                <w:lang w:bidi="fr-FR"/>
              </w:rPr>
              <w:t xml:space="preserve">équipements ergonomiques </w:t>
            </w:r>
            <w:r w:rsidR="00394A82" w:rsidRPr="00E01239">
              <w:rPr>
                <w:rFonts w:asciiTheme="minorHAnsi" w:hAnsiTheme="minorHAnsi" w:cstheme="minorHAnsi"/>
                <w:sz w:val="20"/>
                <w:szCs w:val="20"/>
                <w:lang w:bidi="fr-FR"/>
              </w:rPr>
              <w:t xml:space="preserve">le personnel </w:t>
            </w:r>
            <w:r w:rsidRPr="00E01239">
              <w:rPr>
                <w:rFonts w:asciiTheme="minorHAnsi" w:hAnsiTheme="minorHAnsi" w:cstheme="minorHAnsi"/>
                <w:sz w:val="20"/>
                <w:szCs w:val="20"/>
                <w:lang w:bidi="fr-FR"/>
              </w:rPr>
              <w:t>tels que chariots de soins, diables, tables réglables en hauteur et en inclinaison pour les soins, brancards, transpalettes, etc.</w:t>
            </w:r>
          </w:p>
        </w:tc>
      </w:tr>
      <w:tr w:rsidR="00804B5E" w:rsidRPr="00E01239" w14:paraId="58AA9574" w14:textId="77777777" w:rsidTr="7CB1727A">
        <w:trPr>
          <w:trHeight w:val="1826"/>
          <w:jc w:val="center"/>
        </w:trPr>
        <w:tc>
          <w:tcPr>
            <w:tcW w:w="657" w:type="pct"/>
            <w:vMerge w:val="restart"/>
            <w:vAlign w:val="center"/>
          </w:tcPr>
          <w:p w14:paraId="0B93C396"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lastRenderedPageBreak/>
              <w:t>Phase d’exploitation</w:t>
            </w:r>
          </w:p>
        </w:tc>
        <w:tc>
          <w:tcPr>
            <w:tcW w:w="1367" w:type="pct"/>
            <w:vAlign w:val="center"/>
          </w:tcPr>
          <w:p w14:paraId="3EC30D36"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Risques infectieux liés aux déchets biomédicaux</w:t>
            </w:r>
          </w:p>
        </w:tc>
        <w:tc>
          <w:tcPr>
            <w:tcW w:w="2976" w:type="pct"/>
            <w:vAlign w:val="center"/>
          </w:tcPr>
          <w:p w14:paraId="5BDEA18A" w14:textId="1A3AB173" w:rsidR="00804B5E" w:rsidRPr="00E01239" w:rsidRDefault="00804B5E" w:rsidP="00027669">
            <w:pPr>
              <w:pStyle w:val="Paragraphedeliste"/>
              <w:numPr>
                <w:ilvl w:val="0"/>
                <w:numId w:val="132"/>
              </w:numPr>
              <w:ind w:left="316" w:hanging="284"/>
              <w:rPr>
                <w:rFonts w:asciiTheme="minorHAnsi" w:hAnsiTheme="minorHAnsi" w:cstheme="minorHAnsi"/>
                <w:sz w:val="20"/>
                <w:szCs w:val="20"/>
                <w:lang w:bidi="fr-FR"/>
              </w:rPr>
            </w:pPr>
            <w:r w:rsidRPr="00E01239">
              <w:rPr>
                <w:rFonts w:asciiTheme="minorHAnsi" w:hAnsiTheme="minorHAnsi" w:cstheme="minorHAnsi"/>
                <w:sz w:val="20"/>
                <w:szCs w:val="20"/>
                <w:lang w:bidi="fr-FR"/>
              </w:rPr>
              <w:t>M</w:t>
            </w:r>
            <w:r w:rsidR="00394A82" w:rsidRPr="00E01239">
              <w:rPr>
                <w:rFonts w:asciiTheme="minorHAnsi" w:hAnsiTheme="minorHAnsi" w:cstheme="minorHAnsi"/>
                <w:sz w:val="20"/>
                <w:szCs w:val="20"/>
                <w:lang w:bidi="fr-FR"/>
              </w:rPr>
              <w:t xml:space="preserve">ettre </w:t>
            </w:r>
            <w:r w:rsidRPr="00E01239">
              <w:rPr>
                <w:rFonts w:asciiTheme="minorHAnsi" w:hAnsiTheme="minorHAnsi" w:cstheme="minorHAnsi"/>
                <w:sz w:val="20"/>
                <w:szCs w:val="20"/>
                <w:lang w:bidi="fr-FR"/>
              </w:rPr>
              <w:t xml:space="preserve">en place un système de tri à deux conteneurs (piquants/tranchants, déchets potentiellement infectieux) </w:t>
            </w:r>
          </w:p>
          <w:p w14:paraId="06E80B92" w14:textId="77777777" w:rsidR="00804B5E" w:rsidRPr="00E01239" w:rsidRDefault="00804B5E" w:rsidP="00027669">
            <w:pPr>
              <w:pStyle w:val="Paragraphedeliste"/>
              <w:numPr>
                <w:ilvl w:val="0"/>
                <w:numId w:val="132"/>
              </w:numPr>
              <w:ind w:left="316" w:hanging="284"/>
              <w:rPr>
                <w:rFonts w:asciiTheme="minorHAnsi" w:hAnsiTheme="minorHAnsi" w:cstheme="minorHAnsi"/>
                <w:sz w:val="20"/>
                <w:szCs w:val="20"/>
                <w:lang w:bidi="fr-FR"/>
              </w:rPr>
            </w:pPr>
            <w:r w:rsidRPr="00E01239">
              <w:rPr>
                <w:rFonts w:asciiTheme="minorHAnsi" w:hAnsiTheme="minorHAnsi" w:cstheme="minorHAnsi"/>
                <w:sz w:val="20"/>
                <w:szCs w:val="20"/>
                <w:lang w:bidi="fr-FR"/>
              </w:rPr>
              <w:t>Adopter un double ensachage des déchets (sachet opaque et disposant d’un système de fermeture fonctionnel)</w:t>
            </w:r>
          </w:p>
          <w:p w14:paraId="0F108AC0" w14:textId="77777777" w:rsidR="00804B5E" w:rsidRPr="00E01239" w:rsidRDefault="00804B5E" w:rsidP="00027669">
            <w:pPr>
              <w:pStyle w:val="Paragraphedeliste"/>
              <w:numPr>
                <w:ilvl w:val="0"/>
                <w:numId w:val="132"/>
              </w:numPr>
              <w:ind w:left="316" w:hanging="284"/>
              <w:rPr>
                <w:rFonts w:asciiTheme="minorHAnsi" w:hAnsiTheme="minorHAnsi" w:cstheme="minorHAnsi"/>
                <w:sz w:val="20"/>
                <w:szCs w:val="20"/>
                <w:lang w:bidi="fr-FR"/>
              </w:rPr>
            </w:pPr>
            <w:r w:rsidRPr="00E01239">
              <w:rPr>
                <w:rFonts w:asciiTheme="minorHAnsi" w:hAnsiTheme="minorHAnsi" w:cstheme="minorHAnsi"/>
                <w:sz w:val="20"/>
                <w:szCs w:val="20"/>
                <w:lang w:bidi="fr-FR"/>
              </w:rPr>
              <w:t>Doter les postes vétérinaires d’équipements de tri et de conditionnement des déchets biomédicaux</w:t>
            </w:r>
          </w:p>
          <w:p w14:paraId="25F7FCE4" w14:textId="563528FD" w:rsidR="00AC178B" w:rsidRPr="00E01239" w:rsidRDefault="00804B5E" w:rsidP="00AC178B">
            <w:pPr>
              <w:pStyle w:val="Paragraphedeliste"/>
              <w:numPr>
                <w:ilvl w:val="0"/>
                <w:numId w:val="132"/>
              </w:numPr>
              <w:ind w:left="316" w:hanging="284"/>
              <w:rPr>
                <w:rFonts w:asciiTheme="minorHAnsi" w:hAnsiTheme="minorHAnsi" w:cstheme="minorHAnsi"/>
                <w:sz w:val="20"/>
                <w:szCs w:val="20"/>
                <w:lang w:bidi="fr-FR"/>
              </w:rPr>
            </w:pPr>
            <w:r w:rsidRPr="00E01239">
              <w:rPr>
                <w:rFonts w:asciiTheme="minorHAnsi" w:hAnsiTheme="minorHAnsi" w:cstheme="minorHAnsi"/>
                <w:sz w:val="20"/>
                <w:szCs w:val="20"/>
                <w:lang w:bidi="fr-FR"/>
              </w:rPr>
              <w:t>Mettre en place des incinérateurs au niveau départemental</w:t>
            </w:r>
            <w:r w:rsidR="00AC178B" w:rsidRPr="00E01239">
              <w:rPr>
                <w:rFonts w:asciiTheme="minorHAnsi" w:hAnsiTheme="minorHAnsi" w:cstheme="minorHAnsi"/>
                <w:sz w:val="20"/>
                <w:szCs w:val="20"/>
                <w:lang w:bidi="fr-FR"/>
              </w:rPr>
              <w:t xml:space="preserve"> ou contracter avec un opérateur certifié pour la gestion des DBM (système de banalisation) qui comparativement</w:t>
            </w:r>
            <w:r w:rsidR="00AC178B" w:rsidRPr="00E01239">
              <w:rPr>
                <w:rFonts w:asciiTheme="minorHAnsi" w:hAnsiTheme="minorHAnsi" w:cstheme="minorHAnsi"/>
                <w:sz w:val="20"/>
                <w:szCs w:val="20"/>
              </w:rPr>
              <w:t xml:space="preserve"> à l’incinération, présente de nombreux avantages et très peu d’inconvénients</w:t>
            </w:r>
          </w:p>
          <w:p w14:paraId="240E6E4F" w14:textId="77777777" w:rsidR="00804B5E" w:rsidRPr="00E01239" w:rsidRDefault="0514D236" w:rsidP="00027669">
            <w:pPr>
              <w:pStyle w:val="Paragraphedeliste"/>
              <w:numPr>
                <w:ilvl w:val="0"/>
                <w:numId w:val="132"/>
              </w:numPr>
              <w:ind w:left="316" w:hanging="284"/>
              <w:rPr>
                <w:rFonts w:asciiTheme="minorHAnsi" w:hAnsiTheme="minorHAnsi" w:cstheme="minorHAnsi"/>
                <w:sz w:val="20"/>
                <w:szCs w:val="20"/>
                <w:lang w:bidi="fr-FR"/>
              </w:rPr>
            </w:pPr>
            <w:r w:rsidRPr="00E01239">
              <w:rPr>
                <w:rFonts w:asciiTheme="minorHAnsi" w:hAnsiTheme="minorHAnsi" w:cstheme="minorBidi"/>
                <w:sz w:val="20"/>
                <w:szCs w:val="20"/>
                <w:lang w:bidi="fr-FR"/>
              </w:rPr>
              <w:t>Mutualiser les filières de traitement final des DBM avec les infrastructures de santé existantes</w:t>
            </w:r>
          </w:p>
        </w:tc>
      </w:tr>
      <w:tr w:rsidR="00804B5E" w:rsidRPr="00E01239" w14:paraId="171F4750" w14:textId="77777777" w:rsidTr="7CB1727A">
        <w:trPr>
          <w:trHeight w:val="1117"/>
          <w:jc w:val="center"/>
        </w:trPr>
        <w:tc>
          <w:tcPr>
            <w:tcW w:w="657" w:type="pct"/>
            <w:vMerge/>
            <w:vAlign w:val="center"/>
          </w:tcPr>
          <w:p w14:paraId="23346B4B"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2D04E228"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lang w:bidi="fr-FR"/>
              </w:rPr>
              <w:t>Contamination chimique par l’utilisation de pesticides vétérinaires (acaricides surtout) pour le traitement des tiques sur le bétail</w:t>
            </w:r>
          </w:p>
        </w:tc>
        <w:tc>
          <w:tcPr>
            <w:tcW w:w="2976" w:type="pct"/>
            <w:vAlign w:val="center"/>
          </w:tcPr>
          <w:p w14:paraId="2F64DE11" w14:textId="77777777" w:rsidR="00804B5E" w:rsidRPr="00E01239" w:rsidRDefault="00804B5E" w:rsidP="00027669">
            <w:pPr>
              <w:pStyle w:val="Paragraphedeliste"/>
              <w:numPr>
                <w:ilvl w:val="0"/>
                <w:numId w:val="134"/>
              </w:numPr>
              <w:adjustRightInd w:val="0"/>
              <w:snapToGrid w:val="0"/>
              <w:ind w:left="178" w:hanging="178"/>
              <w:contextualSpacing w:val="0"/>
              <w:jc w:val="both"/>
              <w:rPr>
                <w:rFonts w:asciiTheme="minorHAnsi" w:hAnsiTheme="minorHAnsi" w:cstheme="minorHAnsi"/>
                <w:sz w:val="20"/>
                <w:szCs w:val="20"/>
              </w:rPr>
            </w:pPr>
            <w:r w:rsidRPr="00E01239">
              <w:rPr>
                <w:rFonts w:asciiTheme="minorHAnsi" w:hAnsiTheme="minorHAnsi" w:cstheme="minorHAnsi"/>
                <w:sz w:val="20"/>
                <w:szCs w:val="20"/>
              </w:rPr>
              <w:t>Adopter un système d’étiquetage des pesticides dans des casiers sécurisés</w:t>
            </w:r>
          </w:p>
          <w:p w14:paraId="4BA7FB3B" w14:textId="77777777" w:rsidR="00804B5E" w:rsidRPr="00E01239" w:rsidRDefault="00804B5E" w:rsidP="00027669">
            <w:pPr>
              <w:pStyle w:val="Paragraphedeliste"/>
              <w:numPr>
                <w:ilvl w:val="0"/>
                <w:numId w:val="134"/>
              </w:numPr>
              <w:adjustRightInd w:val="0"/>
              <w:snapToGrid w:val="0"/>
              <w:ind w:left="178" w:hanging="178"/>
              <w:contextualSpacing w:val="0"/>
              <w:jc w:val="both"/>
              <w:rPr>
                <w:rFonts w:asciiTheme="minorHAnsi" w:hAnsiTheme="minorHAnsi" w:cstheme="minorHAnsi"/>
                <w:sz w:val="20"/>
                <w:szCs w:val="20"/>
              </w:rPr>
            </w:pPr>
            <w:r w:rsidRPr="00E01239">
              <w:rPr>
                <w:rFonts w:asciiTheme="minorHAnsi" w:hAnsiTheme="minorHAnsi" w:cstheme="minorHAnsi"/>
                <w:sz w:val="20"/>
                <w:szCs w:val="20"/>
              </w:rPr>
              <w:t>Afficher les fiches de sécurité (FDS) des produits dangereux</w:t>
            </w:r>
          </w:p>
          <w:p w14:paraId="065DE419" w14:textId="77777777" w:rsidR="00804B5E" w:rsidRPr="00E01239" w:rsidRDefault="00804B5E" w:rsidP="00027669">
            <w:pPr>
              <w:pStyle w:val="Paragraphedeliste"/>
              <w:numPr>
                <w:ilvl w:val="0"/>
                <w:numId w:val="134"/>
              </w:numPr>
              <w:adjustRightInd w:val="0"/>
              <w:snapToGrid w:val="0"/>
              <w:ind w:left="178" w:hanging="178"/>
              <w:contextualSpacing w:val="0"/>
              <w:jc w:val="both"/>
              <w:rPr>
                <w:rFonts w:asciiTheme="minorHAnsi" w:hAnsiTheme="minorHAnsi" w:cstheme="minorHAnsi"/>
                <w:sz w:val="20"/>
                <w:szCs w:val="20"/>
              </w:rPr>
            </w:pPr>
            <w:r w:rsidRPr="00E01239">
              <w:rPr>
                <w:rFonts w:asciiTheme="minorHAnsi" w:hAnsiTheme="minorHAnsi" w:cstheme="minorHAnsi"/>
                <w:sz w:val="20"/>
                <w:szCs w:val="20"/>
              </w:rPr>
              <w:t>Former le personnel à l’utilisation des pesticides vétérinaires</w:t>
            </w:r>
          </w:p>
          <w:p w14:paraId="5B044881" w14:textId="58B64E29" w:rsidR="00804B5E" w:rsidRPr="00E01239" w:rsidRDefault="00394A82" w:rsidP="00027669">
            <w:pPr>
              <w:pStyle w:val="Paragraphedeliste"/>
              <w:numPr>
                <w:ilvl w:val="0"/>
                <w:numId w:val="134"/>
              </w:numPr>
              <w:adjustRightInd w:val="0"/>
              <w:snapToGrid w:val="0"/>
              <w:ind w:left="178" w:hanging="178"/>
              <w:contextualSpacing w:val="0"/>
              <w:jc w:val="both"/>
              <w:rPr>
                <w:rFonts w:asciiTheme="minorHAnsi" w:hAnsiTheme="minorHAnsi" w:cstheme="minorHAnsi"/>
                <w:sz w:val="20"/>
                <w:szCs w:val="20"/>
              </w:rPr>
            </w:pPr>
            <w:r w:rsidRPr="00E01239">
              <w:rPr>
                <w:rFonts w:asciiTheme="minorHAnsi" w:hAnsiTheme="minorHAnsi" w:cstheme="minorHAnsi"/>
                <w:sz w:val="20"/>
                <w:szCs w:val="20"/>
              </w:rPr>
              <w:t>Veiller au p</w:t>
            </w:r>
            <w:r w:rsidR="00804B5E" w:rsidRPr="00E01239">
              <w:rPr>
                <w:rFonts w:asciiTheme="minorHAnsi" w:hAnsiTheme="minorHAnsi" w:cstheme="minorHAnsi"/>
                <w:sz w:val="20"/>
                <w:szCs w:val="20"/>
              </w:rPr>
              <w:t>ort systématique d’équipements de protection adaptés</w:t>
            </w:r>
          </w:p>
          <w:p w14:paraId="4E5E6A42" w14:textId="617B290C" w:rsidR="00804B5E" w:rsidRPr="00E01239" w:rsidRDefault="00804B5E" w:rsidP="00027669">
            <w:pPr>
              <w:pStyle w:val="Paragraphedeliste"/>
              <w:numPr>
                <w:ilvl w:val="0"/>
                <w:numId w:val="134"/>
              </w:numPr>
              <w:ind w:left="178" w:hanging="178"/>
              <w:rPr>
                <w:rFonts w:asciiTheme="minorHAnsi" w:hAnsiTheme="minorHAnsi" w:cstheme="minorHAnsi"/>
                <w:sz w:val="20"/>
                <w:szCs w:val="20"/>
              </w:rPr>
            </w:pPr>
            <w:r w:rsidRPr="00E01239">
              <w:rPr>
                <w:rFonts w:asciiTheme="minorHAnsi" w:hAnsiTheme="minorHAnsi" w:cstheme="minorHAnsi"/>
                <w:sz w:val="20"/>
                <w:szCs w:val="20"/>
              </w:rPr>
              <w:t>Collecte</w:t>
            </w:r>
            <w:r w:rsidR="00394A82" w:rsidRPr="00E01239">
              <w:rPr>
                <w:rFonts w:asciiTheme="minorHAnsi" w:hAnsiTheme="minorHAnsi" w:cstheme="minorHAnsi"/>
                <w:sz w:val="20"/>
                <w:szCs w:val="20"/>
              </w:rPr>
              <w:t>r</w:t>
            </w:r>
            <w:r w:rsidRPr="00E01239">
              <w:rPr>
                <w:rFonts w:asciiTheme="minorHAnsi" w:hAnsiTheme="minorHAnsi" w:cstheme="minorHAnsi"/>
                <w:sz w:val="20"/>
                <w:szCs w:val="20"/>
              </w:rPr>
              <w:t xml:space="preserve"> et élimin</w:t>
            </w:r>
            <w:r w:rsidR="00394A82" w:rsidRPr="00E01239">
              <w:rPr>
                <w:rFonts w:asciiTheme="minorHAnsi" w:hAnsiTheme="minorHAnsi" w:cstheme="minorHAnsi"/>
                <w:sz w:val="20"/>
                <w:szCs w:val="20"/>
              </w:rPr>
              <w:t>er les</w:t>
            </w:r>
            <w:r w:rsidRPr="00E01239">
              <w:rPr>
                <w:rFonts w:asciiTheme="minorHAnsi" w:hAnsiTheme="minorHAnsi" w:cstheme="minorHAnsi"/>
                <w:sz w:val="20"/>
                <w:szCs w:val="20"/>
              </w:rPr>
              <w:t xml:space="preserve"> emballages vides</w:t>
            </w:r>
          </w:p>
        </w:tc>
      </w:tr>
      <w:tr w:rsidR="00804B5E" w:rsidRPr="00E01239" w14:paraId="7127A822" w14:textId="77777777" w:rsidTr="7CB1727A">
        <w:trPr>
          <w:trHeight w:val="2393"/>
          <w:jc w:val="center"/>
        </w:trPr>
        <w:tc>
          <w:tcPr>
            <w:tcW w:w="657" w:type="pct"/>
            <w:vMerge/>
            <w:vAlign w:val="center"/>
          </w:tcPr>
          <w:p w14:paraId="25FF79AB"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54EB5209"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rPr>
              <w:t>Risque de contamination par les déchets biomédicaux</w:t>
            </w:r>
          </w:p>
        </w:tc>
        <w:tc>
          <w:tcPr>
            <w:tcW w:w="2976" w:type="pct"/>
            <w:vAlign w:val="center"/>
          </w:tcPr>
          <w:p w14:paraId="62B716F5" w14:textId="77777777" w:rsidR="00804B5E" w:rsidRPr="00E01239" w:rsidRDefault="00804B5E" w:rsidP="00027669">
            <w:pPr>
              <w:pStyle w:val="Paragraphedeliste"/>
              <w:numPr>
                <w:ilvl w:val="0"/>
                <w:numId w:val="134"/>
              </w:numPr>
              <w:ind w:left="174" w:hanging="174"/>
              <w:jc w:val="both"/>
              <w:rPr>
                <w:rFonts w:asciiTheme="minorHAnsi" w:hAnsiTheme="minorHAnsi" w:cstheme="minorHAnsi"/>
                <w:sz w:val="20"/>
                <w:szCs w:val="20"/>
              </w:rPr>
            </w:pPr>
            <w:r w:rsidRPr="00E01239">
              <w:rPr>
                <w:rFonts w:asciiTheme="minorHAnsi" w:hAnsiTheme="minorHAnsi" w:cstheme="minorHAnsi"/>
                <w:sz w:val="20"/>
                <w:szCs w:val="20"/>
              </w:rPr>
              <w:t>Prévoir des aires clôturées à conteneurs pour le stockage in situ des déchets biomédicaux triés. Ces aires sont dotées de points d’eau avec du savon ou un détergent et un désinfectant pour le lavage des mains et pour le lavage et la désinfection des conteneurs, ainsi que d’installations pour l’évacuation des eaux usées dans un système de puisard ou d’égout</w:t>
            </w:r>
          </w:p>
          <w:p w14:paraId="24F8A03A" w14:textId="77777777" w:rsidR="00804B5E" w:rsidRPr="00E01239" w:rsidRDefault="00804B5E" w:rsidP="00027669">
            <w:pPr>
              <w:pStyle w:val="Paragraphedeliste"/>
              <w:numPr>
                <w:ilvl w:val="0"/>
                <w:numId w:val="134"/>
              </w:numPr>
              <w:adjustRightInd w:val="0"/>
              <w:snapToGrid w:val="0"/>
              <w:ind w:left="178" w:hanging="178"/>
              <w:contextualSpacing w:val="0"/>
              <w:jc w:val="both"/>
              <w:rPr>
                <w:rFonts w:asciiTheme="minorHAnsi" w:hAnsiTheme="minorHAnsi" w:cstheme="minorHAnsi"/>
                <w:sz w:val="20"/>
                <w:szCs w:val="20"/>
              </w:rPr>
            </w:pPr>
            <w:r w:rsidRPr="00E01239">
              <w:rPr>
                <w:rFonts w:asciiTheme="minorHAnsi" w:hAnsiTheme="minorHAnsi" w:cstheme="minorHAnsi"/>
                <w:sz w:val="20"/>
                <w:szCs w:val="20"/>
              </w:rPr>
              <w:t>Se doter de mini-incinérateurs à haute température (1 000°)</w:t>
            </w:r>
          </w:p>
        </w:tc>
      </w:tr>
      <w:tr w:rsidR="00804B5E" w:rsidRPr="00E01239" w14:paraId="14915E46" w14:textId="77777777" w:rsidTr="7CB1727A">
        <w:trPr>
          <w:trHeight w:val="2393"/>
          <w:jc w:val="center"/>
        </w:trPr>
        <w:tc>
          <w:tcPr>
            <w:tcW w:w="657" w:type="pct"/>
            <w:vAlign w:val="center"/>
          </w:tcPr>
          <w:p w14:paraId="196A231B" w14:textId="77777777" w:rsidR="00804B5E" w:rsidRPr="00E01239" w:rsidRDefault="00804B5E" w:rsidP="008C0C70">
            <w:pPr>
              <w:rPr>
                <w:rFonts w:asciiTheme="minorHAnsi" w:hAnsiTheme="minorHAnsi" w:cstheme="minorHAnsi"/>
                <w:sz w:val="20"/>
                <w:szCs w:val="20"/>
                <w:lang w:bidi="fr-FR"/>
              </w:rPr>
            </w:pPr>
          </w:p>
        </w:tc>
        <w:tc>
          <w:tcPr>
            <w:tcW w:w="1367" w:type="pct"/>
            <w:vAlign w:val="center"/>
          </w:tcPr>
          <w:p w14:paraId="17D174F0" w14:textId="77777777" w:rsidR="00804B5E" w:rsidRPr="00E01239" w:rsidRDefault="00804B5E" w:rsidP="008C0C70">
            <w:pPr>
              <w:rPr>
                <w:rFonts w:asciiTheme="minorHAnsi" w:hAnsiTheme="minorHAnsi" w:cstheme="minorHAnsi"/>
                <w:sz w:val="20"/>
                <w:szCs w:val="20"/>
                <w:lang w:bidi="fr-FR"/>
              </w:rPr>
            </w:pPr>
            <w:r w:rsidRPr="00E01239">
              <w:rPr>
                <w:rFonts w:asciiTheme="minorHAnsi" w:hAnsiTheme="minorHAnsi" w:cstheme="minorHAnsi"/>
                <w:sz w:val="20"/>
                <w:szCs w:val="20"/>
              </w:rPr>
              <w:t xml:space="preserve">Risques infectieux induits par la manipulation des déchets biomédicaux </w:t>
            </w:r>
          </w:p>
        </w:tc>
        <w:tc>
          <w:tcPr>
            <w:tcW w:w="2976" w:type="pct"/>
            <w:vAlign w:val="center"/>
          </w:tcPr>
          <w:p w14:paraId="597FE285" w14:textId="5022B7F4" w:rsidR="00804B5E" w:rsidRPr="00E01239" w:rsidRDefault="00394A82" w:rsidP="00027669">
            <w:pPr>
              <w:pStyle w:val="Paragraphedeliste"/>
              <w:numPr>
                <w:ilvl w:val="0"/>
                <w:numId w:val="134"/>
              </w:numPr>
              <w:ind w:left="174" w:hanging="174"/>
              <w:jc w:val="both"/>
              <w:rPr>
                <w:rFonts w:asciiTheme="minorHAnsi" w:hAnsiTheme="minorHAnsi" w:cstheme="minorHAnsi"/>
                <w:sz w:val="20"/>
                <w:szCs w:val="20"/>
              </w:rPr>
            </w:pPr>
            <w:r w:rsidRPr="00E01239">
              <w:rPr>
                <w:rFonts w:asciiTheme="minorHAnsi" w:hAnsiTheme="minorHAnsi" w:cstheme="minorHAnsi"/>
                <w:sz w:val="20"/>
                <w:szCs w:val="20"/>
              </w:rPr>
              <w:t xml:space="preserve">Doter les </w:t>
            </w:r>
            <w:r w:rsidR="00804B5E" w:rsidRPr="00E01239">
              <w:rPr>
                <w:rFonts w:asciiTheme="minorHAnsi" w:hAnsiTheme="minorHAnsi" w:cstheme="minorHAnsi"/>
                <w:sz w:val="20"/>
                <w:szCs w:val="20"/>
              </w:rPr>
              <w:t xml:space="preserve">postes vétérinaires </w:t>
            </w:r>
            <w:r w:rsidRPr="00E01239">
              <w:rPr>
                <w:rFonts w:asciiTheme="minorHAnsi" w:hAnsiTheme="minorHAnsi" w:cstheme="minorHAnsi"/>
                <w:sz w:val="20"/>
                <w:szCs w:val="20"/>
              </w:rPr>
              <w:t xml:space="preserve">de </w:t>
            </w:r>
            <w:r w:rsidR="00804B5E" w:rsidRPr="00E01239">
              <w:rPr>
                <w:rFonts w:asciiTheme="minorHAnsi" w:hAnsiTheme="minorHAnsi" w:cstheme="minorHAnsi"/>
                <w:sz w:val="20"/>
                <w:szCs w:val="20"/>
              </w:rPr>
              <w:t>réfrigérateur domestique</w:t>
            </w:r>
          </w:p>
          <w:p w14:paraId="1A21DF29" w14:textId="714FCDD2" w:rsidR="00804B5E" w:rsidRPr="00E01239" w:rsidRDefault="00804B5E" w:rsidP="00027669">
            <w:pPr>
              <w:pStyle w:val="Paragraphedeliste"/>
              <w:numPr>
                <w:ilvl w:val="0"/>
                <w:numId w:val="134"/>
              </w:numPr>
              <w:ind w:left="174" w:hanging="174"/>
              <w:jc w:val="both"/>
              <w:rPr>
                <w:rFonts w:asciiTheme="minorHAnsi" w:hAnsiTheme="minorHAnsi" w:cstheme="minorHAnsi"/>
                <w:sz w:val="20"/>
                <w:szCs w:val="20"/>
              </w:rPr>
            </w:pPr>
            <w:r w:rsidRPr="00E01239">
              <w:rPr>
                <w:rFonts w:asciiTheme="minorHAnsi" w:hAnsiTheme="minorHAnsi" w:cstheme="minorHAnsi"/>
                <w:sz w:val="20"/>
                <w:szCs w:val="20"/>
              </w:rPr>
              <w:t>Elabor</w:t>
            </w:r>
            <w:r w:rsidR="00394A82" w:rsidRPr="00E01239">
              <w:rPr>
                <w:rFonts w:asciiTheme="minorHAnsi" w:hAnsiTheme="minorHAnsi" w:cstheme="minorHAnsi"/>
                <w:sz w:val="20"/>
                <w:szCs w:val="20"/>
              </w:rPr>
              <w:t xml:space="preserve">er </w:t>
            </w:r>
            <w:r w:rsidRPr="00E01239">
              <w:rPr>
                <w:rFonts w:asciiTheme="minorHAnsi" w:hAnsiTheme="minorHAnsi" w:cstheme="minorHAnsi"/>
                <w:sz w:val="20"/>
                <w:szCs w:val="20"/>
              </w:rPr>
              <w:t xml:space="preserve">un plan global de gestion des déchets intégrant   les actions suivantes : i) Identification </w:t>
            </w:r>
            <w:r w:rsidR="00DE51AB">
              <w:rPr>
                <w:rFonts w:asciiTheme="minorHAnsi" w:hAnsiTheme="minorHAnsi" w:cstheme="minorHAnsi"/>
                <w:sz w:val="20"/>
                <w:szCs w:val="20"/>
              </w:rPr>
              <w:t>d</w:t>
            </w:r>
            <w:r w:rsidRPr="00E01239">
              <w:rPr>
                <w:rFonts w:asciiTheme="minorHAnsi" w:hAnsiTheme="minorHAnsi" w:cstheme="minorHAnsi"/>
                <w:sz w:val="20"/>
                <w:szCs w:val="20"/>
              </w:rPr>
              <w:t>es différents types de déchets (notamment solides) qui seront générés en phase d’exploitation (fumier, lisier, purin, pailles, aliments de bétails, produits phytosanitaires, déchets biomédicaux provenant de soins des animaux, déchets assimilés à des ordures ménagères, etc. ; ii) Estimation des quantités de déchets qui seront générées par mois (s’inspirer des directives environnementales, sanitaires et sécuritaires (EHS) spécifiques aux branches d’activité du groupe de la BM) ; iii)  Analyse et évaluation de leurs risques/impacts sur l’environnement et les humains ; iv) Proposition de stratégies de gestion rationnelle de chaque déchet, dont la mise en place d’un centre d’accueil, de regroupement et de traitement des déchets dangereux.</w:t>
            </w:r>
          </w:p>
          <w:p w14:paraId="207AEF61" w14:textId="4CE297A3" w:rsidR="00804B5E" w:rsidRPr="00E01239" w:rsidRDefault="00804B5E" w:rsidP="00027669">
            <w:pPr>
              <w:pStyle w:val="Paragraphedeliste"/>
              <w:numPr>
                <w:ilvl w:val="0"/>
                <w:numId w:val="134"/>
              </w:numPr>
              <w:ind w:left="174" w:hanging="174"/>
              <w:jc w:val="both"/>
              <w:rPr>
                <w:rFonts w:asciiTheme="minorHAnsi" w:hAnsiTheme="minorHAnsi" w:cstheme="minorHAnsi"/>
                <w:sz w:val="20"/>
                <w:szCs w:val="20"/>
              </w:rPr>
            </w:pPr>
            <w:r w:rsidRPr="00E01239">
              <w:rPr>
                <w:rFonts w:asciiTheme="minorHAnsi" w:hAnsiTheme="minorHAnsi" w:cstheme="minorHAnsi"/>
                <w:sz w:val="20"/>
                <w:szCs w:val="20"/>
              </w:rPr>
              <w:t>Aménage</w:t>
            </w:r>
            <w:r w:rsidR="00394A82" w:rsidRPr="00E01239">
              <w:rPr>
                <w:rFonts w:asciiTheme="minorHAnsi" w:hAnsiTheme="minorHAnsi" w:cstheme="minorHAnsi"/>
                <w:sz w:val="20"/>
                <w:szCs w:val="20"/>
              </w:rPr>
              <w:t>r des</w:t>
            </w:r>
            <w:r w:rsidRPr="00E01239">
              <w:rPr>
                <w:rFonts w:asciiTheme="minorHAnsi" w:hAnsiTheme="minorHAnsi" w:cstheme="minorHAnsi"/>
                <w:sz w:val="20"/>
                <w:szCs w:val="20"/>
              </w:rPr>
              <w:t xml:space="preserve"> fosses d’enfouissement des sujets morts sur des sites dédiés et protégés</w:t>
            </w:r>
          </w:p>
          <w:p w14:paraId="273E1AA8" w14:textId="11C58D8F" w:rsidR="00804B5E" w:rsidRPr="00E01239" w:rsidRDefault="00804B5E" w:rsidP="00027669">
            <w:pPr>
              <w:pStyle w:val="Paragraphedeliste"/>
              <w:numPr>
                <w:ilvl w:val="0"/>
                <w:numId w:val="134"/>
              </w:numPr>
              <w:adjustRightInd w:val="0"/>
              <w:snapToGrid w:val="0"/>
              <w:ind w:left="178" w:hanging="178"/>
              <w:contextualSpacing w:val="0"/>
              <w:jc w:val="both"/>
              <w:rPr>
                <w:rFonts w:asciiTheme="minorHAnsi" w:hAnsiTheme="minorHAnsi" w:cstheme="minorHAnsi"/>
                <w:sz w:val="20"/>
                <w:szCs w:val="20"/>
              </w:rPr>
            </w:pPr>
            <w:r w:rsidRPr="00E01239">
              <w:rPr>
                <w:rFonts w:asciiTheme="minorHAnsi" w:hAnsiTheme="minorHAnsi" w:cstheme="minorHAnsi"/>
                <w:sz w:val="20"/>
                <w:szCs w:val="20"/>
              </w:rPr>
              <w:t>Aménage</w:t>
            </w:r>
            <w:r w:rsidR="00394A82" w:rsidRPr="00E01239">
              <w:rPr>
                <w:rFonts w:asciiTheme="minorHAnsi" w:hAnsiTheme="minorHAnsi" w:cstheme="minorHAnsi"/>
                <w:sz w:val="20"/>
                <w:szCs w:val="20"/>
              </w:rPr>
              <w:t xml:space="preserve">r des </w:t>
            </w:r>
            <w:r w:rsidRPr="00E01239">
              <w:rPr>
                <w:rFonts w:asciiTheme="minorHAnsi" w:hAnsiTheme="minorHAnsi" w:cstheme="minorHAnsi"/>
                <w:sz w:val="20"/>
                <w:szCs w:val="20"/>
              </w:rPr>
              <w:t>incinérateur</w:t>
            </w:r>
            <w:r w:rsidR="00760AAA" w:rsidRPr="00E01239">
              <w:rPr>
                <w:rFonts w:asciiTheme="minorHAnsi" w:hAnsiTheme="minorHAnsi" w:cstheme="minorHAnsi"/>
                <w:sz w:val="20"/>
                <w:szCs w:val="20"/>
              </w:rPr>
              <w:t>s</w:t>
            </w:r>
            <w:r w:rsidRPr="00E01239">
              <w:rPr>
                <w:rFonts w:asciiTheme="minorHAnsi" w:hAnsiTheme="minorHAnsi" w:cstheme="minorHAnsi"/>
                <w:sz w:val="20"/>
                <w:szCs w:val="20"/>
              </w:rPr>
              <w:t xml:space="preserve"> à une chambre de combustion au niveau des postes vétérinaires </w:t>
            </w:r>
          </w:p>
        </w:tc>
      </w:tr>
      <w:bookmarkEnd w:id="1021"/>
    </w:tbl>
    <w:p w14:paraId="0BF9C78A" w14:textId="7B8D0467" w:rsidR="00A61EC9" w:rsidRPr="00E01239" w:rsidRDefault="00A61EC9" w:rsidP="00582C4E">
      <w:pPr>
        <w:rPr>
          <w:rFonts w:asciiTheme="minorHAnsi" w:hAnsiTheme="minorHAnsi" w:cstheme="minorHAnsi"/>
          <w:sz w:val="22"/>
          <w:szCs w:val="22"/>
        </w:rPr>
      </w:pPr>
    </w:p>
    <w:p w14:paraId="3379056C" w14:textId="44D1C9D0" w:rsidR="00A61EC9" w:rsidRPr="00E01239" w:rsidRDefault="00A61EC9" w:rsidP="00582C4E">
      <w:pPr>
        <w:rPr>
          <w:rFonts w:asciiTheme="minorHAnsi" w:hAnsiTheme="minorHAnsi" w:cstheme="minorHAnsi"/>
          <w:sz w:val="22"/>
          <w:szCs w:val="22"/>
        </w:rPr>
      </w:pPr>
    </w:p>
    <w:p w14:paraId="3F3818A3" w14:textId="66160A84" w:rsidR="00A61EC9" w:rsidRPr="00E01239" w:rsidRDefault="00A61EC9" w:rsidP="00582C4E">
      <w:pPr>
        <w:rPr>
          <w:rFonts w:asciiTheme="minorHAnsi" w:hAnsiTheme="minorHAnsi" w:cstheme="minorHAnsi"/>
          <w:sz w:val="22"/>
          <w:szCs w:val="22"/>
        </w:rPr>
      </w:pPr>
    </w:p>
    <w:p w14:paraId="769E59F8" w14:textId="33EE6E23" w:rsidR="00A61EC9" w:rsidRPr="00E01239" w:rsidRDefault="00A61EC9" w:rsidP="00582C4E">
      <w:pPr>
        <w:rPr>
          <w:rFonts w:asciiTheme="minorHAnsi" w:hAnsiTheme="minorHAnsi" w:cstheme="minorHAnsi"/>
          <w:sz w:val="22"/>
          <w:szCs w:val="22"/>
        </w:rPr>
      </w:pPr>
    </w:p>
    <w:p w14:paraId="5D04160C" w14:textId="00CEA254" w:rsidR="00A61EC9" w:rsidRPr="00E01239" w:rsidRDefault="00A61EC9" w:rsidP="00582C4E">
      <w:pPr>
        <w:rPr>
          <w:rFonts w:asciiTheme="minorHAnsi" w:hAnsiTheme="minorHAnsi" w:cstheme="minorHAnsi"/>
          <w:sz w:val="22"/>
          <w:szCs w:val="22"/>
        </w:rPr>
      </w:pPr>
    </w:p>
    <w:p w14:paraId="12362D6F" w14:textId="4379C8A7" w:rsidR="00A61EC9" w:rsidRPr="00E01239" w:rsidRDefault="00A61EC9" w:rsidP="00582C4E">
      <w:pPr>
        <w:rPr>
          <w:rFonts w:asciiTheme="minorHAnsi" w:hAnsiTheme="minorHAnsi" w:cstheme="minorHAnsi"/>
          <w:sz w:val="22"/>
          <w:szCs w:val="22"/>
        </w:rPr>
      </w:pPr>
    </w:p>
    <w:p w14:paraId="7EFA6581" w14:textId="77777777" w:rsidR="00661BEF" w:rsidRPr="00E01239" w:rsidRDefault="00661BEF">
      <w:pPr>
        <w:rPr>
          <w:rFonts w:asciiTheme="minorHAnsi" w:hAnsiTheme="minorHAnsi" w:cstheme="minorHAnsi"/>
          <w:sz w:val="22"/>
          <w:szCs w:val="22"/>
        </w:rPr>
        <w:sectPr w:rsidR="00661BEF" w:rsidRPr="00E01239" w:rsidSect="00661BEF">
          <w:pgSz w:w="16840" w:h="11907" w:orient="landscape" w:code="9"/>
          <w:pgMar w:top="1418" w:right="1418" w:bottom="1418" w:left="1418" w:header="720" w:footer="720" w:gutter="0"/>
          <w:cols w:space="60"/>
          <w:noEndnote/>
        </w:sectPr>
      </w:pPr>
    </w:p>
    <w:p w14:paraId="278B7642" w14:textId="5953ACA3" w:rsidR="007D41DC" w:rsidRPr="00E01239" w:rsidRDefault="00287591" w:rsidP="009E5299">
      <w:pPr>
        <w:pStyle w:val="Titre2"/>
        <w:spacing w:before="120" w:line="280" w:lineRule="exact"/>
        <w:ind w:hanging="502"/>
        <w:rPr>
          <w:rFonts w:asciiTheme="minorHAnsi" w:hAnsiTheme="minorHAnsi" w:cstheme="minorHAnsi"/>
          <w:color w:val="auto"/>
        </w:rPr>
      </w:pPr>
      <w:bookmarkStart w:id="1022" w:name="_Toc70002953"/>
      <w:bookmarkStart w:id="1023" w:name="_Toc130714095"/>
      <w:bookmarkStart w:id="1024" w:name="_Toc142378209"/>
      <w:bookmarkStart w:id="1025" w:name="_Toc144654152"/>
      <w:bookmarkEnd w:id="1002"/>
      <w:bookmarkEnd w:id="1004"/>
      <w:r w:rsidRPr="00E01239">
        <w:rPr>
          <w:rFonts w:asciiTheme="minorHAnsi" w:hAnsiTheme="minorHAnsi" w:cstheme="minorHAnsi"/>
          <w:color w:val="auto"/>
        </w:rPr>
        <w:lastRenderedPageBreak/>
        <w:t xml:space="preserve">CONSULTATION </w:t>
      </w:r>
      <w:r w:rsidR="007E5627" w:rsidRPr="00E01239">
        <w:rPr>
          <w:rFonts w:asciiTheme="minorHAnsi" w:hAnsiTheme="minorHAnsi" w:cstheme="minorHAnsi"/>
          <w:color w:val="auto"/>
        </w:rPr>
        <w:t xml:space="preserve">ET INFORMATION </w:t>
      </w:r>
      <w:bookmarkEnd w:id="1003"/>
      <w:r w:rsidR="001B12A9" w:rsidRPr="00E01239">
        <w:rPr>
          <w:rFonts w:asciiTheme="minorHAnsi" w:hAnsiTheme="minorHAnsi" w:cstheme="minorHAnsi"/>
          <w:color w:val="auto"/>
        </w:rPr>
        <w:t>DES PARTIES PRENANTES</w:t>
      </w:r>
      <w:bookmarkEnd w:id="1022"/>
      <w:bookmarkEnd w:id="1023"/>
      <w:bookmarkEnd w:id="1024"/>
      <w:bookmarkEnd w:id="1025"/>
    </w:p>
    <w:p w14:paraId="2ACEFC9B" w14:textId="2BE01FBC" w:rsidR="00B91B2B" w:rsidRPr="00E01239" w:rsidRDefault="00DE60D3"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Conformément aux exigences de la NES 10</w:t>
      </w:r>
      <w:r w:rsidR="00B91B2B" w:rsidRPr="00E01239">
        <w:rPr>
          <w:rFonts w:asciiTheme="minorHAnsi" w:hAnsiTheme="minorHAnsi" w:cstheme="minorHAnsi"/>
          <w:sz w:val="22"/>
          <w:szCs w:val="22"/>
        </w:rPr>
        <w:t xml:space="preserve">, des consultations </w:t>
      </w:r>
      <w:r w:rsidRPr="00E01239">
        <w:rPr>
          <w:rFonts w:asciiTheme="minorHAnsi" w:hAnsiTheme="minorHAnsi" w:cstheme="minorHAnsi"/>
          <w:sz w:val="22"/>
          <w:szCs w:val="22"/>
        </w:rPr>
        <w:t xml:space="preserve">auprès des parties prenantes au FSRP-SN </w:t>
      </w:r>
      <w:r w:rsidR="00B91B2B" w:rsidRPr="00E01239">
        <w:rPr>
          <w:rFonts w:asciiTheme="minorHAnsi" w:hAnsiTheme="minorHAnsi" w:cstheme="minorHAnsi"/>
          <w:sz w:val="22"/>
          <w:szCs w:val="22"/>
        </w:rPr>
        <w:t>ont été menées au niveau de huit (8) régions sur les treize (13) régions administratives d’intervention du Projet</w:t>
      </w:r>
      <w:r w:rsidRPr="00E01239">
        <w:rPr>
          <w:rFonts w:asciiTheme="minorHAnsi" w:hAnsiTheme="minorHAnsi" w:cstheme="minorHAnsi"/>
          <w:sz w:val="22"/>
          <w:szCs w:val="22"/>
        </w:rPr>
        <w:t xml:space="preserve"> dans le cadre de la préparation des différents instruments cadres (CGES, CPR, PMPP, PGMO, Plan VBG, PGPP).</w:t>
      </w:r>
    </w:p>
    <w:p w14:paraId="7A12C0F4" w14:textId="6B7ADE11" w:rsidR="00582C4E" w:rsidRPr="00E01239" w:rsidRDefault="00582C4E" w:rsidP="00263B8A">
      <w:pPr>
        <w:spacing w:before="120" w:line="280" w:lineRule="exact"/>
        <w:rPr>
          <w:rFonts w:asciiTheme="minorHAnsi" w:hAnsiTheme="minorHAnsi" w:cstheme="minorHAnsi"/>
          <w:sz w:val="22"/>
          <w:szCs w:val="22"/>
        </w:rPr>
      </w:pPr>
    </w:p>
    <w:p w14:paraId="772D0455" w14:textId="77777777" w:rsidR="00B91B2B" w:rsidRPr="00E01239" w:rsidRDefault="00B91B2B" w:rsidP="0011733B">
      <w:pPr>
        <w:pStyle w:val="Titre3"/>
        <w:spacing w:before="120" w:line="280" w:lineRule="exact"/>
        <w:ind w:left="1276"/>
        <w:contextualSpacing w:val="0"/>
        <w:rPr>
          <w:rFonts w:asciiTheme="minorHAnsi" w:hAnsiTheme="minorHAnsi" w:cstheme="minorHAnsi"/>
        </w:rPr>
      </w:pPr>
      <w:bookmarkStart w:id="1026" w:name="_Toc142482975"/>
      <w:bookmarkStart w:id="1027" w:name="_Toc144654153"/>
      <w:r w:rsidRPr="00E01239">
        <w:rPr>
          <w:rFonts w:asciiTheme="minorHAnsi" w:hAnsiTheme="minorHAnsi" w:cstheme="minorHAnsi"/>
        </w:rPr>
        <w:t>Objectifs des consultations</w:t>
      </w:r>
      <w:bookmarkEnd w:id="1026"/>
      <w:bookmarkEnd w:id="1027"/>
    </w:p>
    <w:p w14:paraId="150C349B" w14:textId="7E81847F" w:rsidR="00B91B2B" w:rsidRPr="00E01239" w:rsidRDefault="00B91B2B" w:rsidP="00263B8A">
      <w:pPr>
        <w:autoSpaceDE w:val="0"/>
        <w:autoSpaceDN w:val="0"/>
        <w:adjustRightInd w:val="0"/>
        <w:spacing w:before="120" w:line="280" w:lineRule="exact"/>
        <w:jc w:val="both"/>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 xml:space="preserve">L’objectif général des consultations est d’assurer la participation du public au processus d’élaboration </w:t>
      </w:r>
      <w:r w:rsidR="00DE60D3" w:rsidRPr="00E01239">
        <w:rPr>
          <w:rFonts w:asciiTheme="minorHAnsi" w:eastAsia="Calibri" w:hAnsiTheme="minorHAnsi" w:cstheme="minorHAnsi"/>
          <w:sz w:val="22"/>
          <w:szCs w:val="22"/>
          <w:lang w:eastAsia="en-US"/>
        </w:rPr>
        <w:t>des instruments</w:t>
      </w:r>
      <w:r w:rsidRPr="00E01239">
        <w:rPr>
          <w:rFonts w:asciiTheme="minorHAnsi" w:eastAsia="Calibri" w:hAnsiTheme="minorHAnsi" w:cstheme="minorHAnsi"/>
          <w:sz w:val="22"/>
          <w:szCs w:val="22"/>
          <w:lang w:eastAsia="en-US"/>
        </w:rPr>
        <w:t xml:space="preserve"> du projet en vue d’une meilleure prise de décision, celle qui intègre et prend en compte, autant que possible, les préoccupations, les attentes et les suggestions et recommandations des </w:t>
      </w:r>
      <w:r w:rsidR="0021506F" w:rsidRPr="00E01239">
        <w:rPr>
          <w:rFonts w:asciiTheme="minorHAnsi" w:eastAsia="Calibri" w:hAnsiTheme="minorHAnsi" w:cstheme="minorHAnsi"/>
          <w:sz w:val="22"/>
          <w:szCs w:val="22"/>
          <w:lang w:eastAsia="en-US"/>
        </w:rPr>
        <w:t>parties prenantes</w:t>
      </w:r>
      <w:r w:rsidRPr="00E01239">
        <w:rPr>
          <w:rFonts w:asciiTheme="minorHAnsi" w:eastAsia="Calibri" w:hAnsiTheme="minorHAnsi" w:cstheme="minorHAnsi"/>
          <w:sz w:val="22"/>
          <w:szCs w:val="22"/>
          <w:lang w:eastAsia="en-US"/>
        </w:rPr>
        <w:t xml:space="preserve">. </w:t>
      </w:r>
    </w:p>
    <w:p w14:paraId="104ADE60" w14:textId="49C5046E" w:rsidR="00B91B2B" w:rsidRPr="00E01239" w:rsidRDefault="0021506F" w:rsidP="00263B8A">
      <w:pPr>
        <w:autoSpaceDE w:val="0"/>
        <w:autoSpaceDN w:val="0"/>
        <w:adjustRightInd w:val="0"/>
        <w:spacing w:before="120" w:line="280" w:lineRule="exact"/>
        <w:jc w:val="both"/>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Ainsi</w:t>
      </w:r>
      <w:r w:rsidR="00B91B2B" w:rsidRPr="00E01239">
        <w:rPr>
          <w:rFonts w:asciiTheme="minorHAnsi" w:eastAsia="Calibri" w:hAnsiTheme="minorHAnsi" w:cstheme="minorHAnsi"/>
          <w:sz w:val="22"/>
          <w:szCs w:val="22"/>
          <w:lang w:eastAsia="en-US"/>
        </w:rPr>
        <w:t xml:space="preserve">, les consultations ont permis d’atteindre les objectifs spécifiques ci-après : </w:t>
      </w:r>
    </w:p>
    <w:p w14:paraId="2341C7F7" w14:textId="77777777" w:rsidR="00B91B2B" w:rsidRPr="00E01239" w:rsidRDefault="00B91B2B" w:rsidP="00027669">
      <w:pPr>
        <w:numPr>
          <w:ilvl w:val="0"/>
          <w:numId w:val="160"/>
        </w:numPr>
        <w:autoSpaceDE w:val="0"/>
        <w:autoSpaceDN w:val="0"/>
        <w:adjustRightInd w:val="0"/>
        <w:spacing w:before="120" w:line="280" w:lineRule="exact"/>
        <w:jc w:val="both"/>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Permettre aux populations bénéficiaires du projet et aux parties prenantes d’avoir accès à l'information sur le projet ;</w:t>
      </w:r>
    </w:p>
    <w:p w14:paraId="2DA12653" w14:textId="77777777" w:rsidR="00B91B2B" w:rsidRPr="00E01239" w:rsidRDefault="00B91B2B" w:rsidP="00027669">
      <w:pPr>
        <w:numPr>
          <w:ilvl w:val="0"/>
          <w:numId w:val="160"/>
        </w:numPr>
        <w:autoSpaceDE w:val="0"/>
        <w:autoSpaceDN w:val="0"/>
        <w:adjustRightInd w:val="0"/>
        <w:spacing w:before="120" w:line="280" w:lineRule="exact"/>
        <w:jc w:val="both"/>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 xml:space="preserve">Permettre aux populations bénéficiaires du projet et aux parties prenantes </w:t>
      </w:r>
      <w:r w:rsidRPr="00E01239">
        <w:rPr>
          <w:rFonts w:asciiTheme="minorHAnsi" w:hAnsiTheme="minorHAnsi" w:cstheme="minorHAnsi"/>
          <w:sz w:val="22"/>
          <w:szCs w:val="22"/>
        </w:rPr>
        <w:t>de donner leurs avis sur les activités potentielles initiées par le Programme</w:t>
      </w:r>
      <w:r w:rsidRPr="00E01239">
        <w:rPr>
          <w:rFonts w:asciiTheme="minorHAnsi" w:eastAsia="Calibri" w:hAnsiTheme="minorHAnsi" w:cstheme="minorHAnsi"/>
          <w:sz w:val="22"/>
          <w:szCs w:val="22"/>
          <w:lang w:eastAsia="en-US"/>
        </w:rPr>
        <w:t xml:space="preserve"> ;</w:t>
      </w:r>
    </w:p>
    <w:p w14:paraId="1A47FE98" w14:textId="77777777" w:rsidR="00B91B2B" w:rsidRPr="00E01239" w:rsidRDefault="00B91B2B" w:rsidP="00027669">
      <w:pPr>
        <w:numPr>
          <w:ilvl w:val="0"/>
          <w:numId w:val="160"/>
        </w:numPr>
        <w:autoSpaceDE w:val="0"/>
        <w:autoSpaceDN w:val="0"/>
        <w:adjustRightInd w:val="0"/>
        <w:spacing w:before="120" w:line="280" w:lineRule="exact"/>
        <w:jc w:val="both"/>
        <w:rPr>
          <w:rFonts w:asciiTheme="minorHAnsi" w:eastAsia="Calibri" w:hAnsiTheme="minorHAnsi" w:cstheme="minorHAnsi"/>
          <w:sz w:val="22"/>
          <w:szCs w:val="22"/>
          <w:lang w:eastAsia="en-US"/>
        </w:rPr>
      </w:pPr>
      <w:r w:rsidRPr="00E01239">
        <w:rPr>
          <w:rFonts w:asciiTheme="minorHAnsi" w:hAnsiTheme="minorHAnsi" w:cstheme="minorHAnsi"/>
          <w:sz w:val="22"/>
          <w:szCs w:val="22"/>
        </w:rPr>
        <w:t>Recueillir les préoccupations (besoins, attentes, craintes …) des parties prenantes et de la communauté ainsi que leurs suggestions et recommandations éventuelles.</w:t>
      </w:r>
      <w:r w:rsidRPr="00E01239">
        <w:rPr>
          <w:rFonts w:asciiTheme="minorHAnsi" w:eastAsia="Calibri" w:hAnsiTheme="minorHAnsi" w:cstheme="minorHAnsi"/>
          <w:sz w:val="22"/>
          <w:szCs w:val="22"/>
          <w:lang w:eastAsia="en-US"/>
        </w:rPr>
        <w:t xml:space="preserve"> </w:t>
      </w:r>
    </w:p>
    <w:p w14:paraId="56FEC8C9" w14:textId="77777777" w:rsidR="00B91B2B" w:rsidRPr="00E01239" w:rsidRDefault="00B91B2B" w:rsidP="00263B8A">
      <w:pPr>
        <w:autoSpaceDE w:val="0"/>
        <w:autoSpaceDN w:val="0"/>
        <w:adjustRightInd w:val="0"/>
        <w:spacing w:before="120" w:line="280" w:lineRule="exact"/>
        <w:jc w:val="both"/>
        <w:rPr>
          <w:rFonts w:asciiTheme="minorHAnsi" w:eastAsia="Calibri" w:hAnsiTheme="minorHAnsi" w:cstheme="minorHAnsi"/>
          <w:sz w:val="22"/>
          <w:szCs w:val="22"/>
          <w:lang w:eastAsia="en-US"/>
        </w:rPr>
      </w:pPr>
    </w:p>
    <w:p w14:paraId="0769B05F" w14:textId="77777777" w:rsidR="00B91B2B" w:rsidRPr="00E01239" w:rsidRDefault="00B91B2B" w:rsidP="0011733B">
      <w:pPr>
        <w:pStyle w:val="Titre3"/>
        <w:spacing w:before="120" w:line="280" w:lineRule="exact"/>
        <w:ind w:left="1276"/>
        <w:contextualSpacing w:val="0"/>
        <w:rPr>
          <w:rFonts w:asciiTheme="minorHAnsi" w:hAnsiTheme="minorHAnsi" w:cstheme="minorHAnsi"/>
        </w:rPr>
      </w:pPr>
      <w:bookmarkStart w:id="1028" w:name="_Toc142482976"/>
      <w:bookmarkStart w:id="1029" w:name="_Toc144654154"/>
      <w:r w:rsidRPr="00E01239">
        <w:rPr>
          <w:rFonts w:asciiTheme="minorHAnsi" w:hAnsiTheme="minorHAnsi" w:cstheme="minorHAnsi"/>
        </w:rPr>
        <w:t>Etendue et calendrier des consultations</w:t>
      </w:r>
      <w:bookmarkEnd w:id="1028"/>
      <w:bookmarkEnd w:id="1029"/>
    </w:p>
    <w:p w14:paraId="0CD2AB9F" w14:textId="1358E7BC" w:rsidR="00394A82" w:rsidRPr="00E01239" w:rsidRDefault="00B91B2B" w:rsidP="00263B8A">
      <w:pPr>
        <w:spacing w:before="120" w:line="280" w:lineRule="exact"/>
        <w:jc w:val="both"/>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 xml:space="preserve">Les consultations ont été menées au niveau de </w:t>
      </w:r>
      <w:r w:rsidRPr="00E01239">
        <w:rPr>
          <w:rFonts w:asciiTheme="minorHAnsi" w:eastAsia="Calibri" w:hAnsiTheme="minorHAnsi" w:cstheme="minorHAnsi"/>
          <w:b/>
          <w:sz w:val="22"/>
          <w:szCs w:val="22"/>
          <w:lang w:eastAsia="en-US"/>
        </w:rPr>
        <w:t>huit (8) régions (Dakar, Diourbel, Tambacounda, Kaffrine, Louga, Thiès, Kaolack et Ziguinchor)</w:t>
      </w:r>
      <w:r w:rsidRPr="00E01239">
        <w:rPr>
          <w:rFonts w:asciiTheme="minorHAnsi" w:eastAsia="Calibri" w:hAnsiTheme="minorHAnsi" w:cstheme="minorHAnsi"/>
          <w:sz w:val="22"/>
          <w:szCs w:val="22"/>
          <w:lang w:eastAsia="en-US"/>
        </w:rPr>
        <w:t xml:space="preserve"> parmi les treize (13) régions</w:t>
      </w:r>
      <w:r w:rsidRPr="00E01239">
        <w:rPr>
          <w:rFonts w:asciiTheme="minorHAnsi" w:eastAsia="Calibri" w:hAnsiTheme="minorHAnsi" w:cstheme="minorHAnsi"/>
          <w:sz w:val="22"/>
          <w:szCs w:val="22"/>
          <w:vertAlign w:val="superscript"/>
          <w:lang w:eastAsia="en-US"/>
        </w:rPr>
        <w:footnoteReference w:id="7"/>
      </w:r>
      <w:r w:rsidRPr="00E01239">
        <w:rPr>
          <w:rFonts w:asciiTheme="minorHAnsi" w:eastAsia="Calibri" w:hAnsiTheme="minorHAnsi" w:cstheme="minorHAnsi"/>
          <w:sz w:val="22"/>
          <w:szCs w:val="22"/>
          <w:vertAlign w:val="superscript"/>
          <w:lang w:eastAsia="en-US"/>
        </w:rPr>
        <w:t xml:space="preserve"> </w:t>
      </w:r>
      <w:r w:rsidRPr="00E01239">
        <w:rPr>
          <w:rFonts w:asciiTheme="minorHAnsi" w:hAnsiTheme="minorHAnsi" w:cstheme="minorHAnsi"/>
          <w:sz w:val="22"/>
          <w:szCs w:val="22"/>
        </w:rPr>
        <w:t xml:space="preserve">administratives </w:t>
      </w:r>
      <w:r w:rsidRPr="00E01239">
        <w:rPr>
          <w:rFonts w:asciiTheme="minorHAnsi" w:eastAsia="Calibri" w:hAnsiTheme="minorHAnsi" w:cstheme="minorHAnsi"/>
          <w:sz w:val="22"/>
          <w:szCs w:val="22"/>
          <w:lang w:eastAsia="en-US"/>
        </w:rPr>
        <w:t xml:space="preserve">d’intervention du projet. </w:t>
      </w:r>
    </w:p>
    <w:p w14:paraId="178AE8E1" w14:textId="5B545B93" w:rsidR="00C06187" w:rsidRPr="00E01239" w:rsidRDefault="00C06187" w:rsidP="00C06187">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Ce choix orienté sur les </w:t>
      </w:r>
      <w:r w:rsidR="00AC178B" w:rsidRPr="00E01239">
        <w:rPr>
          <w:rFonts w:asciiTheme="minorHAnsi" w:hAnsiTheme="minorHAnsi" w:cstheme="minorHAnsi"/>
          <w:sz w:val="22"/>
          <w:szCs w:val="22"/>
        </w:rPr>
        <w:t>régions</w:t>
      </w:r>
      <w:r w:rsidRPr="00E01239">
        <w:rPr>
          <w:rFonts w:asciiTheme="minorHAnsi" w:hAnsiTheme="minorHAnsi" w:cstheme="minorHAnsi"/>
          <w:sz w:val="22"/>
          <w:szCs w:val="22"/>
        </w:rPr>
        <w:t xml:space="preserve"> s’est opéré sur la base de deux principaux critères que sont :</w:t>
      </w:r>
    </w:p>
    <w:p w14:paraId="4714BF21" w14:textId="77777777" w:rsidR="00C06187" w:rsidRPr="00E01239" w:rsidRDefault="00C06187" w:rsidP="00C06187">
      <w:pPr>
        <w:pStyle w:val="Paragraphedeliste"/>
        <w:numPr>
          <w:ilvl w:val="0"/>
          <w:numId w:val="191"/>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zones à forte pression sur les ressources naturelles (eau, sol notamment) ; </w:t>
      </w:r>
    </w:p>
    <w:p w14:paraId="01F52218" w14:textId="77777777" w:rsidR="00C06187" w:rsidRPr="00E01239" w:rsidRDefault="00C06187" w:rsidP="00C06187">
      <w:pPr>
        <w:pStyle w:val="Paragraphedeliste"/>
        <w:numPr>
          <w:ilvl w:val="0"/>
          <w:numId w:val="191"/>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zones à fort enjeu agricole et pastoral. </w:t>
      </w:r>
    </w:p>
    <w:p w14:paraId="3429A2AD" w14:textId="77777777" w:rsidR="00C06187" w:rsidRPr="00E01239" w:rsidRDefault="00C06187" w:rsidP="00C06187">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Ce zonage correspond aux domaines éco géographiques divisés en six zones que sont :</w:t>
      </w:r>
    </w:p>
    <w:p w14:paraId="3C5283EB" w14:textId="77777777" w:rsidR="00C06187" w:rsidRPr="00E01239" w:rsidRDefault="00C06187" w:rsidP="00C06187">
      <w:pPr>
        <w:pStyle w:val="Paragraphedeliste"/>
        <w:numPr>
          <w:ilvl w:val="0"/>
          <w:numId w:val="192"/>
        </w:numPr>
        <w:spacing w:before="120" w:line="360" w:lineRule="exact"/>
        <w:jc w:val="both"/>
        <w:rPr>
          <w:rFonts w:asciiTheme="minorHAnsi" w:hAnsiTheme="minorHAnsi" w:cstheme="minorHAnsi"/>
          <w:sz w:val="22"/>
          <w:szCs w:val="22"/>
        </w:rPr>
      </w:pPr>
      <w:proofErr w:type="gramStart"/>
      <w:r w:rsidRPr="00E01239">
        <w:rPr>
          <w:rFonts w:asciiTheme="minorHAnsi" w:hAnsiTheme="minorHAnsi" w:cstheme="minorHAnsi"/>
          <w:sz w:val="22"/>
          <w:szCs w:val="22"/>
        </w:rPr>
        <w:t>la</w:t>
      </w:r>
      <w:proofErr w:type="gramEnd"/>
      <w:r w:rsidRPr="00E01239">
        <w:rPr>
          <w:rFonts w:asciiTheme="minorHAnsi" w:hAnsiTheme="minorHAnsi" w:cstheme="minorHAnsi"/>
          <w:sz w:val="22"/>
          <w:szCs w:val="22"/>
        </w:rPr>
        <w:t xml:space="preserve"> Vallée du fleuve Sénégal : elle correspond pour l'essentiel aux zones riveraines du fleuve où s'exerce une agriculture irriguée toute l'année suite notamment à la construction des barrages de </w:t>
      </w:r>
      <w:proofErr w:type="spellStart"/>
      <w:r w:rsidRPr="00E01239">
        <w:rPr>
          <w:rFonts w:asciiTheme="minorHAnsi" w:hAnsiTheme="minorHAnsi" w:cstheme="minorHAnsi"/>
          <w:sz w:val="22"/>
          <w:szCs w:val="22"/>
        </w:rPr>
        <w:t>Diama</w:t>
      </w:r>
      <w:proofErr w:type="spellEnd"/>
      <w:r w:rsidRPr="00E01239">
        <w:rPr>
          <w:rFonts w:asciiTheme="minorHAnsi" w:hAnsiTheme="minorHAnsi" w:cstheme="minorHAnsi"/>
          <w:sz w:val="22"/>
          <w:szCs w:val="22"/>
        </w:rPr>
        <w:t xml:space="preserve"> et de Manantali ;</w:t>
      </w:r>
    </w:p>
    <w:p w14:paraId="449B9A46" w14:textId="77777777" w:rsidR="00C06187" w:rsidRPr="00E01239" w:rsidRDefault="00C06187" w:rsidP="00C06187">
      <w:pPr>
        <w:pStyle w:val="Paragraphedeliste"/>
        <w:numPr>
          <w:ilvl w:val="0"/>
          <w:numId w:val="192"/>
        </w:numPr>
        <w:spacing w:before="120" w:line="360" w:lineRule="exact"/>
        <w:jc w:val="both"/>
        <w:rPr>
          <w:rFonts w:asciiTheme="minorHAnsi" w:hAnsiTheme="minorHAnsi" w:cstheme="minorHAnsi"/>
          <w:sz w:val="22"/>
          <w:szCs w:val="22"/>
        </w:rPr>
      </w:pPr>
      <w:proofErr w:type="gramStart"/>
      <w:r w:rsidRPr="00E01239">
        <w:rPr>
          <w:rFonts w:asciiTheme="minorHAnsi" w:hAnsiTheme="minorHAnsi" w:cstheme="minorHAnsi"/>
          <w:sz w:val="22"/>
          <w:szCs w:val="22"/>
        </w:rPr>
        <w:t>la</w:t>
      </w:r>
      <w:proofErr w:type="gramEnd"/>
      <w:r w:rsidRPr="00E01239">
        <w:rPr>
          <w:rFonts w:asciiTheme="minorHAnsi" w:hAnsiTheme="minorHAnsi" w:cstheme="minorHAnsi"/>
          <w:sz w:val="22"/>
          <w:szCs w:val="22"/>
        </w:rPr>
        <w:t xml:space="preserve"> Grande Côte ou les Niayes : Située le long du littoral nord, c’est une zone où se pratiquent d'intenses cultures maraîchères ;</w:t>
      </w:r>
    </w:p>
    <w:p w14:paraId="207A4959" w14:textId="77777777" w:rsidR="00C06187" w:rsidRPr="00E01239" w:rsidRDefault="00C06187" w:rsidP="00C06187">
      <w:pPr>
        <w:pStyle w:val="Paragraphedeliste"/>
        <w:numPr>
          <w:ilvl w:val="0"/>
          <w:numId w:val="192"/>
        </w:numPr>
        <w:spacing w:before="120" w:line="360" w:lineRule="exact"/>
        <w:jc w:val="both"/>
        <w:rPr>
          <w:rFonts w:asciiTheme="minorHAnsi" w:hAnsiTheme="minorHAnsi" w:cstheme="minorHAnsi"/>
          <w:sz w:val="22"/>
          <w:szCs w:val="22"/>
        </w:rPr>
      </w:pPr>
      <w:proofErr w:type="gramStart"/>
      <w:r w:rsidRPr="00E01239">
        <w:rPr>
          <w:rFonts w:asciiTheme="minorHAnsi" w:hAnsiTheme="minorHAnsi" w:cstheme="minorHAnsi"/>
          <w:sz w:val="22"/>
          <w:szCs w:val="22"/>
        </w:rPr>
        <w:t>le</w:t>
      </w:r>
      <w:proofErr w:type="gramEnd"/>
      <w:r w:rsidRPr="00E01239">
        <w:rPr>
          <w:rFonts w:asciiTheme="minorHAnsi" w:hAnsiTheme="minorHAnsi" w:cstheme="minorHAnsi"/>
          <w:sz w:val="22"/>
          <w:szCs w:val="22"/>
        </w:rPr>
        <w:t xml:space="preserve"> centre Ouest ou Bassin arachidier, elle correspond à l'ancienne région du Sine Saloum (Fatick et Kaolack) avec des extensions dans les régions de Thiès et de Diourbel ; </w:t>
      </w:r>
    </w:p>
    <w:p w14:paraId="0E5C8D9D" w14:textId="77777777" w:rsidR="00C06187" w:rsidRPr="00E01239" w:rsidRDefault="00C06187" w:rsidP="00C06187">
      <w:pPr>
        <w:pStyle w:val="Paragraphedeliste"/>
        <w:numPr>
          <w:ilvl w:val="0"/>
          <w:numId w:val="192"/>
        </w:numPr>
        <w:spacing w:before="120" w:line="360" w:lineRule="exact"/>
        <w:jc w:val="both"/>
        <w:rPr>
          <w:rFonts w:asciiTheme="minorHAnsi" w:hAnsiTheme="minorHAnsi" w:cstheme="minorHAnsi"/>
          <w:sz w:val="22"/>
          <w:szCs w:val="22"/>
        </w:rPr>
      </w:pPr>
      <w:proofErr w:type="gramStart"/>
      <w:r w:rsidRPr="00E01239">
        <w:rPr>
          <w:rFonts w:asciiTheme="minorHAnsi" w:hAnsiTheme="minorHAnsi" w:cstheme="minorHAnsi"/>
          <w:sz w:val="22"/>
          <w:szCs w:val="22"/>
        </w:rPr>
        <w:lastRenderedPageBreak/>
        <w:t>la</w:t>
      </w:r>
      <w:proofErr w:type="gramEnd"/>
      <w:r w:rsidRPr="00E01239">
        <w:rPr>
          <w:rFonts w:asciiTheme="minorHAnsi" w:hAnsiTheme="minorHAnsi" w:cstheme="minorHAnsi"/>
          <w:sz w:val="22"/>
          <w:szCs w:val="22"/>
        </w:rPr>
        <w:t xml:space="preserve"> zone forestière du Sud ou région naturelle de la Casamance, avec une forte pluviométrie, les ressources forestières y sont quantitativement et qualitativement les plus riches et constituent les réserves les plus importantes du pays (1 400 000 ha) ;</w:t>
      </w:r>
    </w:p>
    <w:p w14:paraId="0FB16EF2" w14:textId="77777777" w:rsidR="00C06187" w:rsidRPr="00E01239" w:rsidRDefault="00C06187" w:rsidP="00C06187">
      <w:pPr>
        <w:pStyle w:val="Paragraphedeliste"/>
        <w:numPr>
          <w:ilvl w:val="0"/>
          <w:numId w:val="192"/>
        </w:numPr>
        <w:spacing w:before="120" w:line="360" w:lineRule="exact"/>
        <w:jc w:val="both"/>
        <w:rPr>
          <w:rFonts w:asciiTheme="minorHAnsi" w:hAnsiTheme="minorHAnsi" w:cstheme="minorHAnsi"/>
          <w:sz w:val="22"/>
          <w:szCs w:val="22"/>
        </w:rPr>
      </w:pPr>
      <w:proofErr w:type="gramStart"/>
      <w:r w:rsidRPr="00E01239">
        <w:rPr>
          <w:rFonts w:asciiTheme="minorHAnsi" w:hAnsiTheme="minorHAnsi" w:cstheme="minorHAnsi"/>
          <w:sz w:val="22"/>
          <w:szCs w:val="22"/>
        </w:rPr>
        <w:t>la</w:t>
      </w:r>
      <w:proofErr w:type="gramEnd"/>
      <w:r w:rsidRPr="00E01239">
        <w:rPr>
          <w:rFonts w:asciiTheme="minorHAnsi" w:hAnsiTheme="minorHAnsi" w:cstheme="minorHAnsi"/>
          <w:sz w:val="22"/>
          <w:szCs w:val="22"/>
        </w:rPr>
        <w:t xml:space="preserve"> zone sylvopastorale, communément appelée Ferlo est l'entité éco géographique la plus vaste du Sénégal (29% du territoire National). Avec des températures qui dépassent parfois les 45°C. Il existe dans la zone de vastes réserves sylvopastorales et fauniques ;</w:t>
      </w:r>
    </w:p>
    <w:p w14:paraId="24F9E227" w14:textId="77777777" w:rsidR="00C06187" w:rsidRPr="00E01239" w:rsidRDefault="00C06187" w:rsidP="00C06187">
      <w:pPr>
        <w:pStyle w:val="Paragraphedeliste"/>
        <w:numPr>
          <w:ilvl w:val="0"/>
          <w:numId w:val="192"/>
        </w:numPr>
        <w:spacing w:before="120" w:line="360" w:lineRule="exact"/>
        <w:jc w:val="both"/>
        <w:rPr>
          <w:rFonts w:asciiTheme="minorHAnsi" w:hAnsiTheme="minorHAnsi" w:cstheme="minorHAnsi"/>
          <w:sz w:val="22"/>
          <w:szCs w:val="22"/>
        </w:rPr>
      </w:pPr>
      <w:proofErr w:type="gramStart"/>
      <w:r w:rsidRPr="00E01239">
        <w:rPr>
          <w:rFonts w:asciiTheme="minorHAnsi" w:hAnsiTheme="minorHAnsi" w:cstheme="minorHAnsi"/>
          <w:sz w:val="22"/>
          <w:szCs w:val="22"/>
        </w:rPr>
        <w:t>la</w:t>
      </w:r>
      <w:proofErr w:type="gramEnd"/>
      <w:r w:rsidRPr="00E01239">
        <w:rPr>
          <w:rFonts w:asciiTheme="minorHAnsi" w:hAnsiTheme="minorHAnsi" w:cstheme="minorHAnsi"/>
          <w:sz w:val="22"/>
          <w:szCs w:val="22"/>
        </w:rPr>
        <w:t xml:space="preserve"> zone du Centre-Est et du Sud-Est, qui correspond à l'ancienne région du Sénégal Oriental et présente une alternance de cuirasses, sols caillouteux et des lithosols, avec des aptitudes agricoles médiocres liées au relief accidenté.</w:t>
      </w:r>
    </w:p>
    <w:p w14:paraId="2165BA67" w14:textId="77777777" w:rsidR="00C06187" w:rsidRPr="00E01239" w:rsidRDefault="00C06187" w:rsidP="00C06187">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C’est donc au sein des régions que onze (11) départements ont été choisi pour abriter les consultations, à savoir, les départements de Koumpentoum (Région de Tambacounda), de </w:t>
      </w:r>
      <w:proofErr w:type="spellStart"/>
      <w:r w:rsidRPr="00E01239">
        <w:rPr>
          <w:rFonts w:asciiTheme="minorHAnsi" w:hAnsiTheme="minorHAnsi" w:cstheme="minorHAnsi"/>
          <w:sz w:val="22"/>
          <w:szCs w:val="22"/>
        </w:rPr>
        <w:t>Koungheul</w:t>
      </w:r>
      <w:proofErr w:type="spellEnd"/>
      <w:r w:rsidRPr="00E01239">
        <w:rPr>
          <w:rFonts w:asciiTheme="minorHAnsi" w:hAnsiTheme="minorHAnsi" w:cstheme="minorHAnsi"/>
          <w:sz w:val="22"/>
          <w:szCs w:val="22"/>
        </w:rPr>
        <w:t xml:space="preserve"> (Région de Kaffrine), de Thiès (Région de Thiès), de Diourbel (Région de Diourbel), de Bignona (Région de Ziguinchor), de Nioro (Région de Kaolack), de Linguère (Région de Louga) et les départements de Dakar, Pikine, Rufisque et Guédiawaye (Région de Dakar). </w:t>
      </w:r>
    </w:p>
    <w:p w14:paraId="54BED663" w14:textId="77777777" w:rsidR="00C06187" w:rsidRPr="00E01239" w:rsidRDefault="00C06187" w:rsidP="00263B8A">
      <w:pPr>
        <w:spacing w:before="120" w:line="280" w:lineRule="exact"/>
        <w:jc w:val="both"/>
        <w:rPr>
          <w:rFonts w:asciiTheme="minorHAnsi" w:eastAsia="Calibri" w:hAnsiTheme="minorHAnsi" w:cstheme="minorHAnsi"/>
          <w:sz w:val="22"/>
          <w:szCs w:val="22"/>
          <w:lang w:eastAsia="en-US"/>
        </w:rPr>
      </w:pPr>
    </w:p>
    <w:p w14:paraId="1E99E4FA" w14:textId="0B9922A4" w:rsidR="00B91B2B" w:rsidRPr="00E01239" w:rsidRDefault="00B91B2B" w:rsidP="00263B8A">
      <w:pPr>
        <w:spacing w:before="120" w:line="280" w:lineRule="exact"/>
        <w:jc w:val="both"/>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 xml:space="preserve">Au niveau de ces huit (8) régions, les consultations ont </w:t>
      </w:r>
      <w:r w:rsidR="0021506F" w:rsidRPr="00E01239">
        <w:rPr>
          <w:rFonts w:asciiTheme="minorHAnsi" w:eastAsia="Calibri" w:hAnsiTheme="minorHAnsi" w:cstheme="minorHAnsi"/>
          <w:sz w:val="22"/>
          <w:szCs w:val="22"/>
          <w:lang w:eastAsia="en-US"/>
        </w:rPr>
        <w:t>ciblé</w:t>
      </w:r>
      <w:r w:rsidRPr="00E01239">
        <w:rPr>
          <w:rFonts w:asciiTheme="minorHAnsi" w:eastAsia="Calibri" w:hAnsiTheme="minorHAnsi" w:cstheme="minorHAnsi"/>
          <w:sz w:val="22"/>
          <w:szCs w:val="22"/>
          <w:lang w:eastAsia="en-US"/>
        </w:rPr>
        <w:t xml:space="preserve"> (i) les autorités administratives</w:t>
      </w:r>
      <w:r w:rsidR="0021506F" w:rsidRPr="00E01239">
        <w:rPr>
          <w:rFonts w:asciiTheme="minorHAnsi" w:eastAsia="Calibri" w:hAnsiTheme="minorHAnsi" w:cstheme="minorHAnsi"/>
          <w:sz w:val="22"/>
          <w:szCs w:val="22"/>
          <w:lang w:eastAsia="en-US"/>
        </w:rPr>
        <w:t xml:space="preserve">, </w:t>
      </w:r>
      <w:r w:rsidRPr="00E01239">
        <w:rPr>
          <w:rFonts w:asciiTheme="minorHAnsi" w:eastAsia="Calibri" w:hAnsiTheme="minorHAnsi" w:cstheme="minorHAnsi"/>
          <w:sz w:val="22"/>
          <w:szCs w:val="22"/>
          <w:lang w:eastAsia="en-US"/>
        </w:rPr>
        <w:t>(ii) les services techniques déconcentrés</w:t>
      </w:r>
      <w:r w:rsidR="0021506F" w:rsidRPr="00E01239">
        <w:rPr>
          <w:rFonts w:asciiTheme="minorHAnsi" w:eastAsia="Calibri" w:hAnsiTheme="minorHAnsi" w:cstheme="minorHAnsi"/>
          <w:sz w:val="22"/>
          <w:szCs w:val="22"/>
          <w:lang w:eastAsia="en-US"/>
        </w:rPr>
        <w:t>,</w:t>
      </w:r>
      <w:r w:rsidRPr="00E01239">
        <w:rPr>
          <w:rFonts w:asciiTheme="minorHAnsi" w:eastAsia="Calibri" w:hAnsiTheme="minorHAnsi" w:cstheme="minorHAnsi"/>
          <w:sz w:val="22"/>
          <w:szCs w:val="22"/>
          <w:lang w:eastAsia="en-US"/>
        </w:rPr>
        <w:t xml:space="preserve"> (iii) les collectivités territoriales</w:t>
      </w:r>
      <w:r w:rsidR="0021506F" w:rsidRPr="00E01239">
        <w:rPr>
          <w:rFonts w:asciiTheme="minorHAnsi" w:eastAsia="Calibri" w:hAnsiTheme="minorHAnsi" w:cstheme="minorHAnsi"/>
          <w:sz w:val="22"/>
          <w:szCs w:val="22"/>
          <w:lang w:eastAsia="en-US"/>
        </w:rPr>
        <w:t>,</w:t>
      </w:r>
      <w:r w:rsidRPr="00E01239">
        <w:rPr>
          <w:rFonts w:asciiTheme="minorHAnsi" w:eastAsia="Calibri" w:hAnsiTheme="minorHAnsi" w:cstheme="minorHAnsi"/>
          <w:sz w:val="22"/>
          <w:szCs w:val="22"/>
          <w:lang w:eastAsia="en-US"/>
        </w:rPr>
        <w:t xml:space="preserve"> (iv) les organisations de producteurs</w:t>
      </w:r>
      <w:r w:rsidR="0021506F" w:rsidRPr="00E01239">
        <w:rPr>
          <w:rFonts w:asciiTheme="minorHAnsi" w:eastAsia="Calibri" w:hAnsiTheme="minorHAnsi" w:cstheme="minorHAnsi"/>
          <w:sz w:val="22"/>
          <w:szCs w:val="22"/>
          <w:lang w:eastAsia="en-US"/>
        </w:rPr>
        <w:t>,</w:t>
      </w:r>
      <w:r w:rsidRPr="00E01239">
        <w:rPr>
          <w:rFonts w:asciiTheme="minorHAnsi" w:eastAsia="Calibri" w:hAnsiTheme="minorHAnsi" w:cstheme="minorHAnsi"/>
          <w:sz w:val="22"/>
          <w:szCs w:val="22"/>
          <w:lang w:eastAsia="en-US"/>
        </w:rPr>
        <w:t xml:space="preserve"> (v) les organisations de la société civile</w:t>
      </w:r>
      <w:r w:rsidR="0021506F" w:rsidRPr="00E01239">
        <w:rPr>
          <w:rFonts w:asciiTheme="minorHAnsi" w:eastAsia="Calibri" w:hAnsiTheme="minorHAnsi" w:cstheme="minorHAnsi"/>
          <w:sz w:val="22"/>
          <w:szCs w:val="22"/>
          <w:lang w:eastAsia="en-US"/>
        </w:rPr>
        <w:t>,</w:t>
      </w:r>
      <w:r w:rsidRPr="00E01239">
        <w:rPr>
          <w:rFonts w:asciiTheme="minorHAnsi" w:eastAsia="Calibri" w:hAnsiTheme="minorHAnsi" w:cstheme="minorHAnsi"/>
          <w:sz w:val="22"/>
          <w:szCs w:val="22"/>
          <w:lang w:eastAsia="en-US"/>
        </w:rPr>
        <w:t xml:space="preserve"> (vi) les groupements de promotion féminine, les acteurs communautaires (associations et mouvements de jeunes, de femmes, </w:t>
      </w:r>
      <w:proofErr w:type="spellStart"/>
      <w:r w:rsidRPr="00E01239">
        <w:rPr>
          <w:rFonts w:asciiTheme="minorHAnsi" w:eastAsia="Calibri" w:hAnsiTheme="minorHAnsi" w:cstheme="minorHAnsi"/>
          <w:sz w:val="22"/>
          <w:szCs w:val="22"/>
          <w:lang w:eastAsia="en-US"/>
        </w:rPr>
        <w:t>etc</w:t>
      </w:r>
      <w:proofErr w:type="spellEnd"/>
      <w:r w:rsidRPr="00E01239">
        <w:rPr>
          <w:rFonts w:asciiTheme="minorHAnsi" w:eastAsia="Calibri" w:hAnsiTheme="minorHAnsi" w:cstheme="minorHAnsi"/>
          <w:sz w:val="22"/>
          <w:szCs w:val="22"/>
          <w:lang w:eastAsia="en-US"/>
        </w:rPr>
        <w:t xml:space="preserve">). </w:t>
      </w:r>
    </w:p>
    <w:p w14:paraId="10F219DF" w14:textId="28995710" w:rsidR="00B91B2B" w:rsidRPr="00E01239" w:rsidRDefault="00B91B2B" w:rsidP="00263B8A">
      <w:pPr>
        <w:spacing w:before="120" w:line="280" w:lineRule="exact"/>
        <w:jc w:val="both"/>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 xml:space="preserve">Le tableau </w:t>
      </w:r>
      <w:r w:rsidR="00F73EAB" w:rsidRPr="00E01239">
        <w:rPr>
          <w:rFonts w:asciiTheme="minorHAnsi" w:eastAsia="Calibri" w:hAnsiTheme="minorHAnsi" w:cstheme="minorHAnsi"/>
          <w:sz w:val="22"/>
          <w:szCs w:val="22"/>
          <w:lang w:eastAsia="en-US"/>
        </w:rPr>
        <w:t xml:space="preserve">n°19 </w:t>
      </w:r>
      <w:proofErr w:type="gramStart"/>
      <w:r w:rsidRPr="00E01239">
        <w:rPr>
          <w:rFonts w:asciiTheme="minorHAnsi" w:eastAsia="Calibri" w:hAnsiTheme="minorHAnsi" w:cstheme="minorHAnsi"/>
          <w:sz w:val="22"/>
          <w:szCs w:val="22"/>
          <w:lang w:eastAsia="en-US"/>
        </w:rPr>
        <w:t>suivant</w:t>
      </w:r>
      <w:proofErr w:type="gramEnd"/>
      <w:r w:rsidRPr="00E01239">
        <w:rPr>
          <w:rFonts w:asciiTheme="minorHAnsi" w:eastAsia="Calibri" w:hAnsiTheme="minorHAnsi" w:cstheme="minorHAnsi"/>
          <w:sz w:val="22"/>
          <w:szCs w:val="22"/>
          <w:lang w:eastAsia="en-US"/>
        </w:rPr>
        <w:t xml:space="preserve"> présente le calendrier des consultations menées lors de la préparation </w:t>
      </w:r>
      <w:r w:rsidR="0021506F" w:rsidRPr="00E01239">
        <w:rPr>
          <w:rFonts w:asciiTheme="minorHAnsi" w:eastAsia="Calibri" w:hAnsiTheme="minorHAnsi" w:cstheme="minorHAnsi"/>
          <w:sz w:val="22"/>
          <w:szCs w:val="22"/>
          <w:lang w:eastAsia="en-US"/>
        </w:rPr>
        <w:t>des différents instruments du FSRP-SN.</w:t>
      </w:r>
    </w:p>
    <w:p w14:paraId="32D74BB1" w14:textId="77777777" w:rsidR="00B91B2B" w:rsidRPr="00E01239" w:rsidRDefault="00B91B2B" w:rsidP="00B91B2B">
      <w:pPr>
        <w:jc w:val="both"/>
        <w:rPr>
          <w:rFonts w:asciiTheme="minorHAnsi" w:eastAsia="Calibri" w:hAnsiTheme="minorHAnsi" w:cstheme="minorHAnsi"/>
          <w:sz w:val="22"/>
          <w:szCs w:val="22"/>
          <w:lang w:eastAsia="en-US"/>
        </w:rPr>
      </w:pPr>
    </w:p>
    <w:p w14:paraId="60986D3E" w14:textId="77777777" w:rsidR="0021506F" w:rsidRPr="00E01239" w:rsidRDefault="0021506F">
      <w:pPr>
        <w:rPr>
          <w:rFonts w:asciiTheme="minorHAnsi" w:eastAsia="Calibri" w:hAnsiTheme="minorHAnsi" w:cstheme="minorHAnsi"/>
          <w:b/>
          <w:iCs/>
          <w:sz w:val="22"/>
          <w:szCs w:val="18"/>
          <w:lang w:eastAsia="en-US"/>
        </w:rPr>
      </w:pPr>
      <w:bookmarkStart w:id="1030" w:name="_Toc131608965"/>
      <w:bookmarkStart w:id="1031" w:name="_Toc142583021"/>
      <w:r w:rsidRPr="00E01239">
        <w:rPr>
          <w:rFonts w:asciiTheme="minorHAnsi" w:eastAsia="Calibri" w:hAnsiTheme="minorHAnsi" w:cstheme="minorHAnsi"/>
          <w:b/>
          <w:iCs/>
          <w:sz w:val="22"/>
          <w:szCs w:val="18"/>
          <w:lang w:eastAsia="en-US"/>
        </w:rPr>
        <w:br w:type="page"/>
      </w:r>
    </w:p>
    <w:p w14:paraId="087F8A50" w14:textId="15DECD42" w:rsidR="00B91B2B" w:rsidRPr="00E01239" w:rsidRDefault="00B91B2B" w:rsidP="0021506F">
      <w:pPr>
        <w:keepNext/>
        <w:jc w:val="center"/>
        <w:rPr>
          <w:rFonts w:asciiTheme="minorHAnsi" w:eastAsia="Calibri" w:hAnsiTheme="minorHAnsi" w:cstheme="minorHAnsi"/>
          <w:iCs/>
          <w:sz w:val="22"/>
          <w:szCs w:val="18"/>
          <w:lang w:eastAsia="en-US"/>
        </w:rPr>
      </w:pPr>
      <w:bookmarkStart w:id="1032" w:name="_Toc144654199"/>
      <w:r w:rsidRPr="00E01239">
        <w:rPr>
          <w:rFonts w:asciiTheme="minorHAnsi" w:eastAsia="Calibri" w:hAnsiTheme="minorHAnsi" w:cstheme="minorHAnsi"/>
          <w:b/>
          <w:iCs/>
          <w:sz w:val="22"/>
          <w:szCs w:val="18"/>
          <w:lang w:eastAsia="en-US"/>
        </w:rPr>
        <w:lastRenderedPageBreak/>
        <w:t xml:space="preserve">Tableau </w:t>
      </w:r>
      <w:r w:rsidR="00B203AB" w:rsidRPr="00E01239">
        <w:rPr>
          <w:rFonts w:asciiTheme="minorHAnsi" w:eastAsia="Calibri" w:hAnsiTheme="minorHAnsi" w:cstheme="minorHAnsi"/>
          <w:b/>
          <w:iCs/>
          <w:sz w:val="22"/>
          <w:szCs w:val="18"/>
          <w:lang w:eastAsia="en-US"/>
        </w:rPr>
        <w:t>20 </w:t>
      </w:r>
      <w:r w:rsidRPr="00E01239">
        <w:rPr>
          <w:rFonts w:asciiTheme="minorHAnsi" w:eastAsia="Calibri" w:hAnsiTheme="minorHAnsi" w:cstheme="minorHAnsi"/>
          <w:b/>
          <w:iCs/>
          <w:sz w:val="22"/>
          <w:szCs w:val="18"/>
          <w:lang w:eastAsia="en-US"/>
        </w:rPr>
        <w:t xml:space="preserve">: </w:t>
      </w:r>
      <w:r w:rsidRPr="00E01239">
        <w:rPr>
          <w:rFonts w:asciiTheme="minorHAnsi" w:eastAsia="Calibri" w:hAnsiTheme="minorHAnsi" w:cstheme="minorHAnsi"/>
          <w:iCs/>
          <w:sz w:val="22"/>
          <w:szCs w:val="18"/>
          <w:lang w:eastAsia="en-US"/>
        </w:rPr>
        <w:t>Calendrier des consultations</w:t>
      </w:r>
      <w:bookmarkEnd w:id="1030"/>
      <w:bookmarkEnd w:id="1031"/>
      <w:bookmarkEnd w:id="1032"/>
    </w:p>
    <w:tbl>
      <w:tblPr>
        <w:tblStyle w:val="SGSTableBasic11"/>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07"/>
        <w:gridCol w:w="1395"/>
        <w:gridCol w:w="2029"/>
        <w:gridCol w:w="2031"/>
        <w:gridCol w:w="2298"/>
      </w:tblGrid>
      <w:tr w:rsidR="00B91B2B" w:rsidRPr="00E01239" w14:paraId="66C507B1" w14:textId="77777777" w:rsidTr="00263B8A">
        <w:trPr>
          <w:trHeight w:val="113"/>
          <w:jc w:val="center"/>
        </w:trPr>
        <w:tc>
          <w:tcPr>
            <w:tcW w:w="721" w:type="pct"/>
            <w:shd w:val="clear" w:color="auto" w:fill="1F3864" w:themeFill="accent5" w:themeFillShade="80"/>
            <w:vAlign w:val="center"/>
            <w:hideMark/>
          </w:tcPr>
          <w:p w14:paraId="1FE9DDB4" w14:textId="77777777" w:rsidR="00B91B2B" w:rsidRPr="00E01239" w:rsidRDefault="00B91B2B" w:rsidP="0021506F">
            <w:pPr>
              <w:tabs>
                <w:tab w:val="left" w:pos="3093"/>
              </w:tabs>
              <w:jc w:val="center"/>
              <w:rPr>
                <w:rFonts w:asciiTheme="minorHAnsi" w:hAnsiTheme="minorHAnsi" w:cstheme="minorHAnsi"/>
                <w:b/>
                <w:sz w:val="20"/>
                <w:szCs w:val="20"/>
                <w:lang w:val="fr-FR" w:eastAsia="fr-CA"/>
              </w:rPr>
            </w:pPr>
            <w:r w:rsidRPr="00E01239">
              <w:rPr>
                <w:rFonts w:asciiTheme="minorHAnsi" w:hAnsiTheme="minorHAnsi" w:cstheme="minorHAnsi"/>
                <w:b/>
                <w:sz w:val="20"/>
                <w:szCs w:val="20"/>
                <w:lang w:val="fr-FR" w:eastAsia="fr-CA"/>
              </w:rPr>
              <w:t>Mois/ Année</w:t>
            </w:r>
          </w:p>
        </w:tc>
        <w:tc>
          <w:tcPr>
            <w:tcW w:w="770" w:type="pct"/>
            <w:shd w:val="clear" w:color="auto" w:fill="1F3864" w:themeFill="accent5" w:themeFillShade="80"/>
            <w:vAlign w:val="center"/>
            <w:hideMark/>
          </w:tcPr>
          <w:p w14:paraId="69EB1688" w14:textId="77777777" w:rsidR="00B91B2B" w:rsidRPr="00E01239" w:rsidRDefault="00B91B2B" w:rsidP="0021506F">
            <w:pPr>
              <w:tabs>
                <w:tab w:val="left" w:pos="3093"/>
              </w:tabs>
              <w:jc w:val="center"/>
              <w:rPr>
                <w:rFonts w:asciiTheme="minorHAnsi" w:hAnsiTheme="minorHAnsi" w:cstheme="minorHAnsi"/>
                <w:b/>
                <w:sz w:val="20"/>
                <w:szCs w:val="20"/>
                <w:lang w:val="fr-FR" w:eastAsia="fr-CA"/>
              </w:rPr>
            </w:pPr>
            <w:r w:rsidRPr="00E01239">
              <w:rPr>
                <w:rFonts w:asciiTheme="minorHAnsi" w:hAnsiTheme="minorHAnsi" w:cstheme="minorHAnsi"/>
                <w:b/>
                <w:sz w:val="20"/>
                <w:szCs w:val="20"/>
                <w:lang w:val="fr-FR" w:eastAsia="fr-CA"/>
              </w:rPr>
              <w:t>Période</w:t>
            </w:r>
          </w:p>
        </w:tc>
        <w:tc>
          <w:tcPr>
            <w:tcW w:w="1120" w:type="pct"/>
            <w:shd w:val="clear" w:color="auto" w:fill="1F3864" w:themeFill="accent5" w:themeFillShade="80"/>
            <w:vAlign w:val="center"/>
            <w:hideMark/>
          </w:tcPr>
          <w:p w14:paraId="7ACC5EEE" w14:textId="77777777" w:rsidR="00B91B2B" w:rsidRPr="00E01239" w:rsidRDefault="00B91B2B" w:rsidP="0021506F">
            <w:pPr>
              <w:tabs>
                <w:tab w:val="left" w:pos="3093"/>
              </w:tabs>
              <w:jc w:val="center"/>
              <w:rPr>
                <w:rFonts w:asciiTheme="minorHAnsi" w:hAnsiTheme="minorHAnsi" w:cstheme="minorHAnsi"/>
                <w:b/>
                <w:sz w:val="20"/>
                <w:szCs w:val="20"/>
                <w:lang w:val="fr-FR" w:eastAsia="fr-CA"/>
              </w:rPr>
            </w:pPr>
            <w:r w:rsidRPr="00E01239">
              <w:rPr>
                <w:rFonts w:asciiTheme="minorHAnsi" w:hAnsiTheme="minorHAnsi" w:cstheme="minorHAnsi"/>
                <w:b/>
                <w:sz w:val="20"/>
                <w:szCs w:val="20"/>
                <w:lang w:val="fr-FR" w:eastAsia="fr-CA"/>
              </w:rPr>
              <w:t>Activité</w:t>
            </w:r>
          </w:p>
        </w:tc>
        <w:tc>
          <w:tcPr>
            <w:tcW w:w="1121" w:type="pct"/>
            <w:shd w:val="clear" w:color="auto" w:fill="1F3864" w:themeFill="accent5" w:themeFillShade="80"/>
            <w:vAlign w:val="center"/>
            <w:hideMark/>
          </w:tcPr>
          <w:p w14:paraId="0D62D683" w14:textId="77777777" w:rsidR="00B91B2B" w:rsidRPr="00E01239" w:rsidRDefault="00B91B2B" w:rsidP="0021506F">
            <w:pPr>
              <w:tabs>
                <w:tab w:val="left" w:pos="3093"/>
              </w:tabs>
              <w:jc w:val="center"/>
              <w:rPr>
                <w:rFonts w:asciiTheme="minorHAnsi" w:hAnsiTheme="minorHAnsi" w:cstheme="minorHAnsi"/>
                <w:b/>
                <w:sz w:val="20"/>
                <w:szCs w:val="20"/>
                <w:lang w:val="fr-FR" w:eastAsia="fr-CA"/>
              </w:rPr>
            </w:pPr>
            <w:r w:rsidRPr="00E01239">
              <w:rPr>
                <w:rFonts w:asciiTheme="minorHAnsi" w:hAnsiTheme="minorHAnsi" w:cstheme="minorHAnsi"/>
                <w:b/>
                <w:sz w:val="20"/>
                <w:szCs w:val="20"/>
                <w:lang w:val="fr-FR" w:eastAsia="fr-CA"/>
              </w:rPr>
              <w:t>Région</w:t>
            </w:r>
          </w:p>
        </w:tc>
        <w:tc>
          <w:tcPr>
            <w:tcW w:w="1268" w:type="pct"/>
            <w:shd w:val="clear" w:color="auto" w:fill="1F3864" w:themeFill="accent5" w:themeFillShade="80"/>
            <w:vAlign w:val="center"/>
          </w:tcPr>
          <w:p w14:paraId="23CC116B" w14:textId="77777777" w:rsidR="00B91B2B" w:rsidRPr="00E01239" w:rsidRDefault="00B91B2B" w:rsidP="0021506F">
            <w:pPr>
              <w:rPr>
                <w:rFonts w:asciiTheme="minorHAnsi" w:hAnsiTheme="minorHAnsi" w:cstheme="minorHAnsi"/>
                <w:b/>
                <w:sz w:val="20"/>
                <w:szCs w:val="20"/>
                <w:lang w:val="fr-FR" w:eastAsia="fr-CA"/>
              </w:rPr>
            </w:pPr>
            <w:r w:rsidRPr="00E01239">
              <w:rPr>
                <w:rFonts w:asciiTheme="minorHAnsi" w:hAnsiTheme="minorHAnsi" w:cstheme="minorHAnsi"/>
                <w:b/>
                <w:sz w:val="20"/>
                <w:szCs w:val="20"/>
                <w:lang w:val="fr-FR" w:eastAsia="fr-CA"/>
              </w:rPr>
              <w:t>Département</w:t>
            </w:r>
          </w:p>
        </w:tc>
      </w:tr>
      <w:tr w:rsidR="00B91B2B" w:rsidRPr="00E01239" w14:paraId="39693A6F" w14:textId="77777777" w:rsidTr="00263B8A">
        <w:trPr>
          <w:trHeight w:val="113"/>
          <w:jc w:val="center"/>
        </w:trPr>
        <w:tc>
          <w:tcPr>
            <w:tcW w:w="721" w:type="pct"/>
            <w:vMerge w:val="restart"/>
            <w:vAlign w:val="center"/>
          </w:tcPr>
          <w:p w14:paraId="2FC4F8A1"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Juin 2023</w:t>
            </w:r>
          </w:p>
        </w:tc>
        <w:tc>
          <w:tcPr>
            <w:tcW w:w="770" w:type="pct"/>
            <w:vMerge w:val="restart"/>
            <w:vAlign w:val="center"/>
          </w:tcPr>
          <w:p w14:paraId="3282FE79"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21 au 22</w:t>
            </w:r>
          </w:p>
        </w:tc>
        <w:tc>
          <w:tcPr>
            <w:tcW w:w="1120" w:type="pct"/>
            <w:vMerge w:val="restart"/>
            <w:vAlign w:val="center"/>
          </w:tcPr>
          <w:p w14:paraId="66693475"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Information et </w:t>
            </w:r>
          </w:p>
          <w:p w14:paraId="6D0E57CC" w14:textId="77777777" w:rsidR="00B91B2B" w:rsidRPr="00E01239" w:rsidRDefault="00B91B2B" w:rsidP="0021506F">
            <w:pPr>
              <w:tabs>
                <w:tab w:val="left" w:pos="3093"/>
              </w:tabs>
              <w:rPr>
                <w:rFonts w:asciiTheme="minorHAnsi" w:hAnsiTheme="minorHAnsi" w:cstheme="minorHAnsi"/>
                <w:sz w:val="20"/>
                <w:szCs w:val="20"/>
                <w:lang w:val="fr-FR" w:eastAsia="fr-CA"/>
              </w:rPr>
            </w:pPr>
            <w:proofErr w:type="gramStart"/>
            <w:r w:rsidRPr="00E01239">
              <w:rPr>
                <w:rFonts w:asciiTheme="minorHAnsi" w:hAnsiTheme="minorHAnsi" w:cstheme="minorHAnsi"/>
                <w:sz w:val="20"/>
                <w:szCs w:val="20"/>
                <w:lang w:val="fr-FR" w:eastAsia="fr-CA"/>
              </w:rPr>
              <w:t>consultation</w:t>
            </w:r>
            <w:proofErr w:type="gramEnd"/>
            <w:r w:rsidRPr="00E01239">
              <w:rPr>
                <w:rFonts w:asciiTheme="minorHAnsi" w:hAnsiTheme="minorHAnsi" w:cstheme="minorHAnsi"/>
                <w:sz w:val="20"/>
                <w:szCs w:val="20"/>
                <w:lang w:val="fr-FR" w:eastAsia="fr-CA"/>
              </w:rPr>
              <w:t xml:space="preserve"> des parties prenantes</w:t>
            </w:r>
          </w:p>
        </w:tc>
        <w:tc>
          <w:tcPr>
            <w:tcW w:w="1121" w:type="pct"/>
            <w:vAlign w:val="center"/>
          </w:tcPr>
          <w:p w14:paraId="5A4B3182"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Louga</w:t>
            </w:r>
          </w:p>
        </w:tc>
        <w:tc>
          <w:tcPr>
            <w:tcW w:w="1268" w:type="pct"/>
            <w:vAlign w:val="center"/>
          </w:tcPr>
          <w:p w14:paraId="11B72092"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Linguère</w:t>
            </w:r>
          </w:p>
        </w:tc>
      </w:tr>
      <w:tr w:rsidR="00B91B2B" w:rsidRPr="00E01239" w14:paraId="35BFB557" w14:textId="77777777" w:rsidTr="00263B8A">
        <w:trPr>
          <w:trHeight w:val="113"/>
          <w:jc w:val="center"/>
        </w:trPr>
        <w:tc>
          <w:tcPr>
            <w:tcW w:w="721" w:type="pct"/>
            <w:vMerge/>
            <w:vAlign w:val="center"/>
          </w:tcPr>
          <w:p w14:paraId="14F39369"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770" w:type="pct"/>
            <w:vMerge/>
            <w:vAlign w:val="center"/>
          </w:tcPr>
          <w:p w14:paraId="5F6AE9E0"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1120" w:type="pct"/>
            <w:vMerge/>
            <w:vAlign w:val="center"/>
          </w:tcPr>
          <w:p w14:paraId="239B2233"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1121" w:type="pct"/>
            <w:vAlign w:val="center"/>
          </w:tcPr>
          <w:p w14:paraId="117BC09E"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Ziguinchor</w:t>
            </w:r>
          </w:p>
        </w:tc>
        <w:tc>
          <w:tcPr>
            <w:tcW w:w="1268" w:type="pct"/>
            <w:vAlign w:val="center"/>
          </w:tcPr>
          <w:p w14:paraId="539928D1"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Bignona</w:t>
            </w:r>
          </w:p>
        </w:tc>
      </w:tr>
      <w:tr w:rsidR="00B91B2B" w:rsidRPr="00E01239" w14:paraId="5B2299A1" w14:textId="77777777" w:rsidTr="00263B8A">
        <w:trPr>
          <w:trHeight w:val="113"/>
          <w:jc w:val="center"/>
        </w:trPr>
        <w:tc>
          <w:tcPr>
            <w:tcW w:w="721" w:type="pct"/>
            <w:vMerge/>
            <w:vAlign w:val="center"/>
            <w:hideMark/>
          </w:tcPr>
          <w:p w14:paraId="169C9529"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770" w:type="pct"/>
            <w:vMerge w:val="restart"/>
            <w:vAlign w:val="center"/>
            <w:hideMark/>
          </w:tcPr>
          <w:p w14:paraId="10131579"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23 au 24</w:t>
            </w:r>
          </w:p>
        </w:tc>
        <w:tc>
          <w:tcPr>
            <w:tcW w:w="1120" w:type="pct"/>
            <w:vMerge/>
            <w:vAlign w:val="center"/>
            <w:hideMark/>
          </w:tcPr>
          <w:p w14:paraId="472B72B0"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1121" w:type="pct"/>
            <w:vAlign w:val="center"/>
          </w:tcPr>
          <w:p w14:paraId="68DB9876"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Diourbel</w:t>
            </w:r>
          </w:p>
        </w:tc>
        <w:tc>
          <w:tcPr>
            <w:tcW w:w="1268" w:type="pct"/>
            <w:vAlign w:val="center"/>
          </w:tcPr>
          <w:p w14:paraId="4B74CE7E"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Diourbel</w:t>
            </w:r>
          </w:p>
        </w:tc>
      </w:tr>
      <w:tr w:rsidR="00B91B2B" w:rsidRPr="00E01239" w14:paraId="5CC0212E" w14:textId="77777777" w:rsidTr="00263B8A">
        <w:trPr>
          <w:trHeight w:val="113"/>
          <w:jc w:val="center"/>
        </w:trPr>
        <w:tc>
          <w:tcPr>
            <w:tcW w:w="721" w:type="pct"/>
            <w:vMerge/>
            <w:vAlign w:val="center"/>
          </w:tcPr>
          <w:p w14:paraId="596C97DE"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770" w:type="pct"/>
            <w:vMerge/>
            <w:vAlign w:val="center"/>
          </w:tcPr>
          <w:p w14:paraId="360B0C72"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1120" w:type="pct"/>
            <w:vMerge/>
            <w:vAlign w:val="center"/>
          </w:tcPr>
          <w:p w14:paraId="60E9415C"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1121" w:type="pct"/>
            <w:vAlign w:val="center"/>
          </w:tcPr>
          <w:p w14:paraId="6F7D5F5B"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Tambacounda</w:t>
            </w:r>
          </w:p>
        </w:tc>
        <w:tc>
          <w:tcPr>
            <w:tcW w:w="1268" w:type="pct"/>
            <w:vAlign w:val="center"/>
          </w:tcPr>
          <w:p w14:paraId="37C00658"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Koumpentoum</w:t>
            </w:r>
          </w:p>
        </w:tc>
      </w:tr>
      <w:tr w:rsidR="00B91B2B" w:rsidRPr="00E01239" w14:paraId="2800FCD1" w14:textId="77777777" w:rsidTr="00263B8A">
        <w:trPr>
          <w:trHeight w:val="135"/>
          <w:jc w:val="center"/>
        </w:trPr>
        <w:tc>
          <w:tcPr>
            <w:tcW w:w="721" w:type="pct"/>
            <w:vMerge/>
            <w:vAlign w:val="center"/>
            <w:hideMark/>
          </w:tcPr>
          <w:p w14:paraId="51C5B8ED" w14:textId="77777777" w:rsidR="00B91B2B" w:rsidRPr="00E01239" w:rsidRDefault="00B91B2B" w:rsidP="0021506F">
            <w:pPr>
              <w:rPr>
                <w:rFonts w:asciiTheme="minorHAnsi" w:hAnsiTheme="minorHAnsi" w:cstheme="minorHAnsi"/>
                <w:sz w:val="20"/>
                <w:szCs w:val="20"/>
                <w:lang w:val="fr-FR" w:eastAsia="fr-CA"/>
              </w:rPr>
            </w:pPr>
          </w:p>
        </w:tc>
        <w:tc>
          <w:tcPr>
            <w:tcW w:w="770" w:type="pct"/>
            <w:vMerge w:val="restart"/>
            <w:vAlign w:val="center"/>
            <w:hideMark/>
          </w:tcPr>
          <w:p w14:paraId="2954466C"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26 au 27</w:t>
            </w:r>
          </w:p>
        </w:tc>
        <w:tc>
          <w:tcPr>
            <w:tcW w:w="1120" w:type="pct"/>
            <w:vMerge/>
            <w:vAlign w:val="center"/>
            <w:hideMark/>
          </w:tcPr>
          <w:p w14:paraId="211E6D69" w14:textId="77777777" w:rsidR="00B91B2B" w:rsidRPr="00E01239" w:rsidRDefault="00B91B2B" w:rsidP="0021506F">
            <w:pPr>
              <w:rPr>
                <w:rFonts w:asciiTheme="minorHAnsi" w:hAnsiTheme="minorHAnsi" w:cstheme="minorHAnsi"/>
                <w:sz w:val="20"/>
                <w:szCs w:val="20"/>
                <w:lang w:val="fr-FR" w:eastAsia="fr-CA"/>
              </w:rPr>
            </w:pPr>
          </w:p>
        </w:tc>
        <w:tc>
          <w:tcPr>
            <w:tcW w:w="1121" w:type="pct"/>
            <w:vAlign w:val="center"/>
          </w:tcPr>
          <w:p w14:paraId="27581642"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Kaffrine</w:t>
            </w:r>
          </w:p>
        </w:tc>
        <w:tc>
          <w:tcPr>
            <w:tcW w:w="1268" w:type="pct"/>
            <w:vAlign w:val="center"/>
          </w:tcPr>
          <w:p w14:paraId="795AB5E5" w14:textId="77777777" w:rsidR="00B91B2B" w:rsidRPr="00E01239" w:rsidRDefault="00B91B2B" w:rsidP="0021506F">
            <w:pPr>
              <w:tabs>
                <w:tab w:val="left" w:pos="3093"/>
              </w:tabs>
              <w:rPr>
                <w:rFonts w:asciiTheme="minorHAnsi" w:hAnsiTheme="minorHAnsi" w:cstheme="minorHAnsi"/>
                <w:sz w:val="20"/>
                <w:szCs w:val="20"/>
                <w:lang w:val="fr-FR" w:eastAsia="fr-CA"/>
              </w:rPr>
            </w:pPr>
            <w:proofErr w:type="spellStart"/>
            <w:r w:rsidRPr="00E01239">
              <w:rPr>
                <w:rFonts w:asciiTheme="minorHAnsi" w:hAnsiTheme="minorHAnsi" w:cstheme="minorHAnsi"/>
                <w:sz w:val="20"/>
                <w:szCs w:val="20"/>
                <w:lang w:val="fr-FR" w:eastAsia="fr-CA"/>
              </w:rPr>
              <w:t>Kougheul</w:t>
            </w:r>
            <w:proofErr w:type="spellEnd"/>
          </w:p>
        </w:tc>
      </w:tr>
      <w:tr w:rsidR="00B91B2B" w:rsidRPr="00E01239" w14:paraId="4E66FA88" w14:textId="77777777" w:rsidTr="00263B8A">
        <w:trPr>
          <w:trHeight w:val="113"/>
          <w:jc w:val="center"/>
        </w:trPr>
        <w:tc>
          <w:tcPr>
            <w:tcW w:w="721" w:type="pct"/>
            <w:vMerge/>
            <w:vAlign w:val="center"/>
            <w:hideMark/>
          </w:tcPr>
          <w:p w14:paraId="48EFA3AF" w14:textId="77777777" w:rsidR="00B91B2B" w:rsidRPr="00E01239" w:rsidRDefault="00B91B2B" w:rsidP="0021506F">
            <w:pPr>
              <w:rPr>
                <w:rFonts w:asciiTheme="minorHAnsi" w:hAnsiTheme="minorHAnsi" w:cstheme="minorHAnsi"/>
                <w:sz w:val="20"/>
                <w:szCs w:val="20"/>
                <w:lang w:val="fr-FR" w:eastAsia="fr-CA"/>
              </w:rPr>
            </w:pPr>
          </w:p>
        </w:tc>
        <w:tc>
          <w:tcPr>
            <w:tcW w:w="770" w:type="pct"/>
            <w:vMerge/>
            <w:vAlign w:val="center"/>
            <w:hideMark/>
          </w:tcPr>
          <w:p w14:paraId="2C674E89"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1120" w:type="pct"/>
            <w:vMerge/>
            <w:vAlign w:val="center"/>
            <w:hideMark/>
          </w:tcPr>
          <w:p w14:paraId="123CAF12" w14:textId="77777777" w:rsidR="00B91B2B" w:rsidRPr="00E01239" w:rsidRDefault="00B91B2B" w:rsidP="0021506F">
            <w:pPr>
              <w:rPr>
                <w:rFonts w:asciiTheme="minorHAnsi" w:hAnsiTheme="minorHAnsi" w:cstheme="minorHAnsi"/>
                <w:sz w:val="20"/>
                <w:szCs w:val="20"/>
                <w:lang w:val="fr-FR" w:eastAsia="fr-CA"/>
              </w:rPr>
            </w:pPr>
          </w:p>
        </w:tc>
        <w:tc>
          <w:tcPr>
            <w:tcW w:w="1121" w:type="pct"/>
            <w:vAlign w:val="center"/>
          </w:tcPr>
          <w:p w14:paraId="3D14FC16"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Kaolack</w:t>
            </w:r>
          </w:p>
        </w:tc>
        <w:tc>
          <w:tcPr>
            <w:tcW w:w="1268" w:type="pct"/>
            <w:vAlign w:val="center"/>
          </w:tcPr>
          <w:p w14:paraId="6917BAD2"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Nioro</w:t>
            </w:r>
          </w:p>
        </w:tc>
      </w:tr>
      <w:tr w:rsidR="00B91B2B" w:rsidRPr="00E01239" w14:paraId="0154C9EA" w14:textId="77777777" w:rsidTr="00263B8A">
        <w:trPr>
          <w:trHeight w:val="165"/>
          <w:jc w:val="center"/>
        </w:trPr>
        <w:tc>
          <w:tcPr>
            <w:tcW w:w="721" w:type="pct"/>
            <w:vMerge/>
            <w:vAlign w:val="center"/>
            <w:hideMark/>
          </w:tcPr>
          <w:p w14:paraId="5FA610FD" w14:textId="77777777" w:rsidR="00B91B2B" w:rsidRPr="00E01239" w:rsidRDefault="00B91B2B" w:rsidP="0021506F">
            <w:pPr>
              <w:rPr>
                <w:rFonts w:asciiTheme="minorHAnsi" w:hAnsiTheme="minorHAnsi" w:cstheme="minorHAnsi"/>
                <w:sz w:val="20"/>
                <w:szCs w:val="20"/>
                <w:lang w:val="fr-FR" w:eastAsia="fr-CA"/>
              </w:rPr>
            </w:pPr>
          </w:p>
        </w:tc>
        <w:tc>
          <w:tcPr>
            <w:tcW w:w="770" w:type="pct"/>
            <w:vMerge/>
            <w:vAlign w:val="center"/>
            <w:hideMark/>
          </w:tcPr>
          <w:p w14:paraId="00E6B519"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p>
        </w:tc>
        <w:tc>
          <w:tcPr>
            <w:tcW w:w="1120" w:type="pct"/>
            <w:vMerge/>
            <w:vAlign w:val="center"/>
            <w:hideMark/>
          </w:tcPr>
          <w:p w14:paraId="2DBE24E0" w14:textId="77777777" w:rsidR="00B91B2B" w:rsidRPr="00E01239" w:rsidRDefault="00B91B2B" w:rsidP="0021506F">
            <w:pPr>
              <w:rPr>
                <w:rFonts w:asciiTheme="minorHAnsi" w:hAnsiTheme="minorHAnsi" w:cstheme="minorHAnsi"/>
                <w:sz w:val="20"/>
                <w:szCs w:val="20"/>
                <w:lang w:val="fr-FR" w:eastAsia="fr-CA"/>
              </w:rPr>
            </w:pPr>
          </w:p>
        </w:tc>
        <w:tc>
          <w:tcPr>
            <w:tcW w:w="1121" w:type="pct"/>
            <w:vAlign w:val="center"/>
          </w:tcPr>
          <w:p w14:paraId="72995FF8"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Thiès</w:t>
            </w:r>
          </w:p>
        </w:tc>
        <w:tc>
          <w:tcPr>
            <w:tcW w:w="1268" w:type="pct"/>
            <w:vAlign w:val="center"/>
          </w:tcPr>
          <w:p w14:paraId="01039416"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Thiès</w:t>
            </w:r>
          </w:p>
        </w:tc>
      </w:tr>
      <w:tr w:rsidR="00B91B2B" w:rsidRPr="00E01239" w14:paraId="372A9113" w14:textId="77777777" w:rsidTr="00263B8A">
        <w:trPr>
          <w:trHeight w:val="113"/>
          <w:jc w:val="center"/>
        </w:trPr>
        <w:tc>
          <w:tcPr>
            <w:tcW w:w="721" w:type="pct"/>
            <w:vAlign w:val="center"/>
          </w:tcPr>
          <w:p w14:paraId="2CD2D925" w14:textId="77777777" w:rsidR="00B91B2B" w:rsidRPr="00E01239" w:rsidRDefault="00B91B2B" w:rsidP="0021506F">
            <w:pPr>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Juillet 2023</w:t>
            </w:r>
          </w:p>
        </w:tc>
        <w:tc>
          <w:tcPr>
            <w:tcW w:w="770" w:type="pct"/>
            <w:vAlign w:val="center"/>
          </w:tcPr>
          <w:p w14:paraId="2FE13C31" w14:textId="77777777" w:rsidR="00B91B2B" w:rsidRPr="00E01239" w:rsidRDefault="00B91B2B" w:rsidP="0021506F">
            <w:p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18 au 20</w:t>
            </w:r>
          </w:p>
        </w:tc>
        <w:tc>
          <w:tcPr>
            <w:tcW w:w="1120" w:type="pct"/>
            <w:vMerge/>
            <w:vAlign w:val="center"/>
          </w:tcPr>
          <w:p w14:paraId="6ECEE386" w14:textId="77777777" w:rsidR="00B91B2B" w:rsidRPr="00E01239" w:rsidRDefault="00B91B2B" w:rsidP="0021506F">
            <w:pPr>
              <w:rPr>
                <w:rFonts w:asciiTheme="minorHAnsi" w:hAnsiTheme="minorHAnsi" w:cstheme="minorHAnsi"/>
                <w:sz w:val="20"/>
                <w:szCs w:val="20"/>
                <w:lang w:val="fr-FR" w:eastAsia="fr-CA"/>
              </w:rPr>
            </w:pPr>
          </w:p>
        </w:tc>
        <w:tc>
          <w:tcPr>
            <w:tcW w:w="1121" w:type="pct"/>
            <w:vAlign w:val="center"/>
          </w:tcPr>
          <w:p w14:paraId="11FB8B53"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Dakar</w:t>
            </w:r>
          </w:p>
        </w:tc>
        <w:tc>
          <w:tcPr>
            <w:tcW w:w="1268" w:type="pct"/>
            <w:vAlign w:val="center"/>
          </w:tcPr>
          <w:p w14:paraId="7A1C9FC7" w14:textId="77777777" w:rsidR="00B91B2B" w:rsidRPr="00E01239" w:rsidRDefault="00B91B2B" w:rsidP="0021506F">
            <w:p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Dakar et Pikine </w:t>
            </w:r>
          </w:p>
        </w:tc>
      </w:tr>
    </w:tbl>
    <w:p w14:paraId="770C6270" w14:textId="77777777" w:rsidR="00B91B2B" w:rsidRPr="00E01239" w:rsidRDefault="00B91B2B" w:rsidP="00B91B2B">
      <w:pPr>
        <w:jc w:val="both"/>
        <w:rPr>
          <w:rFonts w:asciiTheme="minorHAnsi" w:eastAsia="Calibri" w:hAnsiTheme="minorHAnsi" w:cstheme="minorHAnsi"/>
          <w:sz w:val="22"/>
          <w:szCs w:val="22"/>
          <w:lang w:eastAsia="en-US"/>
        </w:rPr>
      </w:pPr>
    </w:p>
    <w:p w14:paraId="3129490A" w14:textId="1F4FD77A" w:rsidR="00B91B2B" w:rsidRPr="00E01239" w:rsidRDefault="00B91B2B" w:rsidP="00B91B2B">
      <w:pPr>
        <w:spacing w:before="120" w:line="360" w:lineRule="exact"/>
        <w:jc w:val="both"/>
        <w:rPr>
          <w:rFonts w:asciiTheme="minorHAnsi" w:hAnsiTheme="minorHAnsi" w:cstheme="minorHAnsi"/>
          <w:sz w:val="22"/>
          <w:szCs w:val="22"/>
          <w:lang w:eastAsia="fr-CA"/>
        </w:rPr>
      </w:pPr>
      <w:r w:rsidRPr="00E01239">
        <w:rPr>
          <w:rFonts w:asciiTheme="minorHAnsi" w:eastAsia="Calibri" w:hAnsiTheme="minorHAnsi" w:cstheme="minorHAnsi"/>
          <w:sz w:val="22"/>
          <w:szCs w:val="22"/>
          <w:lang w:eastAsia="en-US"/>
        </w:rPr>
        <w:t>Les tableaux n°</w:t>
      </w:r>
      <w:r w:rsidR="00F73EAB" w:rsidRPr="00E01239">
        <w:rPr>
          <w:rFonts w:asciiTheme="minorHAnsi" w:eastAsia="Calibri" w:hAnsiTheme="minorHAnsi" w:cstheme="minorHAnsi"/>
          <w:sz w:val="22"/>
          <w:szCs w:val="22"/>
          <w:lang w:eastAsia="en-US"/>
        </w:rPr>
        <w:t>20</w:t>
      </w:r>
      <w:r w:rsidR="0021506F" w:rsidRPr="00E01239">
        <w:rPr>
          <w:rFonts w:asciiTheme="minorHAnsi" w:eastAsia="Calibri" w:hAnsiTheme="minorHAnsi" w:cstheme="minorHAnsi"/>
          <w:sz w:val="22"/>
          <w:szCs w:val="22"/>
          <w:lang w:eastAsia="en-US"/>
        </w:rPr>
        <w:t xml:space="preserve"> </w:t>
      </w:r>
      <w:r w:rsidRPr="00E01239">
        <w:rPr>
          <w:rFonts w:asciiTheme="minorHAnsi" w:eastAsia="Calibri" w:hAnsiTheme="minorHAnsi" w:cstheme="minorHAnsi"/>
          <w:sz w:val="22"/>
          <w:szCs w:val="22"/>
          <w:lang w:eastAsia="en-US"/>
        </w:rPr>
        <w:t>à n°</w:t>
      </w:r>
      <w:r w:rsidR="00F73EAB" w:rsidRPr="00E01239">
        <w:rPr>
          <w:rFonts w:asciiTheme="minorHAnsi" w:eastAsia="Calibri" w:hAnsiTheme="minorHAnsi" w:cstheme="minorHAnsi"/>
          <w:sz w:val="22"/>
          <w:szCs w:val="22"/>
          <w:lang w:eastAsia="en-US"/>
        </w:rPr>
        <w:t>27</w:t>
      </w:r>
      <w:r w:rsidR="00394A82" w:rsidRPr="00E01239">
        <w:rPr>
          <w:rFonts w:asciiTheme="minorHAnsi" w:eastAsia="Calibri" w:hAnsiTheme="minorHAnsi" w:cstheme="minorHAnsi"/>
          <w:sz w:val="22"/>
          <w:szCs w:val="22"/>
          <w:lang w:eastAsia="en-US"/>
        </w:rPr>
        <w:t xml:space="preserve"> </w:t>
      </w:r>
      <w:r w:rsidRPr="00E01239">
        <w:rPr>
          <w:rFonts w:asciiTheme="minorHAnsi" w:eastAsia="Calibri" w:hAnsiTheme="minorHAnsi" w:cstheme="minorHAnsi"/>
          <w:sz w:val="22"/>
          <w:szCs w:val="22"/>
          <w:lang w:eastAsia="en-US"/>
        </w:rPr>
        <w:t xml:space="preserve">ci-après présentent la liste des catégories de parties prenantes consultées, respectivement dans les régions de Dakar, </w:t>
      </w:r>
      <w:r w:rsidRPr="00E01239">
        <w:rPr>
          <w:rFonts w:asciiTheme="minorHAnsi" w:hAnsiTheme="minorHAnsi" w:cstheme="minorHAnsi"/>
          <w:sz w:val="22"/>
          <w:szCs w:val="22"/>
          <w:lang w:eastAsia="fr-CA"/>
        </w:rPr>
        <w:t xml:space="preserve">Diourbel, Louga, </w:t>
      </w:r>
      <w:r w:rsidRPr="00E01239">
        <w:rPr>
          <w:rFonts w:asciiTheme="minorHAnsi" w:eastAsia="Calibri" w:hAnsiTheme="minorHAnsi" w:cstheme="minorHAnsi"/>
          <w:iCs/>
          <w:sz w:val="22"/>
          <w:szCs w:val="18"/>
          <w:lang w:eastAsia="en-US"/>
        </w:rPr>
        <w:t xml:space="preserve">Tambacounda, </w:t>
      </w:r>
      <w:r w:rsidRPr="00E01239">
        <w:rPr>
          <w:rFonts w:asciiTheme="minorHAnsi" w:hAnsiTheme="minorHAnsi" w:cstheme="minorHAnsi"/>
          <w:sz w:val="22"/>
          <w:szCs w:val="22"/>
          <w:lang w:eastAsia="fr-CA"/>
        </w:rPr>
        <w:t>Thiès, Kaffrine, Ziguinchor et Kaolack.</w:t>
      </w:r>
    </w:p>
    <w:p w14:paraId="17E3E345" w14:textId="77777777" w:rsidR="00B91B2B" w:rsidRPr="00E01239" w:rsidRDefault="00B91B2B" w:rsidP="00B91B2B">
      <w:pPr>
        <w:spacing w:before="120" w:line="240" w:lineRule="exact"/>
        <w:rPr>
          <w:rFonts w:asciiTheme="minorHAnsi" w:eastAsia="Calibri" w:hAnsiTheme="minorHAnsi" w:cstheme="minorHAnsi"/>
          <w:b/>
          <w:iCs/>
          <w:sz w:val="22"/>
          <w:szCs w:val="18"/>
          <w:lang w:eastAsia="en-US"/>
        </w:rPr>
      </w:pPr>
    </w:p>
    <w:p w14:paraId="1C92915B" w14:textId="6B49A9B0" w:rsidR="00B91B2B" w:rsidRPr="00E01239" w:rsidRDefault="00B91B2B" w:rsidP="00263B8A">
      <w:pPr>
        <w:keepNext/>
        <w:jc w:val="center"/>
        <w:rPr>
          <w:rFonts w:asciiTheme="minorHAnsi" w:eastAsia="Calibri" w:hAnsiTheme="minorHAnsi" w:cstheme="minorHAnsi"/>
          <w:b/>
          <w:iCs/>
          <w:sz w:val="22"/>
          <w:szCs w:val="18"/>
          <w:lang w:eastAsia="en-US"/>
        </w:rPr>
      </w:pPr>
      <w:bookmarkStart w:id="1033" w:name="_Toc131608966"/>
      <w:bookmarkStart w:id="1034" w:name="_Toc142583022"/>
      <w:bookmarkStart w:id="1035" w:name="_Toc144654200"/>
      <w:r w:rsidRPr="00E01239">
        <w:rPr>
          <w:rFonts w:asciiTheme="minorHAnsi" w:eastAsia="Calibri" w:hAnsiTheme="minorHAnsi" w:cstheme="minorHAnsi"/>
          <w:b/>
          <w:iCs/>
          <w:sz w:val="22"/>
          <w:szCs w:val="18"/>
          <w:lang w:eastAsia="en-US"/>
        </w:rPr>
        <w:t xml:space="preserve">Tableau </w:t>
      </w:r>
      <w:r w:rsidR="00B203AB" w:rsidRPr="00E01239">
        <w:rPr>
          <w:rFonts w:asciiTheme="minorHAnsi" w:eastAsia="Calibri" w:hAnsiTheme="minorHAnsi" w:cstheme="minorHAnsi"/>
          <w:b/>
          <w:iCs/>
          <w:sz w:val="22"/>
          <w:szCs w:val="18"/>
          <w:lang w:eastAsia="en-US"/>
        </w:rPr>
        <w:t>21 </w:t>
      </w:r>
      <w:r w:rsidRPr="00E01239">
        <w:rPr>
          <w:rFonts w:asciiTheme="minorHAnsi" w:eastAsia="Calibri" w:hAnsiTheme="minorHAnsi" w:cstheme="minorHAnsi"/>
          <w:b/>
          <w:iCs/>
          <w:sz w:val="22"/>
          <w:szCs w:val="18"/>
          <w:lang w:eastAsia="en-US"/>
        </w:rPr>
        <w:t xml:space="preserve">: </w:t>
      </w:r>
      <w:r w:rsidRPr="00E01239">
        <w:rPr>
          <w:rFonts w:asciiTheme="minorHAnsi" w:eastAsia="Calibri" w:hAnsiTheme="minorHAnsi" w:cstheme="minorHAnsi"/>
          <w:iCs/>
          <w:sz w:val="22"/>
          <w:szCs w:val="18"/>
          <w:lang w:eastAsia="en-US"/>
        </w:rPr>
        <w:t xml:space="preserve">Liste des parties prenantes consultées dans la région de </w:t>
      </w:r>
      <w:bookmarkEnd w:id="1033"/>
      <w:r w:rsidRPr="00E01239">
        <w:rPr>
          <w:rFonts w:asciiTheme="minorHAnsi" w:eastAsia="Calibri" w:hAnsiTheme="minorHAnsi" w:cstheme="minorHAnsi"/>
          <w:iCs/>
          <w:sz w:val="22"/>
          <w:szCs w:val="18"/>
          <w:lang w:eastAsia="en-US"/>
        </w:rPr>
        <w:t>Tambacounda</w:t>
      </w:r>
      <w:bookmarkEnd w:id="1034"/>
      <w:bookmarkEnd w:id="1035"/>
    </w:p>
    <w:tbl>
      <w:tblPr>
        <w:tblStyle w:val="SGSTableBasic113"/>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4"/>
        <w:gridCol w:w="6095"/>
      </w:tblGrid>
      <w:tr w:rsidR="00B91B2B" w:rsidRPr="00E01239" w14:paraId="5BB57619" w14:textId="77777777" w:rsidTr="00263B8A">
        <w:trPr>
          <w:trHeight w:val="243"/>
          <w:tblHeader/>
        </w:trPr>
        <w:tc>
          <w:tcPr>
            <w:tcW w:w="3114" w:type="dxa"/>
            <w:shd w:val="clear" w:color="auto" w:fill="1F3864" w:themeFill="accent5" w:themeFillShade="80"/>
            <w:vAlign w:val="center"/>
          </w:tcPr>
          <w:p w14:paraId="3DDF07E1" w14:textId="77777777" w:rsidR="00B91B2B" w:rsidRPr="00E01239" w:rsidRDefault="00B91B2B" w:rsidP="008C0C70">
            <w:pPr>
              <w:tabs>
                <w:tab w:val="left" w:pos="3093"/>
              </w:tabs>
              <w:jc w:val="center"/>
              <w:rPr>
                <w:rFonts w:asciiTheme="minorHAnsi" w:hAnsiTheme="minorHAnsi" w:cstheme="minorHAnsi"/>
                <w:b/>
                <w:sz w:val="20"/>
                <w:szCs w:val="20"/>
                <w:lang w:val="fr-FR" w:eastAsia="fr-CA"/>
              </w:rPr>
            </w:pPr>
            <w:r w:rsidRPr="00E01239">
              <w:rPr>
                <w:rFonts w:asciiTheme="minorHAnsi" w:hAnsiTheme="minorHAnsi" w:cstheme="minorHAnsi"/>
                <w:b/>
                <w:sz w:val="20"/>
                <w:szCs w:val="20"/>
                <w:lang w:val="fr-FR" w:eastAsia="fr-CA"/>
              </w:rPr>
              <w:t>Catégorie</w:t>
            </w:r>
          </w:p>
        </w:tc>
        <w:tc>
          <w:tcPr>
            <w:tcW w:w="6095" w:type="dxa"/>
            <w:shd w:val="clear" w:color="auto" w:fill="1F3864" w:themeFill="accent5" w:themeFillShade="80"/>
            <w:vAlign w:val="center"/>
          </w:tcPr>
          <w:p w14:paraId="303E28F1" w14:textId="77777777" w:rsidR="00B91B2B" w:rsidRPr="00E01239" w:rsidRDefault="00B91B2B" w:rsidP="008C0C70">
            <w:pPr>
              <w:tabs>
                <w:tab w:val="left" w:pos="3093"/>
              </w:tabs>
              <w:jc w:val="center"/>
              <w:rPr>
                <w:rFonts w:asciiTheme="minorHAnsi" w:hAnsiTheme="minorHAnsi" w:cstheme="minorHAnsi"/>
                <w:b/>
                <w:sz w:val="20"/>
                <w:szCs w:val="20"/>
                <w:lang w:val="fr-FR" w:eastAsia="fr-CA"/>
              </w:rPr>
            </w:pPr>
            <w:r w:rsidRPr="00E01239">
              <w:rPr>
                <w:rFonts w:asciiTheme="minorHAnsi" w:hAnsiTheme="minorHAnsi" w:cstheme="minorHAnsi"/>
                <w:b/>
                <w:sz w:val="20"/>
                <w:szCs w:val="20"/>
                <w:lang w:val="fr-FR" w:eastAsia="fr-CA"/>
              </w:rPr>
              <w:t>Désignation</w:t>
            </w:r>
          </w:p>
        </w:tc>
      </w:tr>
      <w:tr w:rsidR="00B91B2B" w:rsidRPr="00E01239" w14:paraId="02B3FF6A" w14:textId="77777777" w:rsidTr="00263B8A">
        <w:trPr>
          <w:trHeight w:val="113"/>
        </w:trPr>
        <w:tc>
          <w:tcPr>
            <w:tcW w:w="3114" w:type="dxa"/>
            <w:vAlign w:val="center"/>
          </w:tcPr>
          <w:p w14:paraId="5B808109" w14:textId="77777777" w:rsidR="00B91B2B" w:rsidRPr="00E01239" w:rsidRDefault="00B91B2B" w:rsidP="00027669">
            <w:pPr>
              <w:numPr>
                <w:ilvl w:val="0"/>
                <w:numId w:val="150"/>
              </w:num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Autorités administratives</w:t>
            </w:r>
          </w:p>
        </w:tc>
        <w:tc>
          <w:tcPr>
            <w:tcW w:w="6095" w:type="dxa"/>
            <w:vAlign w:val="center"/>
          </w:tcPr>
          <w:p w14:paraId="6BE31BF2"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Gouvernance de Tambacounda </w:t>
            </w:r>
          </w:p>
        </w:tc>
      </w:tr>
      <w:tr w:rsidR="00B91B2B" w:rsidRPr="00E01239" w14:paraId="1196F12A" w14:textId="77777777" w:rsidTr="00263B8A">
        <w:trPr>
          <w:trHeight w:val="113"/>
        </w:trPr>
        <w:tc>
          <w:tcPr>
            <w:tcW w:w="3114" w:type="dxa"/>
            <w:vAlign w:val="center"/>
          </w:tcPr>
          <w:p w14:paraId="4E5A3995" w14:textId="77777777" w:rsidR="00B91B2B" w:rsidRPr="00E01239" w:rsidRDefault="00B91B2B" w:rsidP="00027669">
            <w:pPr>
              <w:numPr>
                <w:ilvl w:val="0"/>
                <w:numId w:val="150"/>
              </w:num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Services techniques déconcentrés</w:t>
            </w:r>
          </w:p>
        </w:tc>
        <w:tc>
          <w:tcPr>
            <w:tcW w:w="6095" w:type="dxa"/>
            <w:vAlign w:val="center"/>
          </w:tcPr>
          <w:p w14:paraId="765FEC2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l’Elevage ;</w:t>
            </w:r>
          </w:p>
          <w:p w14:paraId="58F4BCDC"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Direction Régionale du Développement Communautaire</w:t>
            </w:r>
          </w:p>
          <w:p w14:paraId="3FFE327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des Pêches et de la Surveillance (SRPS) </w:t>
            </w:r>
          </w:p>
          <w:p w14:paraId="15E1EFD2"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Maison de justice </w:t>
            </w:r>
          </w:p>
          <w:p w14:paraId="17BA0BC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Centre Conseil Adolescent (CCA) </w:t>
            </w:r>
          </w:p>
          <w:p w14:paraId="5763A05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Centre des Services Fiscaux </w:t>
            </w:r>
          </w:p>
          <w:p w14:paraId="240C41B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l'Action Sociale</w:t>
            </w:r>
          </w:p>
          <w:p w14:paraId="0542D8B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de l'Action Sociale </w:t>
            </w:r>
          </w:p>
          <w:p w14:paraId="70808AE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Brigade Régional de l’Hygiène </w:t>
            </w:r>
          </w:p>
          <w:p w14:paraId="0E5E3A2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Office National de l'Assainissement pour le Sénégal (ONAS)</w:t>
            </w:r>
          </w:p>
          <w:p w14:paraId="4FEAC443"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l'Assainissement </w:t>
            </w:r>
          </w:p>
          <w:p w14:paraId="7C78181A"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des Eaux et Forêts (IREF) </w:t>
            </w:r>
          </w:p>
          <w:p w14:paraId="26418E8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Direction Régionale du Développement Rural (DRDR) </w:t>
            </w:r>
          </w:p>
          <w:p w14:paraId="3C05152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Agence Régionale de Développement (ARD) </w:t>
            </w:r>
          </w:p>
          <w:p w14:paraId="2A0A342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du Travail et de la Sécurité Sociale (IRTSS)</w:t>
            </w:r>
          </w:p>
          <w:p w14:paraId="648020C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Assistance Educative en Milieu Ouvert (AEMO) </w:t>
            </w:r>
          </w:p>
          <w:p w14:paraId="22762CE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du Cadastre </w:t>
            </w:r>
          </w:p>
          <w:p w14:paraId="2AA4DBF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l’Environnement et des Etablissements Classés (DREEC) </w:t>
            </w:r>
          </w:p>
        </w:tc>
      </w:tr>
      <w:tr w:rsidR="00B91B2B" w:rsidRPr="00E01239" w14:paraId="50191728" w14:textId="77777777" w:rsidTr="00263B8A">
        <w:trPr>
          <w:trHeight w:val="113"/>
        </w:trPr>
        <w:tc>
          <w:tcPr>
            <w:tcW w:w="3114" w:type="dxa"/>
            <w:vAlign w:val="center"/>
          </w:tcPr>
          <w:p w14:paraId="66AEA3B5" w14:textId="77777777" w:rsidR="00B91B2B" w:rsidRPr="00E01239" w:rsidRDefault="00B91B2B" w:rsidP="00027669">
            <w:pPr>
              <w:numPr>
                <w:ilvl w:val="0"/>
                <w:numId w:val="150"/>
              </w:num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Collectivités territoriales</w:t>
            </w:r>
          </w:p>
        </w:tc>
        <w:tc>
          <w:tcPr>
            <w:tcW w:w="6095" w:type="dxa"/>
            <w:vAlign w:val="center"/>
          </w:tcPr>
          <w:p w14:paraId="54CB5395"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Mairie de la commune de Koumpentoum</w:t>
            </w:r>
          </w:p>
          <w:p w14:paraId="17526C8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Conseil Départemental de Koumpentoum</w:t>
            </w:r>
          </w:p>
        </w:tc>
      </w:tr>
      <w:tr w:rsidR="00B91B2B" w:rsidRPr="00E01239" w14:paraId="47039F2E" w14:textId="77777777" w:rsidTr="00263B8A">
        <w:trPr>
          <w:trHeight w:val="113"/>
        </w:trPr>
        <w:tc>
          <w:tcPr>
            <w:tcW w:w="3114" w:type="dxa"/>
            <w:vAlign w:val="center"/>
          </w:tcPr>
          <w:p w14:paraId="6D9A3D42" w14:textId="77777777" w:rsidR="00B91B2B" w:rsidRPr="00E01239" w:rsidRDefault="00B91B2B" w:rsidP="00027669">
            <w:pPr>
              <w:numPr>
                <w:ilvl w:val="0"/>
                <w:numId w:val="150"/>
              </w:num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Groupement de Promotion Féminine (GPF)</w:t>
            </w:r>
          </w:p>
        </w:tc>
        <w:tc>
          <w:tcPr>
            <w:tcW w:w="6095" w:type="dxa"/>
            <w:vAlign w:val="center"/>
          </w:tcPr>
          <w:p w14:paraId="512D041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BOK JOM</w:t>
            </w:r>
          </w:p>
        </w:tc>
      </w:tr>
      <w:tr w:rsidR="00B91B2B" w:rsidRPr="00E01239" w14:paraId="4C09D2C2" w14:textId="77777777" w:rsidTr="00263B8A">
        <w:trPr>
          <w:trHeight w:val="113"/>
        </w:trPr>
        <w:tc>
          <w:tcPr>
            <w:tcW w:w="3114" w:type="dxa"/>
            <w:vAlign w:val="center"/>
          </w:tcPr>
          <w:p w14:paraId="70FE8EF6" w14:textId="77777777" w:rsidR="00B91B2B" w:rsidRPr="00E01239" w:rsidRDefault="00B91B2B" w:rsidP="00027669">
            <w:pPr>
              <w:numPr>
                <w:ilvl w:val="0"/>
                <w:numId w:val="150"/>
              </w:num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Organisations de producteurs</w:t>
            </w:r>
          </w:p>
        </w:tc>
        <w:tc>
          <w:tcPr>
            <w:tcW w:w="6095" w:type="dxa"/>
            <w:vAlign w:val="center"/>
          </w:tcPr>
          <w:p w14:paraId="70BF58B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GIE des Producteurs Agricoles de Koumpentoum</w:t>
            </w:r>
          </w:p>
          <w:p w14:paraId="77BC6815"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GIE </w:t>
            </w:r>
            <w:proofErr w:type="spellStart"/>
            <w:r w:rsidRPr="00E01239">
              <w:rPr>
                <w:rFonts w:asciiTheme="minorHAnsi" w:hAnsiTheme="minorHAnsi" w:cstheme="minorHAnsi"/>
                <w:sz w:val="20"/>
                <w:szCs w:val="20"/>
                <w:lang w:val="fr-FR" w:eastAsia="fr-CA"/>
              </w:rPr>
              <w:t>Yatal</w:t>
            </w:r>
            <w:proofErr w:type="spellEnd"/>
            <w:r w:rsidRPr="00E01239">
              <w:rPr>
                <w:rFonts w:asciiTheme="minorHAnsi" w:hAnsiTheme="minorHAnsi" w:cstheme="minorHAnsi"/>
                <w:sz w:val="20"/>
                <w:szCs w:val="20"/>
                <w:lang w:val="fr-FR" w:eastAsia="fr-CA"/>
              </w:rPr>
              <w:t xml:space="preserve"> </w:t>
            </w:r>
            <w:proofErr w:type="spellStart"/>
            <w:r w:rsidRPr="00E01239">
              <w:rPr>
                <w:rFonts w:asciiTheme="minorHAnsi" w:hAnsiTheme="minorHAnsi" w:cstheme="minorHAnsi"/>
                <w:sz w:val="20"/>
                <w:szCs w:val="20"/>
                <w:lang w:val="fr-FR" w:eastAsia="fr-CA"/>
              </w:rPr>
              <w:t>Jiwu</w:t>
            </w:r>
            <w:proofErr w:type="spellEnd"/>
            <w:r w:rsidRPr="00E01239">
              <w:rPr>
                <w:rFonts w:asciiTheme="minorHAnsi" w:hAnsiTheme="minorHAnsi" w:cstheme="minorHAnsi"/>
                <w:sz w:val="20"/>
                <w:szCs w:val="20"/>
                <w:lang w:val="fr-FR" w:eastAsia="fr-CA"/>
              </w:rPr>
              <w:t xml:space="preserve"> de Koumpentoum</w:t>
            </w:r>
          </w:p>
          <w:p w14:paraId="11F1DF9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Maison Des Eleveurs (MDE) de Koumpentoum</w:t>
            </w:r>
          </w:p>
          <w:p w14:paraId="071BAEB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Munie Laiterie de Koumpentoum</w:t>
            </w:r>
          </w:p>
        </w:tc>
      </w:tr>
      <w:tr w:rsidR="00B91B2B" w:rsidRPr="00E01239" w14:paraId="2B7EBE58" w14:textId="77777777" w:rsidTr="00263B8A">
        <w:trPr>
          <w:trHeight w:val="113"/>
        </w:trPr>
        <w:tc>
          <w:tcPr>
            <w:tcW w:w="3114" w:type="dxa"/>
            <w:vAlign w:val="center"/>
          </w:tcPr>
          <w:p w14:paraId="2FE72C20" w14:textId="77777777" w:rsidR="00B91B2B" w:rsidRPr="00E01239" w:rsidRDefault="00B91B2B" w:rsidP="00027669">
            <w:pPr>
              <w:numPr>
                <w:ilvl w:val="0"/>
                <w:numId w:val="150"/>
              </w:num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Acteurs communautaires</w:t>
            </w:r>
          </w:p>
        </w:tc>
        <w:tc>
          <w:tcPr>
            <w:tcW w:w="6095" w:type="dxa"/>
            <w:vAlign w:val="center"/>
          </w:tcPr>
          <w:p w14:paraId="5294A4A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proofErr w:type="spellStart"/>
            <w:r w:rsidRPr="00E01239">
              <w:rPr>
                <w:rFonts w:asciiTheme="minorHAnsi" w:hAnsiTheme="minorHAnsi" w:cstheme="minorHAnsi"/>
                <w:sz w:val="20"/>
                <w:szCs w:val="20"/>
                <w:lang w:val="fr-FR" w:eastAsia="fr-CA"/>
              </w:rPr>
              <w:t>Badienou</w:t>
            </w:r>
            <w:proofErr w:type="spellEnd"/>
            <w:r w:rsidRPr="00E01239">
              <w:rPr>
                <w:rFonts w:asciiTheme="minorHAnsi" w:hAnsiTheme="minorHAnsi" w:cstheme="minorHAnsi"/>
                <w:sz w:val="20"/>
                <w:szCs w:val="20"/>
                <w:lang w:val="fr-FR" w:eastAsia="fr-CA"/>
              </w:rPr>
              <w:t xml:space="preserve"> </w:t>
            </w:r>
            <w:proofErr w:type="spellStart"/>
            <w:r w:rsidRPr="00E01239">
              <w:rPr>
                <w:rFonts w:asciiTheme="minorHAnsi" w:hAnsiTheme="minorHAnsi" w:cstheme="minorHAnsi"/>
                <w:sz w:val="20"/>
                <w:szCs w:val="20"/>
                <w:lang w:val="fr-FR" w:eastAsia="fr-CA"/>
              </w:rPr>
              <w:t>Gox</w:t>
            </w:r>
            <w:proofErr w:type="spellEnd"/>
          </w:p>
        </w:tc>
      </w:tr>
      <w:tr w:rsidR="00B91B2B" w:rsidRPr="00E01239" w14:paraId="08072EB9" w14:textId="77777777" w:rsidTr="00263B8A">
        <w:trPr>
          <w:trHeight w:val="113"/>
        </w:trPr>
        <w:tc>
          <w:tcPr>
            <w:tcW w:w="3114" w:type="dxa"/>
            <w:vAlign w:val="center"/>
          </w:tcPr>
          <w:p w14:paraId="3858F79B" w14:textId="77777777" w:rsidR="00B91B2B" w:rsidRPr="00E01239" w:rsidRDefault="00B91B2B" w:rsidP="00027669">
            <w:pPr>
              <w:numPr>
                <w:ilvl w:val="0"/>
                <w:numId w:val="150"/>
              </w:numPr>
              <w:tabs>
                <w:tab w:val="left" w:pos="3093"/>
              </w:tabs>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Secteur Privé</w:t>
            </w:r>
          </w:p>
        </w:tc>
        <w:tc>
          <w:tcPr>
            <w:tcW w:w="6095" w:type="dxa"/>
            <w:vAlign w:val="center"/>
          </w:tcPr>
          <w:p w14:paraId="481FD3A5"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Radio </w:t>
            </w:r>
            <w:proofErr w:type="spellStart"/>
            <w:r w:rsidRPr="00E01239">
              <w:rPr>
                <w:rFonts w:asciiTheme="minorHAnsi" w:hAnsiTheme="minorHAnsi" w:cstheme="minorHAnsi"/>
                <w:sz w:val="20"/>
                <w:szCs w:val="20"/>
                <w:lang w:val="fr-FR" w:eastAsia="fr-CA"/>
              </w:rPr>
              <w:t>Niani</w:t>
            </w:r>
            <w:proofErr w:type="spellEnd"/>
            <w:r w:rsidRPr="00E01239">
              <w:rPr>
                <w:rFonts w:asciiTheme="minorHAnsi" w:hAnsiTheme="minorHAnsi" w:cstheme="minorHAnsi"/>
                <w:sz w:val="20"/>
                <w:szCs w:val="20"/>
                <w:lang w:val="fr-FR" w:eastAsia="fr-CA"/>
              </w:rPr>
              <w:t xml:space="preserve"> FM</w:t>
            </w:r>
          </w:p>
        </w:tc>
      </w:tr>
    </w:tbl>
    <w:p w14:paraId="16981127" w14:textId="77777777" w:rsidR="00B91B2B" w:rsidRPr="00E01239" w:rsidRDefault="00B91B2B" w:rsidP="00B91B2B">
      <w:pPr>
        <w:spacing w:after="200" w:line="276" w:lineRule="auto"/>
        <w:rPr>
          <w:rFonts w:asciiTheme="minorHAnsi" w:eastAsia="Calibri" w:hAnsiTheme="minorHAnsi" w:cstheme="minorHAnsi"/>
          <w:sz w:val="22"/>
          <w:szCs w:val="22"/>
          <w:lang w:eastAsia="en-US"/>
        </w:rPr>
      </w:pPr>
    </w:p>
    <w:p w14:paraId="08261A64" w14:textId="77777777" w:rsidR="00814C48" w:rsidRPr="00E01239" w:rsidRDefault="00814C48">
      <w:pPr>
        <w:rPr>
          <w:rFonts w:asciiTheme="minorHAnsi" w:eastAsia="Calibri" w:hAnsiTheme="minorHAnsi" w:cstheme="minorHAnsi"/>
          <w:b/>
          <w:iCs/>
          <w:sz w:val="22"/>
          <w:szCs w:val="18"/>
          <w:lang w:eastAsia="en-US"/>
        </w:rPr>
      </w:pPr>
      <w:bookmarkStart w:id="1036" w:name="_Toc131608967"/>
      <w:bookmarkStart w:id="1037" w:name="_Toc142583023"/>
      <w:r w:rsidRPr="00E01239">
        <w:rPr>
          <w:rFonts w:asciiTheme="minorHAnsi" w:eastAsia="Calibri" w:hAnsiTheme="minorHAnsi" w:cstheme="minorHAnsi"/>
          <w:b/>
          <w:iCs/>
          <w:sz w:val="22"/>
          <w:szCs w:val="18"/>
          <w:lang w:eastAsia="en-US"/>
        </w:rPr>
        <w:br w:type="page"/>
      </w:r>
    </w:p>
    <w:p w14:paraId="62D6C382" w14:textId="1D97DB3D" w:rsidR="00B91B2B" w:rsidRPr="00E01239" w:rsidRDefault="00B91B2B" w:rsidP="00263B8A">
      <w:pPr>
        <w:keepNext/>
        <w:jc w:val="center"/>
        <w:rPr>
          <w:rFonts w:asciiTheme="minorHAnsi" w:eastAsia="Calibri" w:hAnsiTheme="minorHAnsi" w:cstheme="minorHAnsi"/>
          <w:b/>
          <w:iCs/>
          <w:sz w:val="22"/>
          <w:szCs w:val="18"/>
          <w:lang w:eastAsia="en-US"/>
        </w:rPr>
      </w:pPr>
      <w:bookmarkStart w:id="1038" w:name="_Toc144654201"/>
      <w:r w:rsidRPr="00E01239">
        <w:rPr>
          <w:rFonts w:asciiTheme="minorHAnsi" w:eastAsia="Calibri" w:hAnsiTheme="minorHAnsi" w:cstheme="minorHAnsi"/>
          <w:b/>
          <w:iCs/>
          <w:sz w:val="22"/>
          <w:szCs w:val="18"/>
          <w:lang w:eastAsia="en-US"/>
        </w:rPr>
        <w:lastRenderedPageBreak/>
        <w:t xml:space="preserve">Tableau </w:t>
      </w:r>
      <w:r w:rsidRPr="00E01239">
        <w:rPr>
          <w:rFonts w:asciiTheme="minorHAnsi" w:eastAsia="Calibri" w:hAnsiTheme="minorHAnsi" w:cstheme="minorHAnsi"/>
          <w:b/>
          <w:iCs/>
          <w:sz w:val="22"/>
          <w:szCs w:val="18"/>
          <w:lang w:eastAsia="en-US"/>
        </w:rPr>
        <w:fldChar w:fldCharType="begin"/>
      </w:r>
      <w:r w:rsidRPr="00E01239">
        <w:rPr>
          <w:rFonts w:asciiTheme="minorHAnsi" w:eastAsia="Calibri" w:hAnsiTheme="minorHAnsi" w:cstheme="minorHAnsi"/>
          <w:b/>
          <w:iCs/>
          <w:sz w:val="22"/>
          <w:szCs w:val="18"/>
          <w:lang w:eastAsia="en-US"/>
        </w:rPr>
        <w:instrText xml:space="preserve"> SEQ Tableau \* ARABIC </w:instrText>
      </w:r>
      <w:r w:rsidRPr="00E01239">
        <w:rPr>
          <w:rFonts w:asciiTheme="minorHAnsi" w:eastAsia="Calibri" w:hAnsiTheme="minorHAnsi" w:cstheme="minorHAnsi"/>
          <w:b/>
          <w:iCs/>
          <w:sz w:val="22"/>
          <w:szCs w:val="18"/>
          <w:lang w:eastAsia="en-US"/>
        </w:rPr>
        <w:fldChar w:fldCharType="separate"/>
      </w:r>
      <w:r w:rsidR="005C3166">
        <w:rPr>
          <w:rFonts w:asciiTheme="minorHAnsi" w:eastAsia="Calibri" w:hAnsiTheme="minorHAnsi" w:cstheme="minorHAnsi"/>
          <w:b/>
          <w:iCs/>
          <w:noProof/>
          <w:sz w:val="22"/>
          <w:szCs w:val="18"/>
          <w:lang w:eastAsia="en-US"/>
        </w:rPr>
        <w:t>19</w:t>
      </w:r>
      <w:r w:rsidRPr="00E01239">
        <w:rPr>
          <w:rFonts w:asciiTheme="minorHAnsi" w:eastAsia="Calibri" w:hAnsiTheme="minorHAnsi" w:cstheme="minorHAnsi"/>
          <w:b/>
          <w:iCs/>
          <w:sz w:val="22"/>
          <w:szCs w:val="18"/>
          <w:lang w:eastAsia="en-US"/>
        </w:rPr>
        <w:fldChar w:fldCharType="end"/>
      </w:r>
      <w:r w:rsidRPr="00E01239">
        <w:rPr>
          <w:rFonts w:asciiTheme="minorHAnsi" w:eastAsia="Calibri" w:hAnsiTheme="minorHAnsi" w:cstheme="minorHAnsi"/>
          <w:b/>
          <w:iCs/>
          <w:sz w:val="22"/>
          <w:szCs w:val="18"/>
          <w:lang w:eastAsia="en-US"/>
        </w:rPr>
        <w:t xml:space="preserve"> : </w:t>
      </w:r>
      <w:r w:rsidRPr="00E01239">
        <w:rPr>
          <w:rFonts w:asciiTheme="minorHAnsi" w:eastAsia="Calibri" w:hAnsiTheme="minorHAnsi" w:cstheme="minorHAnsi"/>
          <w:iCs/>
          <w:sz w:val="22"/>
          <w:szCs w:val="18"/>
          <w:lang w:eastAsia="en-US"/>
        </w:rPr>
        <w:t xml:space="preserve">Liste des parties prenantes consultées dans la région de </w:t>
      </w:r>
      <w:bookmarkEnd w:id="1036"/>
      <w:r w:rsidRPr="00E01239">
        <w:rPr>
          <w:rFonts w:asciiTheme="minorHAnsi" w:eastAsia="Calibri" w:hAnsiTheme="minorHAnsi" w:cstheme="minorHAnsi"/>
          <w:iCs/>
          <w:sz w:val="22"/>
          <w:szCs w:val="18"/>
          <w:lang w:eastAsia="en-US"/>
        </w:rPr>
        <w:t>Kaffrine</w:t>
      </w:r>
      <w:bookmarkEnd w:id="1037"/>
      <w:bookmarkEnd w:id="1038"/>
    </w:p>
    <w:tbl>
      <w:tblPr>
        <w:tblStyle w:val="SGSTableBasic13"/>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47"/>
        <w:gridCol w:w="6662"/>
      </w:tblGrid>
      <w:tr w:rsidR="00B91B2B" w:rsidRPr="00E01239" w14:paraId="4ED82C39" w14:textId="77777777" w:rsidTr="00263B8A">
        <w:trPr>
          <w:tblHeader/>
        </w:trPr>
        <w:tc>
          <w:tcPr>
            <w:tcW w:w="2547" w:type="dxa"/>
            <w:shd w:val="clear" w:color="auto" w:fill="1F3864" w:themeFill="accent5" w:themeFillShade="80"/>
            <w:vAlign w:val="center"/>
          </w:tcPr>
          <w:p w14:paraId="641730DC"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Catégorie</w:t>
            </w:r>
          </w:p>
        </w:tc>
        <w:tc>
          <w:tcPr>
            <w:tcW w:w="6662" w:type="dxa"/>
            <w:shd w:val="clear" w:color="auto" w:fill="1F3864" w:themeFill="accent5" w:themeFillShade="80"/>
            <w:vAlign w:val="center"/>
          </w:tcPr>
          <w:p w14:paraId="68BA5192"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Désignation</w:t>
            </w:r>
          </w:p>
        </w:tc>
      </w:tr>
      <w:tr w:rsidR="00B91B2B" w:rsidRPr="00E01239" w14:paraId="694AF6C1" w14:textId="77777777" w:rsidTr="00263B8A">
        <w:tc>
          <w:tcPr>
            <w:tcW w:w="2547" w:type="dxa"/>
            <w:vAlign w:val="center"/>
          </w:tcPr>
          <w:p w14:paraId="56256CE8" w14:textId="77777777" w:rsidR="00B91B2B" w:rsidRPr="00E01239" w:rsidRDefault="00B91B2B" w:rsidP="00027669">
            <w:pPr>
              <w:numPr>
                <w:ilvl w:val="0"/>
                <w:numId w:val="150"/>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Autorités publiques déconcentrées</w:t>
            </w:r>
          </w:p>
        </w:tc>
        <w:tc>
          <w:tcPr>
            <w:tcW w:w="6662" w:type="dxa"/>
            <w:vAlign w:val="center"/>
          </w:tcPr>
          <w:p w14:paraId="74CFF73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Gouvernance de la région de Kaffrine</w:t>
            </w:r>
          </w:p>
        </w:tc>
      </w:tr>
      <w:tr w:rsidR="00B91B2B" w:rsidRPr="00E01239" w14:paraId="6D58D3C9" w14:textId="77777777" w:rsidTr="00263B8A">
        <w:tc>
          <w:tcPr>
            <w:tcW w:w="2547" w:type="dxa"/>
            <w:vAlign w:val="center"/>
          </w:tcPr>
          <w:p w14:paraId="7BE92FF0" w14:textId="77777777" w:rsidR="00B91B2B" w:rsidRPr="00E01239" w:rsidRDefault="00B91B2B" w:rsidP="00027669">
            <w:pPr>
              <w:numPr>
                <w:ilvl w:val="0"/>
                <w:numId w:val="150"/>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Services techniques déconcentrés</w:t>
            </w:r>
          </w:p>
        </w:tc>
        <w:tc>
          <w:tcPr>
            <w:tcW w:w="6662" w:type="dxa"/>
            <w:vAlign w:val="center"/>
          </w:tcPr>
          <w:p w14:paraId="3BE1049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Maison de justice ;</w:t>
            </w:r>
          </w:p>
          <w:p w14:paraId="427B1A1C"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du Développement Rural (SDDR) de</w:t>
            </w:r>
          </w:p>
          <w:p w14:paraId="07A56F8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d'Action Sociale (SRAS) </w:t>
            </w:r>
          </w:p>
          <w:p w14:paraId="70B543B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l’Environnement et des Etablissements Classés (DREEC) </w:t>
            </w:r>
          </w:p>
          <w:p w14:paraId="74F3DF5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Le Service Régional des Pêches et de la Surveillance (SRPS)</w:t>
            </w:r>
          </w:p>
          <w:p w14:paraId="4ACB928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Agence Régionale de Développement (ARD) </w:t>
            </w:r>
          </w:p>
          <w:p w14:paraId="7EC1060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l'Hydraulique </w:t>
            </w:r>
          </w:p>
          <w:p w14:paraId="4E1040B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du Travail et de la Sécurité Sociale (IRTSS)</w:t>
            </w:r>
          </w:p>
          <w:p w14:paraId="608F52C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du Cadastre ;</w:t>
            </w:r>
          </w:p>
          <w:p w14:paraId="7567226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du Développement Communautaire</w:t>
            </w:r>
          </w:p>
          <w:p w14:paraId="10A0F87C"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l'Action Sociale </w:t>
            </w:r>
          </w:p>
          <w:p w14:paraId="0A695FC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l’Elevage </w:t>
            </w:r>
          </w:p>
          <w:p w14:paraId="078C07A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des Eaux et Forêts (IREF) ;</w:t>
            </w:r>
          </w:p>
          <w:p w14:paraId="220E212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Division Régionale du Développement Rural (DRDR) ; </w:t>
            </w:r>
          </w:p>
          <w:p w14:paraId="131BAC3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d'Appui au Développement Local (SDADL) </w:t>
            </w:r>
          </w:p>
          <w:p w14:paraId="27A99C6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 Service Départemental de l'élevage et des Productions Animales (SDELPA) </w:t>
            </w:r>
          </w:p>
          <w:p w14:paraId="30E21BF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Conseil Départemental de la Jeunesse de Kaffrine.</w:t>
            </w:r>
          </w:p>
        </w:tc>
      </w:tr>
      <w:tr w:rsidR="00B91B2B" w:rsidRPr="00E01239" w14:paraId="4E93C918" w14:textId="77777777" w:rsidTr="00263B8A">
        <w:tc>
          <w:tcPr>
            <w:tcW w:w="2547" w:type="dxa"/>
            <w:vAlign w:val="center"/>
          </w:tcPr>
          <w:p w14:paraId="03C1B12C" w14:textId="77777777" w:rsidR="00B91B2B" w:rsidRPr="00E01239" w:rsidRDefault="00B91B2B" w:rsidP="00027669">
            <w:pPr>
              <w:numPr>
                <w:ilvl w:val="0"/>
                <w:numId w:val="150"/>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Collectivités territoriales</w:t>
            </w:r>
          </w:p>
        </w:tc>
        <w:tc>
          <w:tcPr>
            <w:tcW w:w="6662" w:type="dxa"/>
            <w:vAlign w:val="center"/>
          </w:tcPr>
          <w:p w14:paraId="38B68ED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Mairie de la commune de Kaffrine</w:t>
            </w:r>
          </w:p>
        </w:tc>
      </w:tr>
      <w:tr w:rsidR="00B91B2B" w:rsidRPr="00E01239" w14:paraId="1E544B2E" w14:textId="77777777" w:rsidTr="00263B8A">
        <w:tc>
          <w:tcPr>
            <w:tcW w:w="2547" w:type="dxa"/>
            <w:vAlign w:val="center"/>
          </w:tcPr>
          <w:p w14:paraId="16966D85" w14:textId="77777777" w:rsidR="00B91B2B" w:rsidRPr="00E01239" w:rsidRDefault="00B91B2B" w:rsidP="00027669">
            <w:pPr>
              <w:numPr>
                <w:ilvl w:val="0"/>
                <w:numId w:val="150"/>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Organisations de producteurs</w:t>
            </w:r>
          </w:p>
        </w:tc>
        <w:tc>
          <w:tcPr>
            <w:tcW w:w="6662" w:type="dxa"/>
            <w:vAlign w:val="center"/>
          </w:tcPr>
          <w:p w14:paraId="23F44BF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GIE Abattoir de </w:t>
            </w:r>
            <w:proofErr w:type="spellStart"/>
            <w:r w:rsidRPr="00E01239">
              <w:rPr>
                <w:rFonts w:asciiTheme="minorHAnsi" w:hAnsiTheme="minorHAnsi" w:cstheme="minorHAnsi"/>
                <w:sz w:val="20"/>
                <w:szCs w:val="20"/>
                <w:lang w:val="fr-FR" w:eastAsia="fr-CA"/>
              </w:rPr>
              <w:t>Koungheul</w:t>
            </w:r>
            <w:proofErr w:type="spellEnd"/>
            <w:r w:rsidRPr="00E01239">
              <w:rPr>
                <w:rFonts w:asciiTheme="minorHAnsi" w:hAnsiTheme="minorHAnsi" w:cstheme="minorHAnsi"/>
                <w:sz w:val="20"/>
                <w:szCs w:val="20"/>
                <w:lang w:val="fr-FR" w:eastAsia="fr-CA"/>
              </w:rPr>
              <w:t xml:space="preserve"> </w:t>
            </w:r>
          </w:p>
          <w:p w14:paraId="6E1291C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GIE Abattoir de </w:t>
            </w:r>
            <w:proofErr w:type="spellStart"/>
            <w:r w:rsidRPr="00E01239">
              <w:rPr>
                <w:rFonts w:asciiTheme="minorHAnsi" w:hAnsiTheme="minorHAnsi" w:cstheme="minorHAnsi"/>
                <w:sz w:val="20"/>
                <w:szCs w:val="20"/>
                <w:lang w:val="fr-FR" w:eastAsia="fr-CA"/>
              </w:rPr>
              <w:t>Koungheul</w:t>
            </w:r>
            <w:proofErr w:type="spellEnd"/>
            <w:r w:rsidRPr="00E01239">
              <w:rPr>
                <w:rFonts w:asciiTheme="minorHAnsi" w:hAnsiTheme="minorHAnsi" w:cstheme="minorHAnsi"/>
                <w:sz w:val="20"/>
                <w:szCs w:val="20"/>
                <w:lang w:val="fr-FR" w:eastAsia="fr-CA"/>
              </w:rPr>
              <w:t xml:space="preserve"> </w:t>
            </w:r>
          </w:p>
          <w:p w14:paraId="59704E3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GIE </w:t>
            </w:r>
            <w:proofErr w:type="spellStart"/>
            <w:r w:rsidRPr="00E01239">
              <w:rPr>
                <w:rFonts w:asciiTheme="minorHAnsi" w:hAnsiTheme="minorHAnsi" w:cstheme="minorHAnsi"/>
                <w:sz w:val="20"/>
                <w:szCs w:val="20"/>
                <w:lang w:val="fr-FR" w:eastAsia="fr-CA"/>
              </w:rPr>
              <w:t>Diauy</w:t>
            </w:r>
            <w:proofErr w:type="spellEnd"/>
            <w:r w:rsidRPr="00E01239">
              <w:rPr>
                <w:rFonts w:asciiTheme="minorHAnsi" w:hAnsiTheme="minorHAnsi" w:cstheme="minorHAnsi"/>
                <w:sz w:val="20"/>
                <w:szCs w:val="20"/>
                <w:lang w:val="fr-FR" w:eastAsia="fr-CA"/>
              </w:rPr>
              <w:t xml:space="preserve"> </w:t>
            </w:r>
            <w:proofErr w:type="spellStart"/>
            <w:r w:rsidRPr="00E01239">
              <w:rPr>
                <w:rFonts w:asciiTheme="minorHAnsi" w:hAnsiTheme="minorHAnsi" w:cstheme="minorHAnsi"/>
                <w:sz w:val="20"/>
                <w:szCs w:val="20"/>
                <w:lang w:val="fr-FR" w:eastAsia="fr-CA"/>
              </w:rPr>
              <w:t>Diene</w:t>
            </w:r>
            <w:proofErr w:type="spellEnd"/>
          </w:p>
          <w:p w14:paraId="4475B82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GIE </w:t>
            </w:r>
            <w:proofErr w:type="spellStart"/>
            <w:r w:rsidRPr="00E01239">
              <w:rPr>
                <w:rFonts w:asciiTheme="minorHAnsi" w:hAnsiTheme="minorHAnsi" w:cstheme="minorHAnsi"/>
                <w:sz w:val="20"/>
                <w:szCs w:val="20"/>
                <w:lang w:val="fr-FR" w:eastAsia="fr-CA"/>
              </w:rPr>
              <w:t>Affakha</w:t>
            </w:r>
            <w:proofErr w:type="spellEnd"/>
            <w:r w:rsidRPr="00E01239">
              <w:rPr>
                <w:rFonts w:asciiTheme="minorHAnsi" w:hAnsiTheme="minorHAnsi" w:cstheme="minorHAnsi"/>
                <w:sz w:val="20"/>
                <w:szCs w:val="20"/>
                <w:lang w:val="fr-FR" w:eastAsia="fr-CA"/>
              </w:rPr>
              <w:t xml:space="preserve"> de </w:t>
            </w:r>
            <w:proofErr w:type="spellStart"/>
            <w:r w:rsidRPr="00E01239">
              <w:rPr>
                <w:rFonts w:asciiTheme="minorHAnsi" w:hAnsiTheme="minorHAnsi" w:cstheme="minorHAnsi"/>
                <w:sz w:val="20"/>
                <w:szCs w:val="20"/>
                <w:lang w:val="fr-FR" w:eastAsia="fr-CA"/>
              </w:rPr>
              <w:t>Koungheul</w:t>
            </w:r>
            <w:proofErr w:type="spellEnd"/>
          </w:p>
          <w:p w14:paraId="732662A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GIE </w:t>
            </w:r>
            <w:proofErr w:type="spellStart"/>
            <w:r w:rsidRPr="00E01239">
              <w:rPr>
                <w:rFonts w:asciiTheme="minorHAnsi" w:hAnsiTheme="minorHAnsi" w:cstheme="minorHAnsi"/>
                <w:sz w:val="20"/>
                <w:szCs w:val="20"/>
                <w:lang w:val="fr-FR" w:eastAsia="fr-CA"/>
              </w:rPr>
              <w:t>Affakha</w:t>
            </w:r>
            <w:proofErr w:type="spellEnd"/>
            <w:r w:rsidRPr="00E01239">
              <w:rPr>
                <w:rFonts w:asciiTheme="minorHAnsi" w:hAnsiTheme="minorHAnsi" w:cstheme="minorHAnsi"/>
                <w:sz w:val="20"/>
                <w:szCs w:val="20"/>
                <w:lang w:val="fr-FR" w:eastAsia="fr-CA"/>
              </w:rPr>
              <w:t xml:space="preserve"> de </w:t>
            </w:r>
            <w:proofErr w:type="spellStart"/>
            <w:r w:rsidRPr="00E01239">
              <w:rPr>
                <w:rFonts w:asciiTheme="minorHAnsi" w:hAnsiTheme="minorHAnsi" w:cstheme="minorHAnsi"/>
                <w:sz w:val="20"/>
                <w:szCs w:val="20"/>
                <w:lang w:val="fr-FR" w:eastAsia="fr-CA"/>
              </w:rPr>
              <w:t>Koungheul</w:t>
            </w:r>
            <w:proofErr w:type="spellEnd"/>
          </w:p>
          <w:p w14:paraId="22A4244C"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GIE </w:t>
            </w:r>
            <w:proofErr w:type="spellStart"/>
            <w:r w:rsidRPr="00E01239">
              <w:rPr>
                <w:rFonts w:asciiTheme="minorHAnsi" w:hAnsiTheme="minorHAnsi" w:cstheme="minorHAnsi"/>
                <w:sz w:val="20"/>
                <w:szCs w:val="20"/>
                <w:lang w:val="fr-FR" w:eastAsia="fr-CA"/>
              </w:rPr>
              <w:t>Affakha</w:t>
            </w:r>
            <w:proofErr w:type="spellEnd"/>
            <w:r w:rsidRPr="00E01239">
              <w:rPr>
                <w:rFonts w:asciiTheme="minorHAnsi" w:hAnsiTheme="minorHAnsi" w:cstheme="minorHAnsi"/>
                <w:sz w:val="20"/>
                <w:szCs w:val="20"/>
                <w:lang w:val="fr-FR" w:eastAsia="fr-CA"/>
              </w:rPr>
              <w:t xml:space="preserve"> de </w:t>
            </w:r>
            <w:proofErr w:type="spellStart"/>
            <w:r w:rsidRPr="00E01239">
              <w:rPr>
                <w:rFonts w:asciiTheme="minorHAnsi" w:hAnsiTheme="minorHAnsi" w:cstheme="minorHAnsi"/>
                <w:sz w:val="20"/>
                <w:szCs w:val="20"/>
                <w:lang w:val="fr-FR" w:eastAsia="fr-CA"/>
              </w:rPr>
              <w:t>Koungheul</w:t>
            </w:r>
            <w:proofErr w:type="spellEnd"/>
          </w:p>
          <w:p w14:paraId="0E1139E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Directoire Régional des Femmes en Elevage (DIRFEL)</w:t>
            </w:r>
          </w:p>
          <w:p w14:paraId="45E7E30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Maison Des Eleveurs (MDE)</w:t>
            </w:r>
          </w:p>
          <w:p w14:paraId="6BFE857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Association Nationale des Professionnels du Bétail et de la Viande (ANPROBVS)</w:t>
            </w:r>
          </w:p>
        </w:tc>
      </w:tr>
      <w:tr w:rsidR="00B91B2B" w:rsidRPr="00E01239" w14:paraId="77898FC1" w14:textId="77777777" w:rsidTr="00263B8A">
        <w:tc>
          <w:tcPr>
            <w:tcW w:w="2547" w:type="dxa"/>
            <w:vAlign w:val="center"/>
          </w:tcPr>
          <w:p w14:paraId="22D4E8DF" w14:textId="77777777" w:rsidR="00B91B2B" w:rsidRPr="00E01239" w:rsidRDefault="00B91B2B" w:rsidP="00027669">
            <w:pPr>
              <w:numPr>
                <w:ilvl w:val="0"/>
                <w:numId w:val="150"/>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Organisations de la société civile (OSC) locale</w:t>
            </w:r>
          </w:p>
        </w:tc>
        <w:tc>
          <w:tcPr>
            <w:tcW w:w="6662" w:type="dxa"/>
            <w:vAlign w:val="center"/>
          </w:tcPr>
          <w:p w14:paraId="5CF67F9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ONG </w:t>
            </w:r>
            <w:proofErr w:type="spellStart"/>
            <w:r w:rsidRPr="00E01239">
              <w:rPr>
                <w:rFonts w:asciiTheme="minorHAnsi" w:hAnsiTheme="minorHAnsi" w:cstheme="minorHAnsi"/>
                <w:sz w:val="20"/>
                <w:szCs w:val="20"/>
                <w:lang w:val="fr-FR" w:eastAsia="fr-CA"/>
              </w:rPr>
              <w:t>Pencum</w:t>
            </w:r>
            <w:proofErr w:type="spellEnd"/>
            <w:r w:rsidRPr="00E01239">
              <w:rPr>
                <w:rFonts w:asciiTheme="minorHAnsi" w:hAnsiTheme="minorHAnsi" w:cstheme="minorHAnsi"/>
                <w:sz w:val="20"/>
                <w:szCs w:val="20"/>
                <w:lang w:val="fr-FR" w:eastAsia="fr-CA"/>
              </w:rPr>
              <w:t xml:space="preserve"> </w:t>
            </w:r>
            <w:proofErr w:type="spellStart"/>
            <w:r w:rsidRPr="00E01239">
              <w:rPr>
                <w:rFonts w:asciiTheme="minorHAnsi" w:hAnsiTheme="minorHAnsi" w:cstheme="minorHAnsi"/>
                <w:sz w:val="20"/>
                <w:szCs w:val="20"/>
                <w:lang w:val="fr-FR" w:eastAsia="fr-CA"/>
              </w:rPr>
              <w:t>Bambuk</w:t>
            </w:r>
            <w:proofErr w:type="spellEnd"/>
          </w:p>
        </w:tc>
      </w:tr>
      <w:tr w:rsidR="00B91B2B" w:rsidRPr="00E01239" w14:paraId="04871042" w14:textId="77777777" w:rsidTr="00263B8A">
        <w:tc>
          <w:tcPr>
            <w:tcW w:w="2547" w:type="dxa"/>
            <w:vAlign w:val="center"/>
          </w:tcPr>
          <w:p w14:paraId="735CDF63" w14:textId="77777777" w:rsidR="00B91B2B" w:rsidRPr="00E01239" w:rsidRDefault="00B91B2B" w:rsidP="00027669">
            <w:pPr>
              <w:numPr>
                <w:ilvl w:val="0"/>
                <w:numId w:val="150"/>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Groupement de Promotion Féminine (GPF)</w:t>
            </w:r>
          </w:p>
        </w:tc>
        <w:tc>
          <w:tcPr>
            <w:tcW w:w="6662" w:type="dxa"/>
            <w:vAlign w:val="center"/>
          </w:tcPr>
          <w:p w14:paraId="4CF2D7F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GPF Départemental</w:t>
            </w:r>
          </w:p>
          <w:p w14:paraId="1B541A7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GIE </w:t>
            </w:r>
            <w:proofErr w:type="spellStart"/>
            <w:r w:rsidRPr="00E01239">
              <w:rPr>
                <w:rFonts w:asciiTheme="minorHAnsi" w:hAnsiTheme="minorHAnsi" w:cstheme="minorHAnsi"/>
                <w:sz w:val="20"/>
                <w:szCs w:val="20"/>
                <w:lang w:val="fr-FR" w:eastAsia="fr-CA"/>
              </w:rPr>
              <w:t>Xaritu</w:t>
            </w:r>
            <w:proofErr w:type="spellEnd"/>
            <w:r w:rsidRPr="00E01239">
              <w:rPr>
                <w:rFonts w:asciiTheme="minorHAnsi" w:hAnsiTheme="minorHAnsi" w:cstheme="minorHAnsi"/>
                <w:sz w:val="20"/>
                <w:szCs w:val="20"/>
                <w:lang w:val="fr-FR" w:eastAsia="fr-CA"/>
              </w:rPr>
              <w:t xml:space="preserve"> </w:t>
            </w:r>
            <w:proofErr w:type="spellStart"/>
            <w:r w:rsidRPr="00E01239">
              <w:rPr>
                <w:rFonts w:asciiTheme="minorHAnsi" w:hAnsiTheme="minorHAnsi" w:cstheme="minorHAnsi"/>
                <w:sz w:val="20"/>
                <w:szCs w:val="20"/>
                <w:lang w:val="fr-FR" w:eastAsia="fr-CA"/>
              </w:rPr>
              <w:t>Xaley</w:t>
            </w:r>
            <w:proofErr w:type="spellEnd"/>
          </w:p>
        </w:tc>
      </w:tr>
    </w:tbl>
    <w:p w14:paraId="4C877816" w14:textId="77777777" w:rsidR="00B91B2B" w:rsidRPr="00E01239" w:rsidRDefault="00B91B2B" w:rsidP="00B91B2B">
      <w:pPr>
        <w:spacing w:after="200" w:line="276" w:lineRule="auto"/>
        <w:rPr>
          <w:rFonts w:asciiTheme="minorHAnsi" w:eastAsia="Calibri" w:hAnsiTheme="minorHAnsi" w:cstheme="minorHAnsi"/>
          <w:sz w:val="22"/>
          <w:szCs w:val="22"/>
          <w:lang w:eastAsia="en-US"/>
        </w:rPr>
      </w:pPr>
    </w:p>
    <w:p w14:paraId="7D1A0FF6" w14:textId="77777777" w:rsidR="00814C48" w:rsidRPr="00E01239" w:rsidRDefault="00814C48">
      <w:pPr>
        <w:rPr>
          <w:rFonts w:asciiTheme="minorHAnsi" w:eastAsia="Calibri" w:hAnsiTheme="minorHAnsi" w:cstheme="minorHAnsi"/>
          <w:b/>
          <w:iCs/>
          <w:sz w:val="22"/>
          <w:szCs w:val="18"/>
          <w:lang w:eastAsia="en-US"/>
        </w:rPr>
      </w:pPr>
      <w:bookmarkStart w:id="1039" w:name="_Toc131608968"/>
      <w:bookmarkStart w:id="1040" w:name="_Toc142583024"/>
      <w:r w:rsidRPr="00E01239">
        <w:rPr>
          <w:rFonts w:asciiTheme="minorHAnsi" w:eastAsia="Calibri" w:hAnsiTheme="minorHAnsi" w:cstheme="minorHAnsi"/>
          <w:b/>
          <w:iCs/>
          <w:sz w:val="22"/>
          <w:szCs w:val="18"/>
          <w:lang w:eastAsia="en-US"/>
        </w:rPr>
        <w:br w:type="page"/>
      </w:r>
    </w:p>
    <w:p w14:paraId="0416C21B" w14:textId="022476E7" w:rsidR="00B91B2B" w:rsidRPr="00E01239" w:rsidRDefault="00B91B2B" w:rsidP="0021506F">
      <w:pPr>
        <w:keepNext/>
        <w:jc w:val="center"/>
        <w:rPr>
          <w:rFonts w:asciiTheme="minorHAnsi" w:eastAsia="Calibri" w:hAnsiTheme="minorHAnsi" w:cstheme="minorHAnsi"/>
          <w:iCs/>
          <w:sz w:val="22"/>
          <w:szCs w:val="18"/>
          <w:lang w:eastAsia="en-US"/>
        </w:rPr>
      </w:pPr>
      <w:bookmarkStart w:id="1041" w:name="_Toc144654202"/>
      <w:r w:rsidRPr="00E01239">
        <w:rPr>
          <w:rFonts w:asciiTheme="minorHAnsi" w:eastAsia="Calibri" w:hAnsiTheme="minorHAnsi" w:cstheme="minorHAnsi"/>
          <w:b/>
          <w:iCs/>
          <w:sz w:val="22"/>
          <w:szCs w:val="18"/>
          <w:lang w:eastAsia="en-US"/>
        </w:rPr>
        <w:lastRenderedPageBreak/>
        <w:t xml:space="preserve">Tableau </w:t>
      </w:r>
      <w:r w:rsidR="00B203AB" w:rsidRPr="00E01239">
        <w:rPr>
          <w:rFonts w:asciiTheme="minorHAnsi" w:eastAsia="Calibri" w:hAnsiTheme="minorHAnsi" w:cstheme="minorHAnsi"/>
          <w:b/>
          <w:iCs/>
          <w:sz w:val="22"/>
          <w:szCs w:val="18"/>
          <w:lang w:eastAsia="en-US"/>
        </w:rPr>
        <w:t>23 </w:t>
      </w:r>
      <w:r w:rsidRPr="00E01239">
        <w:rPr>
          <w:rFonts w:asciiTheme="minorHAnsi" w:eastAsia="Calibri" w:hAnsiTheme="minorHAnsi" w:cstheme="minorHAnsi"/>
          <w:b/>
          <w:iCs/>
          <w:sz w:val="22"/>
          <w:szCs w:val="18"/>
          <w:lang w:eastAsia="en-US"/>
        </w:rPr>
        <w:t xml:space="preserve">: </w:t>
      </w:r>
      <w:r w:rsidRPr="00E01239">
        <w:rPr>
          <w:rFonts w:asciiTheme="minorHAnsi" w:eastAsia="Calibri" w:hAnsiTheme="minorHAnsi" w:cstheme="minorHAnsi"/>
          <w:iCs/>
          <w:sz w:val="22"/>
          <w:szCs w:val="18"/>
          <w:lang w:eastAsia="en-US"/>
        </w:rPr>
        <w:t xml:space="preserve">Liste des parties prenantes consultées dans la région de </w:t>
      </w:r>
      <w:bookmarkEnd w:id="1039"/>
      <w:r w:rsidRPr="00E01239">
        <w:rPr>
          <w:rFonts w:asciiTheme="minorHAnsi" w:eastAsia="Calibri" w:hAnsiTheme="minorHAnsi" w:cstheme="minorHAnsi"/>
          <w:iCs/>
          <w:sz w:val="22"/>
          <w:szCs w:val="18"/>
          <w:lang w:eastAsia="en-US"/>
        </w:rPr>
        <w:t>Thiès</w:t>
      </w:r>
      <w:bookmarkEnd w:id="1040"/>
      <w:bookmarkEnd w:id="1041"/>
    </w:p>
    <w:tbl>
      <w:tblPr>
        <w:tblStyle w:val="SGSTableBasic14"/>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30"/>
        <w:gridCol w:w="6379"/>
      </w:tblGrid>
      <w:tr w:rsidR="00B91B2B" w:rsidRPr="00E01239" w14:paraId="5D7A3477" w14:textId="77777777" w:rsidTr="00263B8A">
        <w:trPr>
          <w:tblHeader/>
        </w:trPr>
        <w:tc>
          <w:tcPr>
            <w:tcW w:w="2830" w:type="dxa"/>
            <w:shd w:val="clear" w:color="auto" w:fill="1F3864" w:themeFill="accent5" w:themeFillShade="80"/>
            <w:vAlign w:val="center"/>
          </w:tcPr>
          <w:p w14:paraId="78213EAD"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Catégorie</w:t>
            </w:r>
          </w:p>
        </w:tc>
        <w:tc>
          <w:tcPr>
            <w:tcW w:w="6379" w:type="dxa"/>
            <w:shd w:val="clear" w:color="auto" w:fill="1F3864" w:themeFill="accent5" w:themeFillShade="80"/>
            <w:vAlign w:val="center"/>
          </w:tcPr>
          <w:p w14:paraId="2E6E6DE2"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Désignation</w:t>
            </w:r>
          </w:p>
        </w:tc>
      </w:tr>
      <w:tr w:rsidR="00B91B2B" w:rsidRPr="00E01239" w14:paraId="067FF56D" w14:textId="77777777" w:rsidTr="00263B8A">
        <w:tc>
          <w:tcPr>
            <w:tcW w:w="2830" w:type="dxa"/>
            <w:vAlign w:val="center"/>
          </w:tcPr>
          <w:p w14:paraId="343BB05E"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Services techniques déconcentrés</w:t>
            </w:r>
          </w:p>
        </w:tc>
        <w:tc>
          <w:tcPr>
            <w:tcW w:w="6379" w:type="dxa"/>
            <w:vAlign w:val="center"/>
          </w:tcPr>
          <w:p w14:paraId="70E9D8A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l’Elevage</w:t>
            </w:r>
          </w:p>
          <w:p w14:paraId="56290B4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Division Régionale du Développement Rural (DRDR) </w:t>
            </w:r>
          </w:p>
          <w:p w14:paraId="7FA1AA3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Agence Régionale de Développement (ARD) </w:t>
            </w:r>
          </w:p>
          <w:p w14:paraId="780C8FA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Direction Régionale de l’Hydraulique </w:t>
            </w:r>
          </w:p>
          <w:p w14:paraId="14F0853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Centre des Services Fiscaux </w:t>
            </w:r>
          </w:p>
          <w:p w14:paraId="6A34413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Service Régional du Cadastre </w:t>
            </w:r>
          </w:p>
          <w:p w14:paraId="71B69C7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des Eaux et Forêts (IREF)</w:t>
            </w:r>
          </w:p>
          <w:p w14:paraId="059D77F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Brigade Régional de l’Hygiène</w:t>
            </w:r>
          </w:p>
          <w:p w14:paraId="0511215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du Travail et de la Sécurité Sociale (IRTSS)</w:t>
            </w:r>
          </w:p>
          <w:p w14:paraId="7D39E1A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Agence Nationale de Conseil Agricole et Rural (ANCAR)</w:t>
            </w:r>
          </w:p>
          <w:p w14:paraId="30936B1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l'Assainissement</w:t>
            </w:r>
          </w:p>
          <w:p w14:paraId="2280F31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la Jeunesse de Thiès</w:t>
            </w:r>
          </w:p>
          <w:p w14:paraId="47FB15C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d'Action Sociale (SRAS)</w:t>
            </w:r>
          </w:p>
        </w:tc>
      </w:tr>
      <w:tr w:rsidR="00B91B2B" w:rsidRPr="00E01239" w14:paraId="0579F4C2" w14:textId="77777777" w:rsidTr="00263B8A">
        <w:tc>
          <w:tcPr>
            <w:tcW w:w="2830" w:type="dxa"/>
            <w:vAlign w:val="center"/>
          </w:tcPr>
          <w:p w14:paraId="75F7008E"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Collectivités territoriales</w:t>
            </w:r>
          </w:p>
        </w:tc>
        <w:tc>
          <w:tcPr>
            <w:tcW w:w="6379" w:type="dxa"/>
            <w:vAlign w:val="center"/>
          </w:tcPr>
          <w:p w14:paraId="1FDD3D0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Conseil Départemental de Thiès</w:t>
            </w:r>
          </w:p>
        </w:tc>
      </w:tr>
      <w:tr w:rsidR="00B91B2B" w:rsidRPr="00E01239" w14:paraId="4181E234" w14:textId="77777777" w:rsidTr="00263B8A">
        <w:tc>
          <w:tcPr>
            <w:tcW w:w="2830" w:type="dxa"/>
            <w:vAlign w:val="center"/>
          </w:tcPr>
          <w:p w14:paraId="32AF5C17"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Organisations de producteurs</w:t>
            </w:r>
          </w:p>
        </w:tc>
        <w:tc>
          <w:tcPr>
            <w:tcW w:w="6379" w:type="dxa"/>
            <w:vAlign w:val="center"/>
          </w:tcPr>
          <w:p w14:paraId="0C6CBF3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Maison Des Eleveurs (MDE)</w:t>
            </w:r>
          </w:p>
          <w:p w14:paraId="42F15BA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Réseau des organisations paysannes et pastorales du Sénégal (RESOPP)</w:t>
            </w:r>
          </w:p>
          <w:p w14:paraId="4056F7D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Association Nationale des Professionnels du Bétail et de la Viande (ANPROBVS)</w:t>
            </w:r>
          </w:p>
          <w:p w14:paraId="636F57A3"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 FONGS/ Action Paysanne</w:t>
            </w:r>
          </w:p>
        </w:tc>
      </w:tr>
      <w:tr w:rsidR="00B91B2B" w:rsidRPr="00E01239" w14:paraId="16743648" w14:textId="77777777" w:rsidTr="00263B8A">
        <w:tc>
          <w:tcPr>
            <w:tcW w:w="2830" w:type="dxa"/>
            <w:vAlign w:val="center"/>
          </w:tcPr>
          <w:p w14:paraId="2ECFC480"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Organisations de la société civile (OSC)</w:t>
            </w:r>
          </w:p>
        </w:tc>
        <w:tc>
          <w:tcPr>
            <w:tcW w:w="6379" w:type="dxa"/>
            <w:vAlign w:val="center"/>
          </w:tcPr>
          <w:p w14:paraId="73B233A5"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Association des Juristes Sénégalaises Boutique de Droit</w:t>
            </w:r>
          </w:p>
        </w:tc>
      </w:tr>
      <w:tr w:rsidR="00B91B2B" w:rsidRPr="00E01239" w14:paraId="0529CFB6" w14:textId="77777777" w:rsidTr="00263B8A">
        <w:tc>
          <w:tcPr>
            <w:tcW w:w="2830" w:type="dxa"/>
            <w:vAlign w:val="center"/>
          </w:tcPr>
          <w:p w14:paraId="03532D05"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Secteur privé</w:t>
            </w:r>
          </w:p>
        </w:tc>
        <w:tc>
          <w:tcPr>
            <w:tcW w:w="6379" w:type="dxa"/>
            <w:vAlign w:val="center"/>
          </w:tcPr>
          <w:p w14:paraId="28F2C98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proofErr w:type="spellStart"/>
            <w:r w:rsidRPr="00E01239">
              <w:rPr>
                <w:rFonts w:asciiTheme="minorHAnsi" w:hAnsiTheme="minorHAnsi" w:cstheme="minorHAnsi"/>
                <w:sz w:val="20"/>
                <w:szCs w:val="20"/>
                <w:lang w:val="fr-FR" w:eastAsia="fr-CA"/>
              </w:rPr>
              <w:t>Coorkat</w:t>
            </w:r>
            <w:proofErr w:type="spellEnd"/>
            <w:r w:rsidRPr="00E01239">
              <w:rPr>
                <w:rFonts w:asciiTheme="minorHAnsi" w:hAnsiTheme="minorHAnsi" w:cstheme="minorHAnsi"/>
                <w:sz w:val="20"/>
                <w:szCs w:val="20"/>
                <w:lang w:val="fr-FR" w:eastAsia="fr-CA"/>
              </w:rPr>
              <w:t xml:space="preserve"> FM</w:t>
            </w:r>
          </w:p>
        </w:tc>
      </w:tr>
    </w:tbl>
    <w:p w14:paraId="30121BCF" w14:textId="77777777" w:rsidR="00B91B2B" w:rsidRPr="00E01239" w:rsidRDefault="00B91B2B" w:rsidP="00B91B2B">
      <w:pPr>
        <w:keepNext/>
        <w:spacing w:after="200"/>
        <w:rPr>
          <w:rFonts w:asciiTheme="minorHAnsi" w:eastAsia="Calibri" w:hAnsiTheme="minorHAnsi" w:cstheme="minorHAnsi"/>
          <w:sz w:val="22"/>
          <w:szCs w:val="22"/>
          <w:lang w:eastAsia="en-US"/>
        </w:rPr>
      </w:pPr>
    </w:p>
    <w:p w14:paraId="41C1B1DC" w14:textId="26A09564" w:rsidR="00B91B2B" w:rsidRPr="00E01239" w:rsidRDefault="00B91B2B" w:rsidP="0021506F">
      <w:pPr>
        <w:keepNext/>
        <w:jc w:val="center"/>
        <w:rPr>
          <w:rFonts w:asciiTheme="minorHAnsi" w:eastAsia="Calibri" w:hAnsiTheme="minorHAnsi" w:cstheme="minorHAnsi"/>
          <w:iCs/>
          <w:sz w:val="22"/>
          <w:szCs w:val="18"/>
          <w:lang w:eastAsia="en-US"/>
        </w:rPr>
      </w:pPr>
      <w:bookmarkStart w:id="1042" w:name="_Toc131608969"/>
      <w:bookmarkStart w:id="1043" w:name="_Toc142583025"/>
      <w:bookmarkStart w:id="1044" w:name="_Toc144654203"/>
      <w:r w:rsidRPr="00E01239">
        <w:rPr>
          <w:rFonts w:asciiTheme="minorHAnsi" w:eastAsia="Calibri" w:hAnsiTheme="minorHAnsi" w:cstheme="minorHAnsi"/>
          <w:b/>
          <w:iCs/>
          <w:sz w:val="22"/>
          <w:szCs w:val="18"/>
          <w:lang w:eastAsia="en-US"/>
        </w:rPr>
        <w:t>Tableau</w:t>
      </w:r>
      <w:r w:rsidR="00B203AB" w:rsidRPr="00E01239">
        <w:rPr>
          <w:rFonts w:asciiTheme="minorHAnsi" w:eastAsia="Calibri" w:hAnsiTheme="minorHAnsi" w:cstheme="minorHAnsi"/>
          <w:b/>
          <w:iCs/>
          <w:sz w:val="22"/>
          <w:szCs w:val="18"/>
          <w:lang w:eastAsia="en-US"/>
        </w:rPr>
        <w:t>24</w:t>
      </w:r>
      <w:r w:rsidRPr="00E01239">
        <w:rPr>
          <w:rFonts w:asciiTheme="minorHAnsi" w:eastAsia="Calibri" w:hAnsiTheme="minorHAnsi" w:cstheme="minorHAnsi"/>
          <w:b/>
          <w:iCs/>
          <w:sz w:val="22"/>
          <w:szCs w:val="18"/>
          <w:lang w:eastAsia="en-US"/>
        </w:rPr>
        <w:t xml:space="preserve"> : </w:t>
      </w:r>
      <w:r w:rsidRPr="00E01239">
        <w:rPr>
          <w:rFonts w:asciiTheme="minorHAnsi" w:eastAsia="Calibri" w:hAnsiTheme="minorHAnsi" w:cstheme="minorHAnsi"/>
          <w:iCs/>
          <w:sz w:val="22"/>
          <w:szCs w:val="18"/>
          <w:lang w:eastAsia="en-US"/>
        </w:rPr>
        <w:t xml:space="preserve">Liste des parties prenantes consultées dans la région de </w:t>
      </w:r>
      <w:bookmarkEnd w:id="1042"/>
      <w:r w:rsidRPr="00E01239">
        <w:rPr>
          <w:rFonts w:asciiTheme="minorHAnsi" w:eastAsia="Calibri" w:hAnsiTheme="minorHAnsi" w:cstheme="minorHAnsi"/>
          <w:iCs/>
          <w:sz w:val="22"/>
          <w:szCs w:val="18"/>
          <w:lang w:eastAsia="en-US"/>
        </w:rPr>
        <w:t>Diourbel</w:t>
      </w:r>
      <w:bookmarkEnd w:id="1043"/>
      <w:bookmarkEnd w:id="1044"/>
    </w:p>
    <w:tbl>
      <w:tblPr>
        <w:tblStyle w:val="SGSTableBasic14"/>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30"/>
        <w:gridCol w:w="6379"/>
      </w:tblGrid>
      <w:tr w:rsidR="00B91B2B" w:rsidRPr="00E01239" w14:paraId="015F6C24" w14:textId="77777777" w:rsidTr="00263B8A">
        <w:trPr>
          <w:tblHeader/>
        </w:trPr>
        <w:tc>
          <w:tcPr>
            <w:tcW w:w="2830" w:type="dxa"/>
            <w:shd w:val="clear" w:color="auto" w:fill="1F3864" w:themeFill="accent5" w:themeFillShade="80"/>
            <w:vAlign w:val="center"/>
          </w:tcPr>
          <w:p w14:paraId="3ED120B6"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Catégorie</w:t>
            </w:r>
          </w:p>
        </w:tc>
        <w:tc>
          <w:tcPr>
            <w:tcW w:w="6379" w:type="dxa"/>
            <w:shd w:val="clear" w:color="auto" w:fill="1F3864" w:themeFill="accent5" w:themeFillShade="80"/>
            <w:vAlign w:val="center"/>
          </w:tcPr>
          <w:p w14:paraId="77E0AD25"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Désignation</w:t>
            </w:r>
          </w:p>
        </w:tc>
      </w:tr>
      <w:tr w:rsidR="00B91B2B" w:rsidRPr="00E01239" w14:paraId="1BAC19B9" w14:textId="77777777" w:rsidTr="00263B8A">
        <w:tc>
          <w:tcPr>
            <w:tcW w:w="2830" w:type="dxa"/>
            <w:vAlign w:val="center"/>
          </w:tcPr>
          <w:p w14:paraId="44C452C1"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Autorités publiques déconcentrées</w:t>
            </w:r>
          </w:p>
        </w:tc>
        <w:tc>
          <w:tcPr>
            <w:tcW w:w="6379" w:type="dxa"/>
            <w:vAlign w:val="center"/>
          </w:tcPr>
          <w:p w14:paraId="3AA7A05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Gouvernance Diourbel</w:t>
            </w:r>
          </w:p>
          <w:p w14:paraId="4BBFE47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Préfecture Diourbel</w:t>
            </w:r>
          </w:p>
        </w:tc>
      </w:tr>
      <w:tr w:rsidR="00B91B2B" w:rsidRPr="00E01239" w14:paraId="0A4FC618" w14:textId="77777777" w:rsidTr="00263B8A">
        <w:tc>
          <w:tcPr>
            <w:tcW w:w="2830" w:type="dxa"/>
            <w:vAlign w:val="center"/>
          </w:tcPr>
          <w:p w14:paraId="3463910B"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Services techniques déconcentrés</w:t>
            </w:r>
          </w:p>
        </w:tc>
        <w:tc>
          <w:tcPr>
            <w:tcW w:w="6379" w:type="dxa"/>
            <w:vAlign w:val="center"/>
          </w:tcPr>
          <w:p w14:paraId="6AC02DB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l’Elevage</w:t>
            </w:r>
          </w:p>
          <w:p w14:paraId="69A75DDC"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des Eaux et Forêts (IREF)</w:t>
            </w:r>
          </w:p>
          <w:p w14:paraId="54C8B59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des Eaux et Forêts (IREF)</w:t>
            </w:r>
          </w:p>
          <w:p w14:paraId="32EB0E3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Division Régionale du Développement Rural (DRDR) </w:t>
            </w:r>
          </w:p>
          <w:p w14:paraId="7E8D1BD5"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Agence Régionale de Développement (ARD) </w:t>
            </w:r>
          </w:p>
          <w:p w14:paraId="0671C20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du Travail et de la Sécurité Sociale (IRTSS)</w:t>
            </w:r>
          </w:p>
          <w:p w14:paraId="552C4B25"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la Jeunesse</w:t>
            </w:r>
          </w:p>
          <w:p w14:paraId="1F4BBFC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Direction Régionale de l’Hydraulique </w:t>
            </w:r>
          </w:p>
          <w:p w14:paraId="3809205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Brigade Régional de l’Hygiène</w:t>
            </w:r>
          </w:p>
          <w:p w14:paraId="512B7F4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l'urbanisme et de l'habitat</w:t>
            </w:r>
          </w:p>
          <w:p w14:paraId="0CBEAB6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Centre des Services Fiscaux </w:t>
            </w:r>
          </w:p>
          <w:p w14:paraId="09C325E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Direction du Développement Communautaire</w:t>
            </w:r>
          </w:p>
          <w:p w14:paraId="1E91D65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Division Régionale de l’Environnement et des Etablissements Classés (DREEC) </w:t>
            </w:r>
          </w:p>
          <w:p w14:paraId="5BD80BF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l'Assainissement</w:t>
            </w:r>
          </w:p>
        </w:tc>
      </w:tr>
      <w:tr w:rsidR="00B91B2B" w:rsidRPr="00E01239" w14:paraId="7409BD31" w14:textId="77777777" w:rsidTr="00263B8A">
        <w:tc>
          <w:tcPr>
            <w:tcW w:w="2830" w:type="dxa"/>
            <w:vAlign w:val="center"/>
          </w:tcPr>
          <w:p w14:paraId="316F4583"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Collectivités territoriales</w:t>
            </w:r>
          </w:p>
        </w:tc>
        <w:tc>
          <w:tcPr>
            <w:tcW w:w="6379" w:type="dxa"/>
            <w:vAlign w:val="center"/>
          </w:tcPr>
          <w:p w14:paraId="14CA6E5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Mairie de la commune de Diourbel</w:t>
            </w:r>
          </w:p>
          <w:p w14:paraId="34F69D9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Conseil Départemental de Diourbel</w:t>
            </w:r>
          </w:p>
        </w:tc>
      </w:tr>
      <w:tr w:rsidR="00B91B2B" w:rsidRPr="00E01239" w14:paraId="78D134AD" w14:textId="77777777" w:rsidTr="00263B8A">
        <w:tc>
          <w:tcPr>
            <w:tcW w:w="2830" w:type="dxa"/>
            <w:vAlign w:val="center"/>
          </w:tcPr>
          <w:p w14:paraId="34ABF83D"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Organisations de producteurs</w:t>
            </w:r>
          </w:p>
        </w:tc>
        <w:tc>
          <w:tcPr>
            <w:tcW w:w="6379" w:type="dxa"/>
            <w:vAlign w:val="center"/>
          </w:tcPr>
          <w:p w14:paraId="445F045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Association pour le Développement de l'Aviculture de Diourbel (ADAD)</w:t>
            </w:r>
          </w:p>
          <w:p w14:paraId="0C356E32"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Association des éleveurs GIE DAAB KOLLODO</w:t>
            </w:r>
          </w:p>
        </w:tc>
      </w:tr>
      <w:tr w:rsidR="00B91B2B" w:rsidRPr="00E01239" w14:paraId="11DB09CC" w14:textId="77777777" w:rsidTr="00263B8A">
        <w:tc>
          <w:tcPr>
            <w:tcW w:w="2830" w:type="dxa"/>
            <w:vAlign w:val="center"/>
          </w:tcPr>
          <w:p w14:paraId="0CDEB9C0"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Secteur privé</w:t>
            </w:r>
          </w:p>
        </w:tc>
        <w:tc>
          <w:tcPr>
            <w:tcW w:w="6379" w:type="dxa"/>
            <w:vAlign w:val="center"/>
          </w:tcPr>
          <w:p w14:paraId="5788B99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RADIO FM</w:t>
            </w:r>
          </w:p>
          <w:p w14:paraId="3345A51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MIGRANT FM</w:t>
            </w:r>
          </w:p>
        </w:tc>
      </w:tr>
    </w:tbl>
    <w:p w14:paraId="1B13918E" w14:textId="77777777" w:rsidR="00B91B2B" w:rsidRPr="00E01239" w:rsidRDefault="00B91B2B" w:rsidP="00B91B2B">
      <w:pPr>
        <w:jc w:val="both"/>
        <w:rPr>
          <w:rFonts w:asciiTheme="minorHAnsi" w:eastAsia="Calibri" w:hAnsiTheme="minorHAnsi" w:cstheme="minorHAnsi"/>
          <w:sz w:val="22"/>
          <w:szCs w:val="22"/>
          <w:lang w:eastAsia="en-US"/>
        </w:rPr>
      </w:pPr>
    </w:p>
    <w:p w14:paraId="58C3C223" w14:textId="77777777" w:rsidR="00B91B2B" w:rsidRPr="00E01239" w:rsidRDefault="00B91B2B" w:rsidP="00B91B2B">
      <w:pPr>
        <w:rPr>
          <w:rFonts w:asciiTheme="minorHAnsi" w:hAnsiTheme="minorHAnsi" w:cstheme="minorHAnsi"/>
          <w:lang w:eastAsia="en-US"/>
        </w:rPr>
      </w:pPr>
      <w:bookmarkStart w:id="1045" w:name="_Toc131608970"/>
    </w:p>
    <w:p w14:paraId="68FB927A" w14:textId="2110150E" w:rsidR="00B91B2B" w:rsidRPr="00E01239" w:rsidRDefault="00B91B2B" w:rsidP="0021506F">
      <w:pPr>
        <w:keepNext/>
        <w:jc w:val="center"/>
        <w:rPr>
          <w:rFonts w:asciiTheme="minorHAnsi" w:eastAsia="Calibri" w:hAnsiTheme="minorHAnsi" w:cstheme="minorHAnsi"/>
          <w:iCs/>
          <w:sz w:val="22"/>
          <w:szCs w:val="18"/>
          <w:lang w:eastAsia="en-US"/>
        </w:rPr>
      </w:pPr>
      <w:bookmarkStart w:id="1046" w:name="_Toc142583026"/>
      <w:bookmarkStart w:id="1047" w:name="_Toc144654204"/>
      <w:r w:rsidRPr="00E01239">
        <w:rPr>
          <w:rFonts w:asciiTheme="minorHAnsi" w:eastAsia="Calibri" w:hAnsiTheme="minorHAnsi" w:cstheme="minorHAnsi"/>
          <w:b/>
          <w:iCs/>
          <w:sz w:val="22"/>
          <w:szCs w:val="18"/>
          <w:lang w:eastAsia="en-US"/>
        </w:rPr>
        <w:lastRenderedPageBreak/>
        <w:t>Tableau</w:t>
      </w:r>
      <w:r w:rsidR="00B203AB" w:rsidRPr="00E01239">
        <w:rPr>
          <w:rFonts w:asciiTheme="minorHAnsi" w:eastAsia="Calibri" w:hAnsiTheme="minorHAnsi" w:cstheme="minorHAnsi"/>
          <w:b/>
          <w:iCs/>
          <w:sz w:val="22"/>
          <w:szCs w:val="18"/>
          <w:lang w:eastAsia="en-US"/>
        </w:rPr>
        <w:t>25</w:t>
      </w:r>
      <w:r w:rsidRPr="00E01239">
        <w:rPr>
          <w:rFonts w:asciiTheme="minorHAnsi" w:eastAsia="Calibri" w:hAnsiTheme="minorHAnsi" w:cstheme="minorHAnsi"/>
          <w:b/>
          <w:iCs/>
          <w:sz w:val="22"/>
          <w:szCs w:val="18"/>
          <w:lang w:eastAsia="en-US"/>
        </w:rPr>
        <w:t xml:space="preserve"> : </w:t>
      </w:r>
      <w:bookmarkStart w:id="1048" w:name="_Hlk141961365"/>
      <w:r w:rsidRPr="00E01239">
        <w:rPr>
          <w:rFonts w:asciiTheme="minorHAnsi" w:eastAsia="Calibri" w:hAnsiTheme="minorHAnsi" w:cstheme="minorHAnsi"/>
          <w:iCs/>
          <w:sz w:val="22"/>
          <w:szCs w:val="18"/>
          <w:lang w:eastAsia="en-US"/>
        </w:rPr>
        <w:t>Liste des parties prenantes consultées dans la région de Kaolack</w:t>
      </w:r>
      <w:bookmarkEnd w:id="1045"/>
      <w:bookmarkEnd w:id="1046"/>
      <w:bookmarkEnd w:id="1047"/>
    </w:p>
    <w:tbl>
      <w:tblPr>
        <w:tblStyle w:val="SGSTableBasic14"/>
        <w:tblW w:w="9209" w:type="dxa"/>
        <w:tblLook w:val="04A0" w:firstRow="1" w:lastRow="0" w:firstColumn="1" w:lastColumn="0" w:noHBand="0" w:noVBand="1"/>
      </w:tblPr>
      <w:tblGrid>
        <w:gridCol w:w="2263"/>
        <w:gridCol w:w="6946"/>
      </w:tblGrid>
      <w:tr w:rsidR="00B91B2B" w:rsidRPr="00E01239" w14:paraId="5D53B82B" w14:textId="77777777" w:rsidTr="00263B8A">
        <w:trPr>
          <w:tblHeader/>
        </w:trPr>
        <w:tc>
          <w:tcPr>
            <w:tcW w:w="2263" w:type="dxa"/>
            <w:shd w:val="clear" w:color="auto" w:fill="1F3864" w:themeFill="accent5" w:themeFillShade="80"/>
            <w:vAlign w:val="center"/>
          </w:tcPr>
          <w:p w14:paraId="162F4364"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Catégorie</w:t>
            </w:r>
          </w:p>
        </w:tc>
        <w:tc>
          <w:tcPr>
            <w:tcW w:w="6946" w:type="dxa"/>
            <w:shd w:val="clear" w:color="auto" w:fill="1F3864" w:themeFill="accent5" w:themeFillShade="80"/>
            <w:vAlign w:val="center"/>
          </w:tcPr>
          <w:p w14:paraId="2E390A7A"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Désignation</w:t>
            </w:r>
          </w:p>
        </w:tc>
      </w:tr>
      <w:tr w:rsidR="00B91B2B" w:rsidRPr="00E01239" w14:paraId="52C03800" w14:textId="77777777" w:rsidTr="008C0C70">
        <w:tc>
          <w:tcPr>
            <w:tcW w:w="2263" w:type="dxa"/>
            <w:vAlign w:val="center"/>
          </w:tcPr>
          <w:p w14:paraId="6FCD3F42" w14:textId="77777777" w:rsidR="00B91B2B" w:rsidRPr="00E01239" w:rsidRDefault="00B91B2B" w:rsidP="00027669">
            <w:pPr>
              <w:numPr>
                <w:ilvl w:val="0"/>
                <w:numId w:val="149"/>
              </w:numPr>
              <w:tabs>
                <w:tab w:val="left" w:pos="3093"/>
              </w:tabs>
              <w:jc w:val="both"/>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Autorités publiques déconcentrées</w:t>
            </w:r>
          </w:p>
        </w:tc>
        <w:tc>
          <w:tcPr>
            <w:tcW w:w="6946" w:type="dxa"/>
            <w:vAlign w:val="center"/>
          </w:tcPr>
          <w:p w14:paraId="3000A78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Gouvernance de Kaolack </w:t>
            </w:r>
          </w:p>
          <w:p w14:paraId="2428F80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Préfecture de Nioro</w:t>
            </w:r>
          </w:p>
        </w:tc>
      </w:tr>
      <w:tr w:rsidR="00B91B2B" w:rsidRPr="00E01239" w14:paraId="2DF32F9B" w14:textId="77777777" w:rsidTr="008C0C70">
        <w:tc>
          <w:tcPr>
            <w:tcW w:w="2263" w:type="dxa"/>
            <w:vAlign w:val="center"/>
          </w:tcPr>
          <w:p w14:paraId="333143D3" w14:textId="77777777" w:rsidR="00B91B2B" w:rsidRPr="00E01239" w:rsidRDefault="00B91B2B" w:rsidP="00027669">
            <w:pPr>
              <w:numPr>
                <w:ilvl w:val="0"/>
                <w:numId w:val="149"/>
              </w:numPr>
              <w:tabs>
                <w:tab w:val="left" w:pos="3093"/>
              </w:tabs>
              <w:jc w:val="both"/>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Services techniques déconcentrés</w:t>
            </w:r>
          </w:p>
        </w:tc>
        <w:tc>
          <w:tcPr>
            <w:tcW w:w="6946" w:type="dxa"/>
            <w:vAlign w:val="center"/>
          </w:tcPr>
          <w:p w14:paraId="0403B7B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Agence Régionale de Développement (ARD) </w:t>
            </w:r>
          </w:p>
          <w:p w14:paraId="1DACAF72" w14:textId="7871CEB1"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Brigade Régional</w:t>
            </w:r>
            <w:r w:rsidR="001B508D">
              <w:rPr>
                <w:rFonts w:asciiTheme="minorHAnsi" w:hAnsiTheme="minorHAnsi" w:cstheme="minorHAnsi"/>
                <w:sz w:val="20"/>
                <w:szCs w:val="20"/>
                <w:lang w:val="fr-FR" w:eastAsia="fr-CA"/>
              </w:rPr>
              <w:t>e</w:t>
            </w:r>
            <w:r w:rsidRPr="00E01239">
              <w:rPr>
                <w:rFonts w:asciiTheme="minorHAnsi" w:hAnsiTheme="minorHAnsi" w:cstheme="minorHAnsi"/>
                <w:sz w:val="20"/>
                <w:szCs w:val="20"/>
                <w:lang w:val="fr-FR" w:eastAsia="fr-CA"/>
              </w:rPr>
              <w:t xml:space="preserve"> de l’Hygiène ;</w:t>
            </w:r>
          </w:p>
          <w:p w14:paraId="04D35D7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l’Environnement et des Etablissements Classés (DREEC) </w:t>
            </w:r>
          </w:p>
          <w:p w14:paraId="3BB568C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des Eaux et Forêts (IREF) </w:t>
            </w:r>
          </w:p>
          <w:p w14:paraId="3981B69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de la Promotion et du Développement Territorial ;</w:t>
            </w:r>
          </w:p>
          <w:p w14:paraId="4046BB5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l'Assainissement ;</w:t>
            </w:r>
          </w:p>
          <w:p w14:paraId="748CBA9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Service Régional du Cadastre ; </w:t>
            </w:r>
          </w:p>
          <w:p w14:paraId="55DEF41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Service Régional de l’Elevage ; </w:t>
            </w:r>
          </w:p>
          <w:p w14:paraId="654804D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du Développement Rural (DRDR) </w:t>
            </w:r>
          </w:p>
          <w:p w14:paraId="16EE225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Assistance Educative en Milieu Ouvert (AEMO) </w:t>
            </w:r>
          </w:p>
          <w:p w14:paraId="48A9327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du Développement Rural (SDDR) de Kaolack ;</w:t>
            </w:r>
          </w:p>
          <w:p w14:paraId="1E01A93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l'urbanisme et de l'habitat ;</w:t>
            </w:r>
          </w:p>
          <w:p w14:paraId="40C48BDA"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 Service Départemental de l'élevage et des Productions Animales de NIORO ;</w:t>
            </w:r>
          </w:p>
          <w:p w14:paraId="4F35F5D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du Développement Rural (SDDR) de NIORO ;</w:t>
            </w:r>
          </w:p>
          <w:p w14:paraId="64265762"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l'Action Sociale ;</w:t>
            </w:r>
          </w:p>
        </w:tc>
      </w:tr>
      <w:tr w:rsidR="00B91B2B" w:rsidRPr="00E01239" w14:paraId="31BBE002" w14:textId="77777777" w:rsidTr="008C0C70">
        <w:tc>
          <w:tcPr>
            <w:tcW w:w="2263" w:type="dxa"/>
            <w:vAlign w:val="center"/>
          </w:tcPr>
          <w:p w14:paraId="65762173" w14:textId="77777777" w:rsidR="00B91B2B" w:rsidRPr="00E01239" w:rsidRDefault="00B91B2B" w:rsidP="00027669">
            <w:pPr>
              <w:numPr>
                <w:ilvl w:val="0"/>
                <w:numId w:val="149"/>
              </w:numPr>
              <w:tabs>
                <w:tab w:val="left" w:pos="3093"/>
              </w:tabs>
              <w:jc w:val="both"/>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Collectivités territoriales</w:t>
            </w:r>
          </w:p>
        </w:tc>
        <w:tc>
          <w:tcPr>
            <w:tcW w:w="6946" w:type="dxa"/>
            <w:vAlign w:val="center"/>
          </w:tcPr>
          <w:p w14:paraId="7FEE384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Mairie de la commune de NIORO</w:t>
            </w:r>
          </w:p>
          <w:p w14:paraId="70F2E80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Conseil Départemental NIORO</w:t>
            </w:r>
          </w:p>
        </w:tc>
      </w:tr>
      <w:tr w:rsidR="00B91B2B" w:rsidRPr="00E01239" w14:paraId="0CFBEEF1" w14:textId="77777777" w:rsidTr="008C0C70">
        <w:tc>
          <w:tcPr>
            <w:tcW w:w="2263" w:type="dxa"/>
            <w:vAlign w:val="center"/>
          </w:tcPr>
          <w:p w14:paraId="0F8D7EA0" w14:textId="77777777" w:rsidR="00B91B2B" w:rsidRPr="00E01239" w:rsidRDefault="00B91B2B" w:rsidP="00027669">
            <w:pPr>
              <w:numPr>
                <w:ilvl w:val="0"/>
                <w:numId w:val="149"/>
              </w:numPr>
              <w:tabs>
                <w:tab w:val="left" w:pos="3093"/>
              </w:tabs>
              <w:jc w:val="both"/>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Organisations de producteurs</w:t>
            </w:r>
          </w:p>
        </w:tc>
        <w:tc>
          <w:tcPr>
            <w:tcW w:w="6946" w:type="dxa"/>
            <w:vAlign w:val="center"/>
          </w:tcPr>
          <w:p w14:paraId="423F880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Maison Des Eleveurs (MDE)</w:t>
            </w:r>
          </w:p>
          <w:p w14:paraId="1A53695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Directoire Régional des Femmes en Elevage (DIRFEL)</w:t>
            </w:r>
          </w:p>
        </w:tc>
      </w:tr>
    </w:tbl>
    <w:p w14:paraId="380A54F7" w14:textId="77777777" w:rsidR="00B91B2B" w:rsidRPr="00E01239" w:rsidRDefault="00B91B2B" w:rsidP="00B91B2B">
      <w:pPr>
        <w:keepNext/>
        <w:spacing w:after="200"/>
        <w:rPr>
          <w:rFonts w:asciiTheme="minorHAnsi" w:eastAsia="Calibri" w:hAnsiTheme="minorHAnsi" w:cstheme="minorHAnsi"/>
          <w:iCs/>
          <w:sz w:val="22"/>
          <w:szCs w:val="18"/>
          <w:lang w:eastAsia="en-US"/>
        </w:rPr>
      </w:pPr>
    </w:p>
    <w:p w14:paraId="7F6A5128" w14:textId="2716437F" w:rsidR="00B91B2B" w:rsidRPr="00E01239" w:rsidRDefault="00B91B2B" w:rsidP="0021506F">
      <w:pPr>
        <w:pStyle w:val="Lgende"/>
        <w:keepNext/>
        <w:jc w:val="center"/>
        <w:rPr>
          <w:rFonts w:asciiTheme="minorHAnsi" w:hAnsiTheme="minorHAnsi" w:cstheme="minorHAnsi"/>
          <w:b w:val="0"/>
          <w:i/>
        </w:rPr>
      </w:pPr>
      <w:bookmarkStart w:id="1049" w:name="_Toc142583027"/>
      <w:bookmarkStart w:id="1050" w:name="_Toc144654205"/>
      <w:bookmarkEnd w:id="1048"/>
      <w:r w:rsidRPr="00E01239">
        <w:rPr>
          <w:rFonts w:asciiTheme="minorHAnsi" w:eastAsia="Calibri" w:hAnsiTheme="minorHAnsi" w:cstheme="minorHAnsi"/>
          <w:sz w:val="22"/>
        </w:rPr>
        <w:t>Tableau</w:t>
      </w:r>
      <w:r w:rsidR="00B203AB" w:rsidRPr="00E01239">
        <w:rPr>
          <w:rFonts w:asciiTheme="minorHAnsi" w:eastAsia="Calibri" w:hAnsiTheme="minorHAnsi" w:cstheme="minorHAnsi"/>
          <w:sz w:val="22"/>
        </w:rPr>
        <w:t>26</w:t>
      </w:r>
      <w:r w:rsidRPr="00E01239">
        <w:rPr>
          <w:rFonts w:asciiTheme="minorHAnsi" w:hAnsiTheme="minorHAnsi" w:cstheme="minorHAnsi"/>
        </w:rPr>
        <w:t> :</w:t>
      </w:r>
      <w:r w:rsidRPr="00E01239">
        <w:rPr>
          <w:rFonts w:asciiTheme="minorHAnsi" w:eastAsia="Calibri" w:hAnsiTheme="minorHAnsi" w:cstheme="minorHAnsi"/>
          <w:sz w:val="22"/>
        </w:rPr>
        <w:t xml:space="preserve"> Liste des parties prenantes consultées dans la région de Louga</w:t>
      </w:r>
      <w:bookmarkEnd w:id="1049"/>
      <w:bookmarkEnd w:id="1050"/>
    </w:p>
    <w:tbl>
      <w:tblPr>
        <w:tblStyle w:val="SGSTableBasic14"/>
        <w:tblW w:w="9209" w:type="dxa"/>
        <w:tblLook w:val="04A0" w:firstRow="1" w:lastRow="0" w:firstColumn="1" w:lastColumn="0" w:noHBand="0" w:noVBand="1"/>
      </w:tblPr>
      <w:tblGrid>
        <w:gridCol w:w="2830"/>
        <w:gridCol w:w="6379"/>
      </w:tblGrid>
      <w:tr w:rsidR="00B91B2B" w:rsidRPr="00E01239" w14:paraId="608B76EA" w14:textId="77777777" w:rsidTr="00263B8A">
        <w:trPr>
          <w:tblHeader/>
        </w:trPr>
        <w:tc>
          <w:tcPr>
            <w:tcW w:w="2830" w:type="dxa"/>
            <w:shd w:val="clear" w:color="auto" w:fill="1F3864" w:themeFill="accent5" w:themeFillShade="80"/>
            <w:vAlign w:val="center"/>
          </w:tcPr>
          <w:p w14:paraId="2CB86C09"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Catégorie</w:t>
            </w:r>
          </w:p>
        </w:tc>
        <w:tc>
          <w:tcPr>
            <w:tcW w:w="6379" w:type="dxa"/>
            <w:shd w:val="clear" w:color="auto" w:fill="1F3864" w:themeFill="accent5" w:themeFillShade="80"/>
            <w:vAlign w:val="center"/>
          </w:tcPr>
          <w:p w14:paraId="3A155C87"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Désignation</w:t>
            </w:r>
          </w:p>
        </w:tc>
      </w:tr>
      <w:tr w:rsidR="00B91B2B" w:rsidRPr="00E01239" w14:paraId="5EC39121" w14:textId="77777777" w:rsidTr="008C0C70">
        <w:tc>
          <w:tcPr>
            <w:tcW w:w="2830" w:type="dxa"/>
            <w:vAlign w:val="center"/>
          </w:tcPr>
          <w:p w14:paraId="615DE0F9" w14:textId="77777777" w:rsidR="00B91B2B" w:rsidRPr="00E01239" w:rsidRDefault="00B91B2B" w:rsidP="00027669">
            <w:pPr>
              <w:numPr>
                <w:ilvl w:val="0"/>
                <w:numId w:val="149"/>
              </w:numPr>
              <w:tabs>
                <w:tab w:val="left" w:pos="3093"/>
              </w:tabs>
              <w:jc w:val="both"/>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Autorités publiques déconcentrées</w:t>
            </w:r>
          </w:p>
        </w:tc>
        <w:tc>
          <w:tcPr>
            <w:tcW w:w="6379" w:type="dxa"/>
            <w:vAlign w:val="center"/>
          </w:tcPr>
          <w:p w14:paraId="698C94DC"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Gouvernance Louga</w:t>
            </w:r>
          </w:p>
          <w:p w14:paraId="5137A50C"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Préfecture Linguère</w:t>
            </w:r>
          </w:p>
        </w:tc>
      </w:tr>
      <w:tr w:rsidR="00B91B2B" w:rsidRPr="00E01239" w14:paraId="1A3DBA85" w14:textId="77777777" w:rsidTr="008C0C70">
        <w:tc>
          <w:tcPr>
            <w:tcW w:w="2830" w:type="dxa"/>
            <w:vAlign w:val="center"/>
          </w:tcPr>
          <w:p w14:paraId="0FA37BAE" w14:textId="77777777" w:rsidR="00B91B2B" w:rsidRPr="00E01239" w:rsidRDefault="00B91B2B" w:rsidP="00027669">
            <w:pPr>
              <w:numPr>
                <w:ilvl w:val="0"/>
                <w:numId w:val="149"/>
              </w:numPr>
              <w:tabs>
                <w:tab w:val="left" w:pos="3093"/>
              </w:tabs>
              <w:jc w:val="both"/>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Services techniques déconcentrés</w:t>
            </w:r>
          </w:p>
        </w:tc>
        <w:tc>
          <w:tcPr>
            <w:tcW w:w="6379" w:type="dxa"/>
            <w:vAlign w:val="center"/>
          </w:tcPr>
          <w:p w14:paraId="0DCC69C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Agence Régionale de Développement (ARD) </w:t>
            </w:r>
          </w:p>
          <w:p w14:paraId="7602A72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Direction Régionale du Développement Communautaire </w:t>
            </w:r>
          </w:p>
          <w:p w14:paraId="5ED41F72"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l'Assainissement </w:t>
            </w:r>
          </w:p>
          <w:p w14:paraId="0AC737F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du Cadastre </w:t>
            </w:r>
          </w:p>
          <w:p w14:paraId="17BA2F7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l'urbanisme et de l'habitat </w:t>
            </w:r>
          </w:p>
          <w:p w14:paraId="5CBB6E9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Centre des Services Fiscaux </w:t>
            </w:r>
          </w:p>
          <w:p w14:paraId="1D8ECE4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Division Régionale du Développement Rural (DRDR) </w:t>
            </w:r>
          </w:p>
          <w:p w14:paraId="0A8C6CD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Service Régional de l'élevage et des Productions Animales (SDELPA) </w:t>
            </w:r>
          </w:p>
          <w:p w14:paraId="48371412"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du Développement Rural (SDDR) </w:t>
            </w:r>
          </w:p>
          <w:p w14:paraId="0409CC5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Brigade Régional de l’Hygiène </w:t>
            </w:r>
          </w:p>
          <w:p w14:paraId="06F0B1E6"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de la jeunesse </w:t>
            </w:r>
          </w:p>
          <w:p w14:paraId="5AE56FF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l'Action Sociale </w:t>
            </w:r>
          </w:p>
          <w:p w14:paraId="2F042A8C"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des Eaux et Forêts (IREF)</w:t>
            </w:r>
          </w:p>
          <w:p w14:paraId="4DE106F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Direction Régionale de l’Hydraulique ;</w:t>
            </w:r>
          </w:p>
          <w:p w14:paraId="4CD4FDD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de la Promotion et du Développement Territorial ;</w:t>
            </w:r>
          </w:p>
          <w:p w14:paraId="221BA96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Assistance Educative en Milieu Ouvert (AEMO) </w:t>
            </w:r>
          </w:p>
        </w:tc>
      </w:tr>
      <w:tr w:rsidR="00B91B2B" w:rsidRPr="00E01239" w14:paraId="250C6D3D" w14:textId="77777777" w:rsidTr="008C0C70">
        <w:tc>
          <w:tcPr>
            <w:tcW w:w="2830" w:type="dxa"/>
            <w:vAlign w:val="center"/>
          </w:tcPr>
          <w:p w14:paraId="4D293058" w14:textId="77777777" w:rsidR="00B91B2B" w:rsidRPr="00E01239" w:rsidRDefault="00B91B2B" w:rsidP="00027669">
            <w:pPr>
              <w:numPr>
                <w:ilvl w:val="0"/>
                <w:numId w:val="149"/>
              </w:numPr>
              <w:tabs>
                <w:tab w:val="left" w:pos="3093"/>
              </w:tabs>
              <w:jc w:val="both"/>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Collectivités territoriales</w:t>
            </w:r>
          </w:p>
        </w:tc>
        <w:tc>
          <w:tcPr>
            <w:tcW w:w="6379" w:type="dxa"/>
            <w:vAlign w:val="center"/>
          </w:tcPr>
          <w:p w14:paraId="40308A5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Mairie de la commune de Linguère</w:t>
            </w:r>
          </w:p>
          <w:p w14:paraId="21390F4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Conseil Départemental de Linguère</w:t>
            </w:r>
          </w:p>
        </w:tc>
      </w:tr>
      <w:tr w:rsidR="00B91B2B" w:rsidRPr="00E01239" w14:paraId="50FBFF98" w14:textId="77777777" w:rsidTr="008C0C70">
        <w:tc>
          <w:tcPr>
            <w:tcW w:w="2830" w:type="dxa"/>
            <w:vAlign w:val="center"/>
          </w:tcPr>
          <w:p w14:paraId="68C79174" w14:textId="77777777" w:rsidR="00B91B2B" w:rsidRPr="00E01239" w:rsidRDefault="00B91B2B" w:rsidP="00027669">
            <w:pPr>
              <w:numPr>
                <w:ilvl w:val="0"/>
                <w:numId w:val="149"/>
              </w:numPr>
              <w:tabs>
                <w:tab w:val="left" w:pos="3093"/>
              </w:tabs>
              <w:jc w:val="both"/>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Secteur privé</w:t>
            </w:r>
          </w:p>
        </w:tc>
        <w:tc>
          <w:tcPr>
            <w:tcW w:w="6379" w:type="dxa"/>
            <w:vAlign w:val="center"/>
          </w:tcPr>
          <w:p w14:paraId="4B23F63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Radio communautaire AIDA FM</w:t>
            </w:r>
          </w:p>
          <w:p w14:paraId="3DAA7FF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Radio communautaire </w:t>
            </w:r>
            <w:proofErr w:type="spellStart"/>
            <w:r w:rsidRPr="00E01239">
              <w:rPr>
                <w:rFonts w:asciiTheme="minorHAnsi" w:hAnsiTheme="minorHAnsi" w:cstheme="minorHAnsi"/>
                <w:sz w:val="20"/>
                <w:szCs w:val="20"/>
                <w:lang w:val="fr-FR" w:eastAsia="fr-CA"/>
              </w:rPr>
              <w:t>Jolof</w:t>
            </w:r>
            <w:proofErr w:type="spellEnd"/>
            <w:r w:rsidRPr="00E01239">
              <w:rPr>
                <w:rFonts w:asciiTheme="minorHAnsi" w:hAnsiTheme="minorHAnsi" w:cstheme="minorHAnsi"/>
                <w:sz w:val="20"/>
                <w:szCs w:val="20"/>
                <w:lang w:val="fr-FR" w:eastAsia="fr-CA"/>
              </w:rPr>
              <w:t xml:space="preserve"> FM</w:t>
            </w:r>
          </w:p>
        </w:tc>
      </w:tr>
    </w:tbl>
    <w:p w14:paraId="6E895464" w14:textId="77777777" w:rsidR="00B91B2B" w:rsidRPr="00E01239" w:rsidRDefault="00B91B2B" w:rsidP="00B91B2B">
      <w:pPr>
        <w:keepNext/>
        <w:spacing w:after="200"/>
        <w:rPr>
          <w:rFonts w:asciiTheme="minorHAnsi" w:eastAsia="Calibri" w:hAnsiTheme="minorHAnsi" w:cstheme="minorHAnsi"/>
          <w:iCs/>
          <w:sz w:val="22"/>
          <w:szCs w:val="18"/>
          <w:lang w:eastAsia="en-US"/>
        </w:rPr>
      </w:pPr>
    </w:p>
    <w:p w14:paraId="0AC1E0ED" w14:textId="77777777" w:rsidR="00814C48" w:rsidRPr="00E01239" w:rsidRDefault="00814C48">
      <w:pPr>
        <w:rPr>
          <w:rFonts w:asciiTheme="minorHAnsi" w:eastAsia="Calibri" w:hAnsiTheme="minorHAnsi" w:cstheme="minorHAnsi"/>
          <w:b/>
          <w:bCs/>
          <w:sz w:val="22"/>
          <w:szCs w:val="20"/>
        </w:rPr>
      </w:pPr>
      <w:bookmarkStart w:id="1051" w:name="_Toc142583028"/>
      <w:r w:rsidRPr="00E01239">
        <w:rPr>
          <w:rFonts w:asciiTheme="minorHAnsi" w:eastAsia="Calibri" w:hAnsiTheme="minorHAnsi" w:cstheme="minorHAnsi"/>
          <w:sz w:val="22"/>
        </w:rPr>
        <w:br w:type="page"/>
      </w:r>
    </w:p>
    <w:p w14:paraId="257768EE" w14:textId="21C2EB26" w:rsidR="00B91B2B" w:rsidRPr="00E01239" w:rsidRDefault="00B91B2B" w:rsidP="00263B8A">
      <w:pPr>
        <w:pStyle w:val="Lgende"/>
        <w:keepNext/>
        <w:jc w:val="center"/>
        <w:rPr>
          <w:rFonts w:asciiTheme="minorHAnsi" w:eastAsia="Calibri" w:hAnsiTheme="minorHAnsi" w:cstheme="minorHAnsi"/>
          <w:b w:val="0"/>
          <w:i/>
          <w:sz w:val="22"/>
        </w:rPr>
      </w:pPr>
      <w:bookmarkStart w:id="1052" w:name="_Toc144654206"/>
      <w:r w:rsidRPr="00E01239">
        <w:rPr>
          <w:rFonts w:asciiTheme="minorHAnsi" w:eastAsia="Calibri" w:hAnsiTheme="minorHAnsi" w:cstheme="minorHAnsi"/>
          <w:sz w:val="22"/>
        </w:rPr>
        <w:lastRenderedPageBreak/>
        <w:t>Tableau</w:t>
      </w:r>
      <w:proofErr w:type="gramStart"/>
      <w:r w:rsidR="00B203AB" w:rsidRPr="00E01239">
        <w:rPr>
          <w:rFonts w:asciiTheme="minorHAnsi" w:eastAsia="Calibri" w:hAnsiTheme="minorHAnsi" w:cstheme="minorHAnsi"/>
          <w:sz w:val="22"/>
        </w:rPr>
        <w:t>27</w:t>
      </w:r>
      <w:r w:rsidRPr="00E01239">
        <w:rPr>
          <w:rFonts w:asciiTheme="minorHAnsi" w:eastAsia="Calibri" w:hAnsiTheme="minorHAnsi" w:cstheme="minorHAnsi"/>
          <w:sz w:val="22"/>
        </w:rPr>
        <w:t>:</w:t>
      </w:r>
      <w:proofErr w:type="gramEnd"/>
      <w:r w:rsidRPr="00E01239">
        <w:rPr>
          <w:rFonts w:asciiTheme="minorHAnsi" w:eastAsia="Calibri" w:hAnsiTheme="minorHAnsi" w:cstheme="minorHAnsi"/>
          <w:sz w:val="22"/>
        </w:rPr>
        <w:t xml:space="preserve"> Liste des parties prenantes consultées dans la région de Ziguinchor</w:t>
      </w:r>
      <w:bookmarkEnd w:id="1051"/>
      <w:bookmarkEnd w:id="1052"/>
    </w:p>
    <w:tbl>
      <w:tblPr>
        <w:tblStyle w:val="SGSTableBasic14"/>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30"/>
        <w:gridCol w:w="6379"/>
      </w:tblGrid>
      <w:tr w:rsidR="00B91B2B" w:rsidRPr="00E01239" w14:paraId="2F1E4E89" w14:textId="77777777" w:rsidTr="00263B8A">
        <w:trPr>
          <w:tblHeader/>
        </w:trPr>
        <w:tc>
          <w:tcPr>
            <w:tcW w:w="2830" w:type="dxa"/>
            <w:shd w:val="clear" w:color="auto" w:fill="1F3864" w:themeFill="accent5" w:themeFillShade="80"/>
            <w:vAlign w:val="center"/>
          </w:tcPr>
          <w:p w14:paraId="71013BD0"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Catégorie</w:t>
            </w:r>
          </w:p>
        </w:tc>
        <w:tc>
          <w:tcPr>
            <w:tcW w:w="6379" w:type="dxa"/>
            <w:shd w:val="clear" w:color="auto" w:fill="1F3864" w:themeFill="accent5" w:themeFillShade="80"/>
            <w:vAlign w:val="center"/>
          </w:tcPr>
          <w:p w14:paraId="57609418"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Désignation</w:t>
            </w:r>
          </w:p>
        </w:tc>
      </w:tr>
      <w:tr w:rsidR="00B91B2B" w:rsidRPr="00E01239" w14:paraId="0A5F9887" w14:textId="77777777" w:rsidTr="00263B8A">
        <w:tc>
          <w:tcPr>
            <w:tcW w:w="2830" w:type="dxa"/>
            <w:vAlign w:val="center"/>
          </w:tcPr>
          <w:p w14:paraId="38B7B43D"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Autorités publiques déconcentrées</w:t>
            </w:r>
          </w:p>
        </w:tc>
        <w:tc>
          <w:tcPr>
            <w:tcW w:w="6379" w:type="dxa"/>
            <w:vAlign w:val="center"/>
          </w:tcPr>
          <w:p w14:paraId="7A8A532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Gouvernance Ziguinchor</w:t>
            </w:r>
          </w:p>
          <w:p w14:paraId="27A5454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Préfecture Bignona</w:t>
            </w:r>
          </w:p>
        </w:tc>
      </w:tr>
      <w:tr w:rsidR="00B91B2B" w:rsidRPr="00E01239" w14:paraId="3D92CF30" w14:textId="77777777" w:rsidTr="00263B8A">
        <w:tc>
          <w:tcPr>
            <w:tcW w:w="2830" w:type="dxa"/>
            <w:vAlign w:val="center"/>
          </w:tcPr>
          <w:p w14:paraId="106B1D75"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Services techniques déconcentrés</w:t>
            </w:r>
          </w:p>
        </w:tc>
        <w:tc>
          <w:tcPr>
            <w:tcW w:w="6379" w:type="dxa"/>
            <w:vAlign w:val="center"/>
          </w:tcPr>
          <w:p w14:paraId="7855BDA2"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Départemental du Développement Rural (SDDR) de Bignona</w:t>
            </w:r>
          </w:p>
          <w:p w14:paraId="0C58EF8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Assistance Educative en Milieu Ouvert (AEMO) </w:t>
            </w:r>
          </w:p>
          <w:p w14:paraId="4AE9FBAA"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des Eaux et Forêts (IREF) </w:t>
            </w:r>
          </w:p>
          <w:p w14:paraId="0D6878A3"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Commissariat à la Sécurité Alimentaire (CSA) </w:t>
            </w:r>
          </w:p>
          <w:p w14:paraId="7BE8AA73"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du Développement Rural (DRDR) </w:t>
            </w:r>
          </w:p>
          <w:p w14:paraId="27E0088C" w14:textId="08D7B36A"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Brigade Régional</w:t>
            </w:r>
            <w:r w:rsidR="004C3FD5">
              <w:rPr>
                <w:rFonts w:asciiTheme="minorHAnsi" w:hAnsiTheme="minorHAnsi" w:cstheme="minorHAnsi"/>
                <w:sz w:val="20"/>
                <w:szCs w:val="20"/>
                <w:lang w:val="fr-FR" w:eastAsia="fr-CA"/>
              </w:rPr>
              <w:t>e</w:t>
            </w:r>
            <w:r w:rsidRPr="00E01239">
              <w:rPr>
                <w:rFonts w:asciiTheme="minorHAnsi" w:hAnsiTheme="minorHAnsi" w:cstheme="minorHAnsi"/>
                <w:sz w:val="20"/>
                <w:szCs w:val="20"/>
                <w:lang w:val="fr-FR" w:eastAsia="fr-CA"/>
              </w:rPr>
              <w:t xml:space="preserve"> de l’Hygiène</w:t>
            </w:r>
          </w:p>
          <w:p w14:paraId="58B4A59F"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Inspection Régionale du Travail et de la Sécurité Sociale (IRTSS)</w:t>
            </w:r>
          </w:p>
          <w:p w14:paraId="2542988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du Cadastre </w:t>
            </w:r>
          </w:p>
          <w:p w14:paraId="06E2761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Centre des Services Fiscaux </w:t>
            </w:r>
          </w:p>
          <w:p w14:paraId="38D944A5"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Direction Régionale de l’Hydraulique </w:t>
            </w:r>
          </w:p>
          <w:p w14:paraId="022B443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l’Environnement et des Etablissements Classés (DREEC) ;</w:t>
            </w:r>
          </w:p>
          <w:p w14:paraId="50E39B8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d'Action Sociale (SRAS)</w:t>
            </w:r>
          </w:p>
          <w:p w14:paraId="46D2B62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Service Régional de l'élevage et des Productions Animales (SPELPA) ; </w:t>
            </w:r>
          </w:p>
          <w:p w14:paraId="1CA2EFC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Agence Régionale de Développement (ARD) </w:t>
            </w:r>
          </w:p>
          <w:p w14:paraId="31D5779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Division Régionale de l'Assainissement </w:t>
            </w:r>
          </w:p>
          <w:p w14:paraId="6558BA15"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Région Médicale Ziguinchor </w:t>
            </w:r>
          </w:p>
          <w:p w14:paraId="17E7B19D"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Assistance Educative en Milieu Ouvert (AEMO) </w:t>
            </w:r>
          </w:p>
          <w:p w14:paraId="2E95A2C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Direction Régionale du Développement Communautaire et de la Promotion de l'Équité (DRDCPE) </w:t>
            </w:r>
          </w:p>
        </w:tc>
      </w:tr>
      <w:tr w:rsidR="00B91B2B" w:rsidRPr="00E01239" w14:paraId="387FDFF6" w14:textId="77777777" w:rsidTr="00263B8A">
        <w:tc>
          <w:tcPr>
            <w:tcW w:w="2830" w:type="dxa"/>
            <w:vAlign w:val="center"/>
          </w:tcPr>
          <w:p w14:paraId="442339EE"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Collectivités territoriales</w:t>
            </w:r>
          </w:p>
        </w:tc>
        <w:tc>
          <w:tcPr>
            <w:tcW w:w="6379" w:type="dxa"/>
            <w:vAlign w:val="center"/>
          </w:tcPr>
          <w:p w14:paraId="167242F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Mairie de la commune Bignona</w:t>
            </w:r>
          </w:p>
        </w:tc>
      </w:tr>
      <w:tr w:rsidR="00B91B2B" w:rsidRPr="00E01239" w14:paraId="47CF9829" w14:textId="77777777" w:rsidTr="00263B8A">
        <w:tc>
          <w:tcPr>
            <w:tcW w:w="2830" w:type="dxa"/>
            <w:vAlign w:val="center"/>
          </w:tcPr>
          <w:p w14:paraId="1CBFBF3B"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Organisations de producteurs</w:t>
            </w:r>
          </w:p>
        </w:tc>
        <w:tc>
          <w:tcPr>
            <w:tcW w:w="6379" w:type="dxa"/>
            <w:vAlign w:val="center"/>
          </w:tcPr>
          <w:p w14:paraId="0317EC4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Maison Des Eleveurs (MDE)</w:t>
            </w:r>
          </w:p>
        </w:tc>
      </w:tr>
      <w:tr w:rsidR="00B91B2B" w:rsidRPr="00E01239" w14:paraId="42D63F1A" w14:textId="77777777" w:rsidTr="00263B8A">
        <w:tc>
          <w:tcPr>
            <w:tcW w:w="2830" w:type="dxa"/>
            <w:vAlign w:val="center"/>
          </w:tcPr>
          <w:p w14:paraId="020D443A"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Groupement de Promotion Féminine (GPF)</w:t>
            </w:r>
          </w:p>
        </w:tc>
        <w:tc>
          <w:tcPr>
            <w:tcW w:w="6379" w:type="dxa"/>
            <w:vAlign w:val="center"/>
          </w:tcPr>
          <w:p w14:paraId="51FF1BB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GPF Commune de Bignona </w:t>
            </w:r>
          </w:p>
        </w:tc>
      </w:tr>
      <w:tr w:rsidR="00B91B2B" w:rsidRPr="00E01239" w14:paraId="2CFFA6EF" w14:textId="77777777" w:rsidTr="00263B8A">
        <w:tc>
          <w:tcPr>
            <w:tcW w:w="2830" w:type="dxa"/>
            <w:vAlign w:val="center"/>
          </w:tcPr>
          <w:p w14:paraId="303FA535"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Organisations de la société civile (OSC)</w:t>
            </w:r>
          </w:p>
        </w:tc>
        <w:tc>
          <w:tcPr>
            <w:tcW w:w="6379" w:type="dxa"/>
            <w:vAlign w:val="center"/>
          </w:tcPr>
          <w:p w14:paraId="14B1B727"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Association des Juristes Sénégalaises Boutique de Droit </w:t>
            </w:r>
          </w:p>
          <w:p w14:paraId="00CBFEEE"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Centre </w:t>
            </w:r>
            <w:proofErr w:type="spellStart"/>
            <w:r w:rsidRPr="00E01239">
              <w:rPr>
                <w:rFonts w:asciiTheme="minorHAnsi" w:hAnsiTheme="minorHAnsi" w:cstheme="minorHAnsi"/>
                <w:sz w:val="20"/>
                <w:szCs w:val="20"/>
                <w:lang w:val="fr-FR" w:eastAsia="fr-CA"/>
              </w:rPr>
              <w:t>Kullimaaroo</w:t>
            </w:r>
            <w:proofErr w:type="spellEnd"/>
          </w:p>
        </w:tc>
      </w:tr>
      <w:tr w:rsidR="00B91B2B" w:rsidRPr="00E01239" w14:paraId="565A4A8C" w14:textId="77777777" w:rsidTr="00263B8A">
        <w:tc>
          <w:tcPr>
            <w:tcW w:w="2830" w:type="dxa"/>
            <w:vAlign w:val="center"/>
          </w:tcPr>
          <w:p w14:paraId="66B3FAAF"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Acteurs Communautaires</w:t>
            </w:r>
          </w:p>
        </w:tc>
        <w:tc>
          <w:tcPr>
            <w:tcW w:w="6379" w:type="dxa"/>
            <w:vAlign w:val="center"/>
          </w:tcPr>
          <w:p w14:paraId="21A50B71"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proofErr w:type="spellStart"/>
            <w:r w:rsidRPr="00E01239">
              <w:rPr>
                <w:rFonts w:asciiTheme="minorHAnsi" w:hAnsiTheme="minorHAnsi" w:cstheme="minorHAnsi"/>
                <w:sz w:val="20"/>
                <w:szCs w:val="20"/>
                <w:lang w:val="fr-FR" w:eastAsia="fr-CA"/>
              </w:rPr>
              <w:t>Badiennou</w:t>
            </w:r>
            <w:proofErr w:type="spellEnd"/>
            <w:r w:rsidRPr="00E01239">
              <w:rPr>
                <w:rFonts w:asciiTheme="minorHAnsi" w:hAnsiTheme="minorHAnsi" w:cstheme="minorHAnsi"/>
                <w:sz w:val="20"/>
                <w:szCs w:val="20"/>
                <w:lang w:val="fr-FR" w:eastAsia="fr-CA"/>
              </w:rPr>
              <w:t xml:space="preserve"> </w:t>
            </w:r>
            <w:proofErr w:type="spellStart"/>
            <w:r w:rsidRPr="00E01239">
              <w:rPr>
                <w:rFonts w:asciiTheme="minorHAnsi" w:hAnsiTheme="minorHAnsi" w:cstheme="minorHAnsi"/>
                <w:sz w:val="20"/>
                <w:szCs w:val="20"/>
                <w:lang w:val="fr-FR" w:eastAsia="fr-CA"/>
              </w:rPr>
              <w:t>Gokh</w:t>
            </w:r>
            <w:proofErr w:type="spellEnd"/>
            <w:r w:rsidRPr="00E01239">
              <w:rPr>
                <w:rFonts w:asciiTheme="minorHAnsi" w:hAnsiTheme="minorHAnsi" w:cstheme="minorHAnsi"/>
                <w:sz w:val="20"/>
                <w:szCs w:val="20"/>
                <w:lang w:val="fr-FR" w:eastAsia="fr-CA"/>
              </w:rPr>
              <w:t xml:space="preserve"> Ziguinchor</w:t>
            </w:r>
          </w:p>
          <w:p w14:paraId="53B4B395"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proofErr w:type="spellStart"/>
            <w:r w:rsidRPr="00E01239">
              <w:rPr>
                <w:rFonts w:asciiTheme="minorHAnsi" w:hAnsiTheme="minorHAnsi" w:cstheme="minorHAnsi"/>
                <w:sz w:val="20"/>
                <w:szCs w:val="20"/>
                <w:lang w:val="fr-FR" w:eastAsia="fr-CA"/>
              </w:rPr>
              <w:t>Badiennou</w:t>
            </w:r>
            <w:proofErr w:type="spellEnd"/>
            <w:r w:rsidRPr="00E01239">
              <w:rPr>
                <w:rFonts w:asciiTheme="minorHAnsi" w:hAnsiTheme="minorHAnsi" w:cstheme="minorHAnsi"/>
                <w:sz w:val="20"/>
                <w:szCs w:val="20"/>
                <w:lang w:val="fr-FR" w:eastAsia="fr-CA"/>
              </w:rPr>
              <w:t xml:space="preserve"> </w:t>
            </w:r>
            <w:proofErr w:type="spellStart"/>
            <w:r w:rsidRPr="00E01239">
              <w:rPr>
                <w:rFonts w:asciiTheme="minorHAnsi" w:hAnsiTheme="minorHAnsi" w:cstheme="minorHAnsi"/>
                <w:sz w:val="20"/>
                <w:szCs w:val="20"/>
                <w:lang w:val="fr-FR" w:eastAsia="fr-CA"/>
              </w:rPr>
              <w:t>Gokh</w:t>
            </w:r>
            <w:proofErr w:type="spellEnd"/>
            <w:r w:rsidRPr="00E01239">
              <w:rPr>
                <w:rFonts w:asciiTheme="minorHAnsi" w:hAnsiTheme="minorHAnsi" w:cstheme="minorHAnsi"/>
                <w:sz w:val="20"/>
                <w:szCs w:val="20"/>
                <w:lang w:val="fr-FR" w:eastAsia="fr-CA"/>
              </w:rPr>
              <w:t xml:space="preserve"> Bignona </w:t>
            </w:r>
          </w:p>
        </w:tc>
      </w:tr>
      <w:tr w:rsidR="00B91B2B" w:rsidRPr="00E01239" w14:paraId="7D943ED6" w14:textId="77777777" w:rsidTr="00263B8A">
        <w:tc>
          <w:tcPr>
            <w:tcW w:w="2830" w:type="dxa"/>
            <w:vAlign w:val="center"/>
          </w:tcPr>
          <w:p w14:paraId="60EABA85"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Secteur privé</w:t>
            </w:r>
          </w:p>
        </w:tc>
        <w:tc>
          <w:tcPr>
            <w:tcW w:w="6379" w:type="dxa"/>
            <w:vAlign w:val="center"/>
          </w:tcPr>
          <w:p w14:paraId="28025C1B"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Radio FM </w:t>
            </w:r>
            <w:proofErr w:type="spellStart"/>
            <w:r w:rsidRPr="00E01239">
              <w:rPr>
                <w:rFonts w:asciiTheme="minorHAnsi" w:hAnsiTheme="minorHAnsi" w:cstheme="minorHAnsi"/>
                <w:sz w:val="20"/>
                <w:szCs w:val="20"/>
                <w:lang w:val="fr-FR" w:eastAsia="fr-CA"/>
              </w:rPr>
              <w:t>Awagna</w:t>
            </w:r>
            <w:proofErr w:type="spellEnd"/>
          </w:p>
        </w:tc>
      </w:tr>
    </w:tbl>
    <w:p w14:paraId="3B3B9F70" w14:textId="77777777" w:rsidR="00B91B2B" w:rsidRPr="00E01239" w:rsidRDefault="00B91B2B" w:rsidP="00B91B2B">
      <w:pPr>
        <w:keepNext/>
        <w:spacing w:after="200"/>
        <w:rPr>
          <w:rFonts w:asciiTheme="minorHAnsi" w:eastAsia="Calibri" w:hAnsiTheme="minorHAnsi" w:cstheme="minorHAnsi"/>
          <w:iCs/>
          <w:sz w:val="22"/>
          <w:szCs w:val="18"/>
          <w:lang w:eastAsia="en-US"/>
        </w:rPr>
      </w:pPr>
    </w:p>
    <w:p w14:paraId="796063BA" w14:textId="6DA3896A" w:rsidR="00B91B2B" w:rsidRPr="00E01239" w:rsidRDefault="00B91B2B" w:rsidP="00263B8A">
      <w:pPr>
        <w:pStyle w:val="Lgende"/>
        <w:keepNext/>
        <w:jc w:val="center"/>
        <w:rPr>
          <w:rFonts w:asciiTheme="minorHAnsi" w:eastAsia="Calibri" w:hAnsiTheme="minorHAnsi" w:cstheme="minorHAnsi"/>
          <w:i/>
          <w:sz w:val="22"/>
        </w:rPr>
      </w:pPr>
      <w:bookmarkStart w:id="1053" w:name="_Toc142583029"/>
      <w:bookmarkStart w:id="1054" w:name="_Toc144654207"/>
      <w:r w:rsidRPr="00E01239">
        <w:rPr>
          <w:rFonts w:asciiTheme="minorHAnsi" w:eastAsia="Calibri" w:hAnsiTheme="minorHAnsi" w:cstheme="minorHAnsi"/>
          <w:sz w:val="22"/>
        </w:rPr>
        <w:t>Tableau</w:t>
      </w:r>
      <w:r w:rsidR="00B203AB" w:rsidRPr="00E01239">
        <w:rPr>
          <w:rFonts w:asciiTheme="minorHAnsi" w:eastAsia="Calibri" w:hAnsiTheme="minorHAnsi" w:cstheme="minorHAnsi"/>
          <w:sz w:val="22"/>
        </w:rPr>
        <w:t>28</w:t>
      </w:r>
      <w:r w:rsidRPr="00E01239">
        <w:rPr>
          <w:rFonts w:asciiTheme="minorHAnsi" w:eastAsia="Calibri" w:hAnsiTheme="minorHAnsi" w:cstheme="minorHAnsi"/>
          <w:sz w:val="22"/>
        </w:rPr>
        <w:t> : Liste des parties prenantes consultées dans la région de Dakar</w:t>
      </w:r>
      <w:bookmarkEnd w:id="1053"/>
      <w:bookmarkEnd w:id="1054"/>
    </w:p>
    <w:tbl>
      <w:tblPr>
        <w:tblStyle w:val="SGSTableBasic111"/>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30"/>
        <w:gridCol w:w="6379"/>
      </w:tblGrid>
      <w:tr w:rsidR="00B91B2B" w:rsidRPr="00E01239" w14:paraId="3783EA1D" w14:textId="77777777" w:rsidTr="00263B8A">
        <w:tc>
          <w:tcPr>
            <w:tcW w:w="2830" w:type="dxa"/>
            <w:shd w:val="clear" w:color="auto" w:fill="1F3864" w:themeFill="accent5" w:themeFillShade="80"/>
            <w:vAlign w:val="center"/>
          </w:tcPr>
          <w:p w14:paraId="01DEC0D3"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Catégorie</w:t>
            </w:r>
          </w:p>
        </w:tc>
        <w:tc>
          <w:tcPr>
            <w:tcW w:w="6379" w:type="dxa"/>
            <w:shd w:val="clear" w:color="auto" w:fill="1F3864" w:themeFill="accent5" w:themeFillShade="80"/>
            <w:vAlign w:val="center"/>
          </w:tcPr>
          <w:p w14:paraId="599801A5" w14:textId="77777777" w:rsidR="00B91B2B" w:rsidRPr="00E01239" w:rsidRDefault="00B91B2B" w:rsidP="008C0C70">
            <w:pPr>
              <w:tabs>
                <w:tab w:val="left" w:pos="3093"/>
              </w:tabs>
              <w:jc w:val="center"/>
              <w:rPr>
                <w:rFonts w:asciiTheme="minorHAnsi" w:hAnsiTheme="minorHAnsi" w:cstheme="minorHAnsi"/>
                <w:b/>
                <w:color w:val="FFFFFF" w:themeColor="background1"/>
                <w:sz w:val="20"/>
                <w:szCs w:val="20"/>
                <w:lang w:val="fr-FR" w:eastAsia="fr-CA"/>
              </w:rPr>
            </w:pPr>
            <w:r w:rsidRPr="00E01239">
              <w:rPr>
                <w:rFonts w:asciiTheme="minorHAnsi" w:hAnsiTheme="minorHAnsi" w:cstheme="minorHAnsi"/>
                <w:b/>
                <w:color w:val="FFFFFF" w:themeColor="background1"/>
                <w:sz w:val="20"/>
                <w:szCs w:val="20"/>
                <w:lang w:val="fr-FR" w:eastAsia="fr-CA"/>
              </w:rPr>
              <w:t>Désignation</w:t>
            </w:r>
          </w:p>
        </w:tc>
      </w:tr>
      <w:tr w:rsidR="00B91B2B" w:rsidRPr="00E01239" w14:paraId="4BAE5A41" w14:textId="77777777" w:rsidTr="00263B8A">
        <w:tc>
          <w:tcPr>
            <w:tcW w:w="2830" w:type="dxa"/>
            <w:vAlign w:val="center"/>
          </w:tcPr>
          <w:p w14:paraId="5AB93CD7"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Organisations de producteurs</w:t>
            </w:r>
          </w:p>
        </w:tc>
        <w:tc>
          <w:tcPr>
            <w:tcW w:w="6379" w:type="dxa"/>
            <w:vAlign w:val="center"/>
          </w:tcPr>
          <w:p w14:paraId="0F5FE9F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Association Nationale des Professionnels du Bétail et de la Viande (ANPROBVS)</w:t>
            </w:r>
          </w:p>
          <w:p w14:paraId="6D9E49E4"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BAMTARE</w:t>
            </w:r>
          </w:p>
          <w:p w14:paraId="6C85A863"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proofErr w:type="spellStart"/>
            <w:r w:rsidRPr="00E01239">
              <w:rPr>
                <w:rFonts w:asciiTheme="minorHAnsi" w:hAnsiTheme="minorHAnsi" w:cstheme="minorHAnsi"/>
                <w:sz w:val="20"/>
                <w:szCs w:val="20"/>
                <w:lang w:val="fr-FR" w:eastAsia="fr-CA"/>
              </w:rPr>
              <w:t>Forail</w:t>
            </w:r>
            <w:proofErr w:type="spellEnd"/>
            <w:r w:rsidRPr="00E01239">
              <w:rPr>
                <w:rFonts w:asciiTheme="minorHAnsi" w:hAnsiTheme="minorHAnsi" w:cstheme="minorHAnsi"/>
                <w:sz w:val="20"/>
                <w:szCs w:val="20"/>
                <w:lang w:val="fr-FR" w:eastAsia="fr-CA"/>
              </w:rPr>
              <w:t xml:space="preserve"> Grand Ruminant de Sicap Mbao </w:t>
            </w:r>
          </w:p>
          <w:p w14:paraId="5E99C1D8"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proofErr w:type="spellStart"/>
            <w:r w:rsidRPr="00E01239">
              <w:rPr>
                <w:rFonts w:asciiTheme="minorHAnsi" w:hAnsiTheme="minorHAnsi" w:cstheme="minorHAnsi"/>
                <w:sz w:val="20"/>
                <w:szCs w:val="20"/>
                <w:lang w:val="fr-FR" w:eastAsia="fr-CA"/>
              </w:rPr>
              <w:t>Forail</w:t>
            </w:r>
            <w:proofErr w:type="spellEnd"/>
            <w:r w:rsidRPr="00E01239">
              <w:rPr>
                <w:rFonts w:asciiTheme="minorHAnsi" w:hAnsiTheme="minorHAnsi" w:cstheme="minorHAnsi"/>
                <w:sz w:val="20"/>
                <w:szCs w:val="20"/>
                <w:lang w:val="fr-FR" w:eastAsia="fr-CA"/>
              </w:rPr>
              <w:t xml:space="preserve"> des Petits Ruminants</w:t>
            </w:r>
          </w:p>
        </w:tc>
      </w:tr>
      <w:tr w:rsidR="00B91B2B" w:rsidRPr="00E01239" w14:paraId="7CD5236A" w14:textId="77777777" w:rsidTr="00263B8A">
        <w:tc>
          <w:tcPr>
            <w:tcW w:w="2830" w:type="dxa"/>
            <w:vAlign w:val="center"/>
          </w:tcPr>
          <w:p w14:paraId="7AC940D5" w14:textId="77777777" w:rsidR="00B91B2B" w:rsidRPr="00E01239" w:rsidRDefault="00B91B2B" w:rsidP="00027669">
            <w:pPr>
              <w:numPr>
                <w:ilvl w:val="0"/>
                <w:numId w:val="149"/>
              </w:numPr>
              <w:tabs>
                <w:tab w:val="left" w:pos="3093"/>
              </w:tabs>
              <w:rPr>
                <w:rFonts w:asciiTheme="minorHAnsi" w:hAnsiTheme="minorHAnsi" w:cstheme="minorHAnsi"/>
                <w:color w:val="000000" w:themeColor="text1"/>
                <w:sz w:val="20"/>
                <w:szCs w:val="20"/>
                <w:lang w:val="fr-FR" w:eastAsia="fr-CA"/>
              </w:rPr>
            </w:pPr>
            <w:r w:rsidRPr="00E01239">
              <w:rPr>
                <w:rFonts w:asciiTheme="minorHAnsi" w:hAnsiTheme="minorHAnsi" w:cstheme="minorHAnsi"/>
                <w:color w:val="000000" w:themeColor="text1"/>
                <w:sz w:val="20"/>
                <w:szCs w:val="20"/>
                <w:lang w:val="fr-FR" w:eastAsia="fr-CA"/>
              </w:rPr>
              <w:t>Services techniques déconcentrés</w:t>
            </w:r>
          </w:p>
        </w:tc>
        <w:tc>
          <w:tcPr>
            <w:tcW w:w="6379" w:type="dxa"/>
            <w:vAlign w:val="center"/>
          </w:tcPr>
          <w:p w14:paraId="15C927B0"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 xml:space="preserve">Division Régionale du Développement Rural (DRDR) </w:t>
            </w:r>
          </w:p>
          <w:p w14:paraId="61044B99" w14:textId="77777777" w:rsidR="00B91B2B" w:rsidRPr="00E01239" w:rsidRDefault="00B91B2B" w:rsidP="00027669">
            <w:pPr>
              <w:pStyle w:val="Paragraphedeliste"/>
              <w:numPr>
                <w:ilvl w:val="0"/>
                <w:numId w:val="151"/>
              </w:numPr>
              <w:tabs>
                <w:tab w:val="left" w:pos="3093"/>
              </w:tabs>
              <w:jc w:val="both"/>
              <w:rPr>
                <w:rFonts w:asciiTheme="minorHAnsi" w:hAnsiTheme="minorHAnsi" w:cstheme="minorHAnsi"/>
                <w:sz w:val="20"/>
                <w:szCs w:val="20"/>
                <w:lang w:val="fr-FR" w:eastAsia="fr-CA"/>
              </w:rPr>
            </w:pPr>
            <w:r w:rsidRPr="00E01239">
              <w:rPr>
                <w:rFonts w:asciiTheme="minorHAnsi" w:hAnsiTheme="minorHAnsi" w:cstheme="minorHAnsi"/>
                <w:sz w:val="20"/>
                <w:szCs w:val="20"/>
                <w:lang w:val="fr-FR" w:eastAsia="fr-CA"/>
              </w:rPr>
              <w:t>Service Régional de l’Elevage de Dakar</w:t>
            </w:r>
          </w:p>
        </w:tc>
      </w:tr>
    </w:tbl>
    <w:p w14:paraId="17BC9CDC" w14:textId="77777777" w:rsidR="00B91B2B" w:rsidRPr="00E01239" w:rsidRDefault="00B91B2B" w:rsidP="00B91B2B">
      <w:pPr>
        <w:jc w:val="both"/>
        <w:rPr>
          <w:rFonts w:asciiTheme="minorHAnsi" w:eastAsia="Calibri" w:hAnsiTheme="minorHAnsi" w:cstheme="minorHAnsi"/>
          <w:sz w:val="22"/>
          <w:szCs w:val="22"/>
          <w:lang w:eastAsia="en-US"/>
        </w:rPr>
      </w:pPr>
    </w:p>
    <w:p w14:paraId="39DA676F" w14:textId="77777777" w:rsidR="00B91B2B" w:rsidRPr="00E01239" w:rsidRDefault="00B91B2B" w:rsidP="0011733B">
      <w:pPr>
        <w:pStyle w:val="Titre3"/>
        <w:ind w:left="1276"/>
        <w:rPr>
          <w:rFonts w:asciiTheme="minorHAnsi" w:hAnsiTheme="minorHAnsi" w:cstheme="minorHAnsi"/>
        </w:rPr>
      </w:pPr>
      <w:bookmarkStart w:id="1055" w:name="_Toc142482977"/>
      <w:bookmarkStart w:id="1056" w:name="_Toc144654155"/>
      <w:r w:rsidRPr="00E01239">
        <w:rPr>
          <w:rFonts w:asciiTheme="minorHAnsi" w:hAnsiTheme="minorHAnsi" w:cstheme="minorHAnsi"/>
        </w:rPr>
        <w:t>Données statistiques des consultations</w:t>
      </w:r>
      <w:bookmarkEnd w:id="1055"/>
      <w:bookmarkEnd w:id="1056"/>
    </w:p>
    <w:p w14:paraId="0ABEDA0E" w14:textId="3AE3CDDD" w:rsidR="00B91B2B" w:rsidRPr="00E01239" w:rsidRDefault="00B91B2B" w:rsidP="00263B8A">
      <w:pPr>
        <w:tabs>
          <w:tab w:val="left" w:pos="3093"/>
        </w:tabs>
        <w:spacing w:before="120" w:line="280" w:lineRule="exact"/>
        <w:jc w:val="both"/>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 xml:space="preserve">Sur les treize (13) régions que devra couvrir le </w:t>
      </w:r>
      <w:r w:rsidRPr="00E01239">
        <w:rPr>
          <w:rFonts w:asciiTheme="minorHAnsi" w:hAnsiTheme="minorHAnsi" w:cstheme="minorHAnsi"/>
          <w:sz w:val="22"/>
          <w:szCs w:val="22"/>
        </w:rPr>
        <w:t>FSRP-SN</w:t>
      </w:r>
      <w:r w:rsidRPr="00E01239">
        <w:rPr>
          <w:rFonts w:asciiTheme="minorHAnsi" w:eastAsia="Calibri" w:hAnsiTheme="minorHAnsi" w:cstheme="minorHAnsi"/>
          <w:sz w:val="22"/>
          <w:szCs w:val="22"/>
          <w:lang w:eastAsia="fr-CA"/>
        </w:rPr>
        <w:t xml:space="preserve"> (Dakar, Kaffrine, Diourbel, Tambacounda, Thiès, Louga, Fatick, Kaolack, Ziguinchor, Saint-Louis, Matam, Kolda, Sédhiou) les consultations en ont couvert huit (8), à savoir, les régions de Dakar, Tambacounda, Ziguinchor, Thiès, Louga, Diourbel Kaffrine et Kaolack. Soit un taux de couverture de 61,54% de la zone d’intervention du projet, comme indiqué dans le tableau n°</w:t>
      </w:r>
      <w:r w:rsidR="00F73EAB" w:rsidRPr="00E01239">
        <w:rPr>
          <w:rFonts w:asciiTheme="minorHAnsi" w:eastAsia="Calibri" w:hAnsiTheme="minorHAnsi" w:cstheme="minorHAnsi"/>
          <w:sz w:val="22"/>
          <w:szCs w:val="22"/>
          <w:lang w:eastAsia="fr-CA"/>
        </w:rPr>
        <w:t>28</w:t>
      </w:r>
      <w:r w:rsidRPr="00E01239">
        <w:rPr>
          <w:rFonts w:asciiTheme="minorHAnsi" w:eastAsia="Calibri" w:hAnsiTheme="minorHAnsi" w:cstheme="minorHAnsi"/>
          <w:sz w:val="22"/>
          <w:szCs w:val="22"/>
          <w:lang w:eastAsia="fr-CA"/>
        </w:rPr>
        <w:t xml:space="preserve">. </w:t>
      </w:r>
    </w:p>
    <w:p w14:paraId="56BFFE90" w14:textId="77777777" w:rsidR="00B91B2B" w:rsidRPr="00E01239" w:rsidRDefault="00B91B2B" w:rsidP="00B91B2B">
      <w:pPr>
        <w:tabs>
          <w:tab w:val="left" w:pos="3093"/>
        </w:tabs>
        <w:jc w:val="center"/>
        <w:rPr>
          <w:rFonts w:asciiTheme="minorHAnsi" w:eastAsia="Calibri" w:hAnsiTheme="minorHAnsi" w:cstheme="minorHAnsi"/>
          <w:b/>
          <w:i/>
          <w:iCs/>
          <w:color w:val="558ED5"/>
          <w:sz w:val="20"/>
          <w:szCs w:val="22"/>
          <w:lang w:eastAsia="fr-CA"/>
        </w:rPr>
      </w:pPr>
    </w:p>
    <w:p w14:paraId="1E95ABFD" w14:textId="47395D61" w:rsidR="00B91B2B" w:rsidRPr="00E01239" w:rsidRDefault="00B91B2B" w:rsidP="00263B8A">
      <w:pPr>
        <w:keepNext/>
        <w:jc w:val="center"/>
        <w:rPr>
          <w:rFonts w:asciiTheme="minorHAnsi" w:eastAsia="Calibri" w:hAnsiTheme="minorHAnsi" w:cstheme="minorHAnsi"/>
          <w:iCs/>
          <w:sz w:val="22"/>
          <w:szCs w:val="18"/>
          <w:lang w:eastAsia="en-US"/>
        </w:rPr>
      </w:pPr>
      <w:bookmarkStart w:id="1057" w:name="_Toc131608971"/>
      <w:bookmarkStart w:id="1058" w:name="_Toc142583030"/>
      <w:bookmarkStart w:id="1059" w:name="_Toc144654208"/>
      <w:r w:rsidRPr="00E01239">
        <w:rPr>
          <w:rFonts w:asciiTheme="minorHAnsi" w:eastAsia="Calibri" w:hAnsiTheme="minorHAnsi" w:cstheme="minorHAnsi"/>
          <w:b/>
          <w:iCs/>
          <w:sz w:val="22"/>
          <w:szCs w:val="18"/>
          <w:lang w:eastAsia="en-US"/>
        </w:rPr>
        <w:lastRenderedPageBreak/>
        <w:t>Tableau</w:t>
      </w:r>
      <w:r w:rsidR="00B203AB" w:rsidRPr="00E01239">
        <w:rPr>
          <w:rFonts w:asciiTheme="minorHAnsi" w:eastAsia="Calibri" w:hAnsiTheme="minorHAnsi" w:cstheme="minorHAnsi"/>
          <w:b/>
          <w:iCs/>
          <w:sz w:val="22"/>
          <w:szCs w:val="18"/>
          <w:lang w:eastAsia="en-US"/>
        </w:rPr>
        <w:t>29</w:t>
      </w:r>
      <w:r w:rsidRPr="00E01239">
        <w:rPr>
          <w:rFonts w:asciiTheme="minorHAnsi" w:eastAsia="Calibri" w:hAnsiTheme="minorHAnsi" w:cstheme="minorHAnsi"/>
          <w:b/>
          <w:iCs/>
          <w:sz w:val="22"/>
          <w:szCs w:val="18"/>
          <w:lang w:eastAsia="en-US"/>
        </w:rPr>
        <w:t xml:space="preserve"> : </w:t>
      </w:r>
      <w:r w:rsidRPr="00E01239">
        <w:rPr>
          <w:rFonts w:asciiTheme="minorHAnsi" w:eastAsia="Calibri" w:hAnsiTheme="minorHAnsi" w:cstheme="minorHAnsi"/>
          <w:iCs/>
          <w:sz w:val="22"/>
          <w:szCs w:val="18"/>
          <w:lang w:eastAsia="en-US"/>
        </w:rPr>
        <w:t>Taux de couverture de la zone d’intervention du projet</w:t>
      </w:r>
      <w:bookmarkEnd w:id="1057"/>
      <w:bookmarkEnd w:id="1058"/>
      <w:bookmarkEnd w:id="1059"/>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716"/>
        <w:gridCol w:w="4269"/>
        <w:gridCol w:w="3075"/>
      </w:tblGrid>
      <w:tr w:rsidR="00B91B2B" w:rsidRPr="00E01239" w14:paraId="41EC6051" w14:textId="77777777" w:rsidTr="00263B8A">
        <w:trPr>
          <w:trHeight w:val="113"/>
        </w:trPr>
        <w:tc>
          <w:tcPr>
            <w:tcW w:w="1046" w:type="pct"/>
            <w:shd w:val="clear" w:color="auto" w:fill="1F3864" w:themeFill="accent5" w:themeFillShade="80"/>
            <w:noWrap/>
            <w:vAlign w:val="center"/>
            <w:hideMark/>
          </w:tcPr>
          <w:p w14:paraId="6EF3BBEF" w14:textId="77777777" w:rsidR="00B91B2B" w:rsidRPr="00E01239" w:rsidRDefault="00B91B2B" w:rsidP="008C0C70">
            <w:pPr>
              <w:jc w:val="center"/>
              <w:rPr>
                <w:rFonts w:asciiTheme="minorHAnsi" w:hAnsiTheme="minorHAnsi" w:cstheme="minorHAnsi"/>
                <w:b/>
                <w:bCs/>
                <w:color w:val="FFFFFF" w:themeColor="background1"/>
                <w:sz w:val="20"/>
              </w:rPr>
            </w:pPr>
            <w:r w:rsidRPr="00E01239">
              <w:rPr>
                <w:rFonts w:asciiTheme="minorHAnsi" w:hAnsiTheme="minorHAnsi" w:cstheme="minorHAnsi"/>
                <w:b/>
                <w:bCs/>
                <w:color w:val="FFFFFF" w:themeColor="background1"/>
                <w:sz w:val="20"/>
              </w:rPr>
              <w:t>Régions</w:t>
            </w:r>
          </w:p>
        </w:tc>
        <w:tc>
          <w:tcPr>
            <w:tcW w:w="2159" w:type="pct"/>
            <w:shd w:val="clear" w:color="auto" w:fill="1F3864" w:themeFill="accent5" w:themeFillShade="80"/>
            <w:noWrap/>
            <w:vAlign w:val="center"/>
            <w:hideMark/>
          </w:tcPr>
          <w:p w14:paraId="177DB46A" w14:textId="77777777" w:rsidR="00B91B2B" w:rsidRPr="00E01239" w:rsidRDefault="00B91B2B" w:rsidP="008C0C70">
            <w:pPr>
              <w:jc w:val="center"/>
              <w:rPr>
                <w:rFonts w:asciiTheme="minorHAnsi" w:hAnsiTheme="minorHAnsi" w:cstheme="minorHAnsi"/>
                <w:b/>
                <w:bCs/>
                <w:color w:val="FFFFFF" w:themeColor="background1"/>
                <w:sz w:val="20"/>
              </w:rPr>
            </w:pPr>
            <w:r w:rsidRPr="00E01239">
              <w:rPr>
                <w:rFonts w:asciiTheme="minorHAnsi" w:hAnsiTheme="minorHAnsi" w:cstheme="minorHAnsi"/>
                <w:b/>
                <w:bCs/>
                <w:color w:val="FFFFFF" w:themeColor="background1"/>
                <w:sz w:val="20"/>
              </w:rPr>
              <w:t>Nombre de régions couverte par les consultations</w:t>
            </w:r>
          </w:p>
        </w:tc>
        <w:tc>
          <w:tcPr>
            <w:tcW w:w="1795" w:type="pct"/>
            <w:shd w:val="clear" w:color="auto" w:fill="1F3864" w:themeFill="accent5" w:themeFillShade="80"/>
            <w:noWrap/>
            <w:vAlign w:val="center"/>
            <w:hideMark/>
          </w:tcPr>
          <w:p w14:paraId="4C7F1243" w14:textId="77777777" w:rsidR="00B91B2B" w:rsidRPr="00E01239" w:rsidRDefault="00B91B2B" w:rsidP="008C0C70">
            <w:pPr>
              <w:jc w:val="center"/>
              <w:rPr>
                <w:rFonts w:asciiTheme="minorHAnsi" w:hAnsiTheme="minorHAnsi" w:cstheme="minorHAnsi"/>
                <w:b/>
                <w:bCs/>
                <w:color w:val="FFFFFF" w:themeColor="background1"/>
                <w:sz w:val="20"/>
              </w:rPr>
            </w:pPr>
            <w:r w:rsidRPr="00E01239">
              <w:rPr>
                <w:rFonts w:asciiTheme="minorHAnsi" w:hAnsiTheme="minorHAnsi" w:cstheme="minorHAnsi"/>
                <w:b/>
                <w:bCs/>
                <w:color w:val="FFFFFF" w:themeColor="background1"/>
                <w:sz w:val="20"/>
              </w:rPr>
              <w:t>Taux de couverture</w:t>
            </w:r>
            <w:r w:rsidRPr="00E01239">
              <w:rPr>
                <w:rFonts w:asciiTheme="minorHAnsi" w:hAnsiTheme="minorHAnsi" w:cstheme="minorHAnsi"/>
                <w:b/>
                <w:bCs/>
                <w:color w:val="FFFFFF" w:themeColor="background1"/>
                <w:sz w:val="20"/>
              </w:rPr>
              <w:br/>
              <w:t>(%)</w:t>
            </w:r>
          </w:p>
        </w:tc>
      </w:tr>
      <w:tr w:rsidR="00B91B2B" w:rsidRPr="00E01239" w14:paraId="753320FC" w14:textId="77777777" w:rsidTr="00263B8A">
        <w:trPr>
          <w:trHeight w:val="113"/>
        </w:trPr>
        <w:tc>
          <w:tcPr>
            <w:tcW w:w="1046" w:type="pct"/>
            <w:shd w:val="clear" w:color="auto" w:fill="auto"/>
            <w:noWrap/>
            <w:vAlign w:val="bottom"/>
            <w:hideMark/>
          </w:tcPr>
          <w:p w14:paraId="2437E44F" w14:textId="77777777" w:rsidR="00B91B2B" w:rsidRPr="00E01239" w:rsidRDefault="00B91B2B" w:rsidP="008C0C70">
            <w:pPr>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Couvertes</w:t>
            </w:r>
          </w:p>
        </w:tc>
        <w:tc>
          <w:tcPr>
            <w:tcW w:w="2159" w:type="pct"/>
            <w:shd w:val="clear" w:color="auto" w:fill="auto"/>
            <w:noWrap/>
            <w:vAlign w:val="bottom"/>
            <w:hideMark/>
          </w:tcPr>
          <w:p w14:paraId="0F3E7F39" w14:textId="77777777" w:rsidR="00B91B2B" w:rsidRPr="00E01239" w:rsidRDefault="00B91B2B" w:rsidP="008C0C70">
            <w:pPr>
              <w:jc w:val="right"/>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8</w:t>
            </w:r>
          </w:p>
        </w:tc>
        <w:tc>
          <w:tcPr>
            <w:tcW w:w="1795" w:type="pct"/>
            <w:shd w:val="clear" w:color="auto" w:fill="auto"/>
            <w:noWrap/>
            <w:vAlign w:val="bottom"/>
            <w:hideMark/>
          </w:tcPr>
          <w:p w14:paraId="6BA35CFC" w14:textId="77777777" w:rsidR="00B91B2B" w:rsidRPr="00E01239" w:rsidRDefault="00B91B2B" w:rsidP="008C0C70">
            <w:pPr>
              <w:jc w:val="right"/>
              <w:rPr>
                <w:rFonts w:asciiTheme="minorHAnsi" w:eastAsia="Calibri" w:hAnsiTheme="minorHAnsi" w:cstheme="minorHAnsi"/>
                <w:b/>
                <w:sz w:val="22"/>
                <w:szCs w:val="22"/>
                <w:lang w:eastAsia="fr-CA"/>
              </w:rPr>
            </w:pPr>
            <w:r w:rsidRPr="00E01239">
              <w:rPr>
                <w:rFonts w:asciiTheme="minorHAnsi" w:eastAsia="Calibri" w:hAnsiTheme="minorHAnsi" w:cstheme="minorHAnsi"/>
                <w:b/>
                <w:sz w:val="22"/>
                <w:szCs w:val="22"/>
                <w:lang w:eastAsia="fr-CA"/>
              </w:rPr>
              <w:t>61,54%</w:t>
            </w:r>
          </w:p>
        </w:tc>
      </w:tr>
      <w:tr w:rsidR="00B91B2B" w:rsidRPr="00E01239" w14:paraId="1A6DD90E" w14:textId="77777777" w:rsidTr="00263B8A">
        <w:trPr>
          <w:trHeight w:val="113"/>
        </w:trPr>
        <w:tc>
          <w:tcPr>
            <w:tcW w:w="1046" w:type="pct"/>
            <w:shd w:val="clear" w:color="auto" w:fill="auto"/>
            <w:noWrap/>
            <w:vAlign w:val="bottom"/>
            <w:hideMark/>
          </w:tcPr>
          <w:p w14:paraId="4585640D" w14:textId="77777777" w:rsidR="00B91B2B" w:rsidRPr="00E01239" w:rsidRDefault="00B91B2B" w:rsidP="008C0C70">
            <w:pPr>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Non Couvertes</w:t>
            </w:r>
          </w:p>
        </w:tc>
        <w:tc>
          <w:tcPr>
            <w:tcW w:w="2159" w:type="pct"/>
            <w:shd w:val="clear" w:color="auto" w:fill="auto"/>
            <w:noWrap/>
            <w:vAlign w:val="bottom"/>
            <w:hideMark/>
          </w:tcPr>
          <w:p w14:paraId="295C0DFB" w14:textId="77777777" w:rsidR="00B91B2B" w:rsidRPr="00E01239" w:rsidRDefault="00B91B2B" w:rsidP="008C0C70">
            <w:pPr>
              <w:jc w:val="right"/>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5</w:t>
            </w:r>
          </w:p>
        </w:tc>
        <w:tc>
          <w:tcPr>
            <w:tcW w:w="1795" w:type="pct"/>
            <w:shd w:val="clear" w:color="auto" w:fill="auto"/>
            <w:noWrap/>
            <w:vAlign w:val="bottom"/>
            <w:hideMark/>
          </w:tcPr>
          <w:p w14:paraId="4B91260F" w14:textId="77777777" w:rsidR="00B91B2B" w:rsidRPr="00E01239" w:rsidRDefault="00B91B2B" w:rsidP="008C0C70">
            <w:pPr>
              <w:jc w:val="right"/>
              <w:rPr>
                <w:rFonts w:asciiTheme="minorHAnsi" w:eastAsia="Calibri" w:hAnsiTheme="minorHAnsi" w:cstheme="minorHAnsi"/>
                <w:b/>
                <w:sz w:val="22"/>
                <w:szCs w:val="22"/>
                <w:lang w:eastAsia="fr-CA"/>
              </w:rPr>
            </w:pPr>
            <w:r w:rsidRPr="00E01239">
              <w:rPr>
                <w:rFonts w:asciiTheme="minorHAnsi" w:eastAsia="Calibri" w:hAnsiTheme="minorHAnsi" w:cstheme="minorHAnsi"/>
                <w:b/>
                <w:sz w:val="22"/>
                <w:szCs w:val="22"/>
                <w:lang w:eastAsia="fr-CA"/>
              </w:rPr>
              <w:t>38,46%</w:t>
            </w:r>
          </w:p>
        </w:tc>
      </w:tr>
      <w:tr w:rsidR="00B91B2B" w:rsidRPr="00E01239" w14:paraId="7EFD2701" w14:textId="77777777" w:rsidTr="00263B8A">
        <w:trPr>
          <w:trHeight w:val="113"/>
        </w:trPr>
        <w:tc>
          <w:tcPr>
            <w:tcW w:w="1046" w:type="pct"/>
            <w:shd w:val="clear" w:color="D9E1F2" w:fill="D9E1F2"/>
            <w:noWrap/>
            <w:vAlign w:val="bottom"/>
            <w:hideMark/>
          </w:tcPr>
          <w:p w14:paraId="032CAC21" w14:textId="77777777" w:rsidR="00B91B2B" w:rsidRPr="00E01239" w:rsidRDefault="00B91B2B" w:rsidP="008C0C70">
            <w:pPr>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Total général</w:t>
            </w:r>
          </w:p>
        </w:tc>
        <w:tc>
          <w:tcPr>
            <w:tcW w:w="2159" w:type="pct"/>
            <w:shd w:val="clear" w:color="D9E1F2" w:fill="D9E1F2"/>
            <w:noWrap/>
            <w:vAlign w:val="bottom"/>
            <w:hideMark/>
          </w:tcPr>
          <w:p w14:paraId="63D430BF" w14:textId="77777777" w:rsidR="00B91B2B" w:rsidRPr="00E01239" w:rsidRDefault="00B91B2B" w:rsidP="008C0C70">
            <w:pPr>
              <w:jc w:val="right"/>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13</w:t>
            </w:r>
          </w:p>
        </w:tc>
        <w:tc>
          <w:tcPr>
            <w:tcW w:w="1795" w:type="pct"/>
            <w:shd w:val="clear" w:color="D9E1F2" w:fill="D9E1F2"/>
            <w:noWrap/>
            <w:vAlign w:val="bottom"/>
            <w:hideMark/>
          </w:tcPr>
          <w:p w14:paraId="5E5F0985" w14:textId="77777777" w:rsidR="00B91B2B" w:rsidRPr="00E01239" w:rsidRDefault="00B91B2B" w:rsidP="008C0C70">
            <w:pPr>
              <w:jc w:val="right"/>
              <w:rPr>
                <w:rFonts w:asciiTheme="minorHAnsi" w:eastAsia="Calibri" w:hAnsiTheme="minorHAnsi" w:cstheme="minorHAnsi"/>
                <w:b/>
                <w:sz w:val="22"/>
                <w:szCs w:val="22"/>
                <w:lang w:eastAsia="fr-CA"/>
              </w:rPr>
            </w:pPr>
            <w:r w:rsidRPr="00E01239">
              <w:rPr>
                <w:rFonts w:asciiTheme="minorHAnsi" w:eastAsia="Calibri" w:hAnsiTheme="minorHAnsi" w:cstheme="minorHAnsi"/>
                <w:b/>
                <w:sz w:val="22"/>
                <w:szCs w:val="22"/>
                <w:lang w:eastAsia="fr-CA"/>
              </w:rPr>
              <w:t>100%</w:t>
            </w:r>
          </w:p>
        </w:tc>
      </w:tr>
    </w:tbl>
    <w:p w14:paraId="12F71DA3" w14:textId="77777777" w:rsidR="00B91B2B" w:rsidRPr="00E01239" w:rsidRDefault="00B91B2B" w:rsidP="00B91B2B">
      <w:pPr>
        <w:tabs>
          <w:tab w:val="left" w:pos="3093"/>
        </w:tabs>
        <w:spacing w:before="120" w:line="360" w:lineRule="exact"/>
        <w:jc w:val="both"/>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 xml:space="preserve">Les parties prenantes sont composées de plusieurs catégories d’acteurs appartenant à des domaines d’activités différents. Au total, cent quatre-vingt-cinq (185) structures distinctes s’activant dans vingt-neuf (29) domaines d’activités pertinents ont été consultées à travers les régions visitées. </w:t>
      </w:r>
    </w:p>
    <w:p w14:paraId="1A019ED7" w14:textId="4E2B8B61" w:rsidR="00AE4C78" w:rsidRPr="00E01239" w:rsidRDefault="00B91B2B" w:rsidP="00B91B2B">
      <w:pPr>
        <w:tabs>
          <w:tab w:val="left" w:pos="3093"/>
        </w:tabs>
        <w:spacing w:before="120" w:line="360" w:lineRule="exact"/>
        <w:jc w:val="both"/>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Le tableau n°</w:t>
      </w:r>
      <w:r w:rsidR="00F73EAB" w:rsidRPr="00E01239">
        <w:rPr>
          <w:rFonts w:asciiTheme="minorHAnsi" w:eastAsia="Calibri" w:hAnsiTheme="minorHAnsi" w:cstheme="minorHAnsi"/>
          <w:sz w:val="22"/>
          <w:szCs w:val="22"/>
          <w:lang w:eastAsia="fr-CA"/>
        </w:rPr>
        <w:t>29</w:t>
      </w:r>
      <w:r w:rsidR="00AE4C78" w:rsidRPr="00E01239">
        <w:rPr>
          <w:rFonts w:asciiTheme="minorHAnsi" w:eastAsia="Calibri" w:hAnsiTheme="minorHAnsi" w:cstheme="minorHAnsi"/>
          <w:sz w:val="22"/>
          <w:szCs w:val="22"/>
          <w:lang w:eastAsia="fr-CA"/>
        </w:rPr>
        <w:t xml:space="preserve"> </w:t>
      </w:r>
      <w:r w:rsidRPr="00E01239">
        <w:rPr>
          <w:rFonts w:asciiTheme="minorHAnsi" w:eastAsia="Calibri" w:hAnsiTheme="minorHAnsi" w:cstheme="minorHAnsi"/>
          <w:sz w:val="22"/>
          <w:szCs w:val="22"/>
          <w:lang w:eastAsia="fr-CA"/>
        </w:rPr>
        <w:t>ci-après présente les proportions de parties prenantes consultées selon les domaines d’activités</w:t>
      </w:r>
      <w:r w:rsidR="00AE4C78" w:rsidRPr="00E01239">
        <w:rPr>
          <w:rFonts w:asciiTheme="minorHAnsi" w:eastAsia="Calibri" w:hAnsiTheme="minorHAnsi" w:cstheme="minorHAnsi"/>
          <w:sz w:val="22"/>
          <w:szCs w:val="22"/>
          <w:lang w:eastAsia="fr-CA"/>
        </w:rPr>
        <w:t>.</w:t>
      </w:r>
    </w:p>
    <w:p w14:paraId="502595AA" w14:textId="77777777" w:rsidR="00AE4C78" w:rsidRPr="00E01239" w:rsidRDefault="00AE4C78" w:rsidP="00AE4C78">
      <w:pPr>
        <w:tabs>
          <w:tab w:val="left" w:pos="3093"/>
        </w:tabs>
        <w:jc w:val="both"/>
        <w:rPr>
          <w:rFonts w:asciiTheme="minorHAnsi" w:eastAsia="Calibri" w:hAnsiTheme="minorHAnsi" w:cstheme="minorHAnsi"/>
          <w:sz w:val="22"/>
          <w:szCs w:val="22"/>
          <w:lang w:eastAsia="fr-CA"/>
        </w:rPr>
      </w:pPr>
    </w:p>
    <w:p w14:paraId="733FCC8C" w14:textId="2BDDFEA8" w:rsidR="00B91B2B" w:rsidRPr="00E01239" w:rsidRDefault="00B91B2B" w:rsidP="00AE4C78">
      <w:pPr>
        <w:keepNext/>
        <w:jc w:val="center"/>
        <w:rPr>
          <w:rFonts w:asciiTheme="minorHAnsi" w:eastAsia="Calibri" w:hAnsiTheme="minorHAnsi" w:cstheme="minorHAnsi"/>
          <w:iCs/>
          <w:sz w:val="22"/>
          <w:szCs w:val="18"/>
          <w:lang w:eastAsia="en-US"/>
        </w:rPr>
      </w:pPr>
      <w:bookmarkStart w:id="1060" w:name="_Toc131608972"/>
      <w:bookmarkStart w:id="1061" w:name="_Toc142583031"/>
      <w:bookmarkStart w:id="1062" w:name="_Toc144654209"/>
      <w:r w:rsidRPr="00E01239">
        <w:rPr>
          <w:rFonts w:asciiTheme="minorHAnsi" w:eastAsia="Calibri" w:hAnsiTheme="minorHAnsi" w:cstheme="minorHAnsi"/>
          <w:b/>
          <w:iCs/>
          <w:sz w:val="22"/>
          <w:szCs w:val="18"/>
          <w:lang w:eastAsia="en-US"/>
        </w:rPr>
        <w:t>Tableau</w:t>
      </w:r>
      <w:r w:rsidR="00B203AB" w:rsidRPr="00E01239">
        <w:rPr>
          <w:rFonts w:asciiTheme="minorHAnsi" w:eastAsia="Calibri" w:hAnsiTheme="minorHAnsi" w:cstheme="minorHAnsi"/>
          <w:b/>
          <w:iCs/>
          <w:sz w:val="22"/>
          <w:szCs w:val="18"/>
          <w:lang w:eastAsia="en-US"/>
        </w:rPr>
        <w:t>30</w:t>
      </w:r>
      <w:r w:rsidRPr="00E01239">
        <w:rPr>
          <w:rFonts w:asciiTheme="minorHAnsi" w:eastAsia="Calibri" w:hAnsiTheme="minorHAnsi" w:cstheme="minorHAnsi"/>
          <w:b/>
          <w:iCs/>
          <w:sz w:val="22"/>
          <w:szCs w:val="18"/>
          <w:lang w:eastAsia="en-US"/>
        </w:rPr>
        <w:t xml:space="preserve"> : </w:t>
      </w:r>
      <w:r w:rsidRPr="00E01239">
        <w:rPr>
          <w:rFonts w:asciiTheme="minorHAnsi" w:eastAsia="Calibri" w:hAnsiTheme="minorHAnsi" w:cstheme="minorHAnsi"/>
          <w:iCs/>
          <w:sz w:val="22"/>
          <w:szCs w:val="18"/>
          <w:lang w:eastAsia="en-US"/>
        </w:rPr>
        <w:t>Proportion de structures consultées par domaine d'activités</w:t>
      </w:r>
      <w:bookmarkEnd w:id="1060"/>
      <w:bookmarkEnd w:id="1061"/>
      <w:bookmarkEnd w:id="1062"/>
    </w:p>
    <w:tbl>
      <w:tblPr>
        <w:tblW w:w="904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263"/>
        <w:gridCol w:w="4897"/>
        <w:gridCol w:w="915"/>
        <w:gridCol w:w="969"/>
      </w:tblGrid>
      <w:tr w:rsidR="00B91B2B" w:rsidRPr="00E01239" w14:paraId="52C22809" w14:textId="77777777" w:rsidTr="00263B8A">
        <w:trPr>
          <w:trHeight w:val="293"/>
          <w:tblHeader/>
        </w:trPr>
        <w:tc>
          <w:tcPr>
            <w:tcW w:w="2263" w:type="dxa"/>
            <w:shd w:val="clear" w:color="auto" w:fill="1F3864" w:themeFill="accent5" w:themeFillShade="80"/>
            <w:noWrap/>
            <w:vAlign w:val="center"/>
            <w:hideMark/>
          </w:tcPr>
          <w:p w14:paraId="7196FDF5" w14:textId="77777777" w:rsidR="00B91B2B" w:rsidRPr="00E01239" w:rsidRDefault="00B91B2B" w:rsidP="008C0C70">
            <w:pPr>
              <w:jc w:val="center"/>
              <w:rPr>
                <w:rFonts w:asciiTheme="minorHAnsi" w:hAnsiTheme="minorHAnsi" w:cstheme="minorHAnsi"/>
                <w:b/>
                <w:bCs/>
                <w:color w:val="FFFFFF" w:themeColor="background1"/>
                <w:sz w:val="20"/>
                <w:szCs w:val="20"/>
              </w:rPr>
            </w:pPr>
            <w:r w:rsidRPr="00E01239">
              <w:rPr>
                <w:rFonts w:asciiTheme="minorHAnsi" w:hAnsiTheme="minorHAnsi" w:cstheme="minorHAnsi"/>
                <w:b/>
                <w:bCs/>
                <w:color w:val="FFFFFF" w:themeColor="background1"/>
                <w:sz w:val="20"/>
                <w:szCs w:val="20"/>
              </w:rPr>
              <w:t xml:space="preserve">Catégories de parties prenantes </w:t>
            </w:r>
          </w:p>
        </w:tc>
        <w:tc>
          <w:tcPr>
            <w:tcW w:w="4962" w:type="dxa"/>
            <w:shd w:val="clear" w:color="auto" w:fill="1F3864" w:themeFill="accent5" w:themeFillShade="80"/>
            <w:vAlign w:val="center"/>
          </w:tcPr>
          <w:p w14:paraId="48999DCF" w14:textId="77777777" w:rsidR="00B91B2B" w:rsidRPr="00E01239" w:rsidRDefault="00B91B2B" w:rsidP="008C0C70">
            <w:pPr>
              <w:jc w:val="center"/>
              <w:rPr>
                <w:rFonts w:asciiTheme="minorHAnsi" w:hAnsiTheme="minorHAnsi" w:cstheme="minorHAnsi"/>
                <w:b/>
                <w:bCs/>
                <w:color w:val="FFFFFF" w:themeColor="background1"/>
                <w:sz w:val="20"/>
                <w:szCs w:val="20"/>
              </w:rPr>
            </w:pPr>
            <w:r w:rsidRPr="00E01239">
              <w:rPr>
                <w:rFonts w:asciiTheme="minorHAnsi" w:eastAsia="Calibri" w:hAnsiTheme="minorHAnsi" w:cstheme="minorHAnsi"/>
                <w:b/>
                <w:color w:val="FFFFFF" w:themeColor="background1"/>
                <w:sz w:val="20"/>
                <w:szCs w:val="20"/>
                <w:lang w:eastAsia="fr-CA"/>
              </w:rPr>
              <w:t>Domaine d’activité</w:t>
            </w:r>
          </w:p>
        </w:tc>
        <w:tc>
          <w:tcPr>
            <w:tcW w:w="850" w:type="dxa"/>
            <w:shd w:val="clear" w:color="auto" w:fill="1F3864" w:themeFill="accent5" w:themeFillShade="80"/>
            <w:noWrap/>
            <w:vAlign w:val="center"/>
            <w:hideMark/>
          </w:tcPr>
          <w:p w14:paraId="4847E724" w14:textId="77777777" w:rsidR="00B91B2B" w:rsidRPr="00E01239" w:rsidRDefault="00B91B2B" w:rsidP="008C0C70">
            <w:pPr>
              <w:jc w:val="center"/>
              <w:rPr>
                <w:rFonts w:asciiTheme="minorHAnsi" w:hAnsiTheme="minorHAnsi" w:cstheme="minorHAnsi"/>
                <w:b/>
                <w:bCs/>
                <w:color w:val="FFFFFF" w:themeColor="background1"/>
                <w:sz w:val="20"/>
                <w:szCs w:val="20"/>
              </w:rPr>
            </w:pPr>
            <w:r w:rsidRPr="00E01239">
              <w:rPr>
                <w:rFonts w:asciiTheme="minorHAnsi" w:hAnsiTheme="minorHAnsi" w:cstheme="minorHAnsi"/>
                <w:b/>
                <w:bCs/>
                <w:color w:val="FFFFFF" w:themeColor="background1"/>
                <w:sz w:val="20"/>
                <w:szCs w:val="20"/>
              </w:rPr>
              <w:t>Nombre de Service / Structure</w:t>
            </w:r>
          </w:p>
        </w:tc>
        <w:tc>
          <w:tcPr>
            <w:tcW w:w="969" w:type="dxa"/>
            <w:shd w:val="clear" w:color="auto" w:fill="1F3864" w:themeFill="accent5" w:themeFillShade="80"/>
            <w:noWrap/>
            <w:vAlign w:val="center"/>
            <w:hideMark/>
          </w:tcPr>
          <w:p w14:paraId="097B1ADC" w14:textId="77777777" w:rsidR="00B91B2B" w:rsidRPr="00E01239" w:rsidRDefault="00B91B2B" w:rsidP="008C0C70">
            <w:pPr>
              <w:jc w:val="center"/>
              <w:rPr>
                <w:rFonts w:asciiTheme="minorHAnsi" w:hAnsiTheme="minorHAnsi" w:cstheme="minorHAnsi"/>
                <w:b/>
                <w:bCs/>
                <w:color w:val="FFFFFF" w:themeColor="background1"/>
                <w:sz w:val="20"/>
                <w:szCs w:val="20"/>
              </w:rPr>
            </w:pPr>
            <w:r w:rsidRPr="00E01239">
              <w:rPr>
                <w:rFonts w:asciiTheme="minorHAnsi" w:eastAsia="Calibri" w:hAnsiTheme="minorHAnsi" w:cstheme="minorHAnsi"/>
                <w:b/>
                <w:color w:val="FFFFFF" w:themeColor="background1"/>
                <w:sz w:val="20"/>
                <w:szCs w:val="20"/>
                <w:lang w:eastAsia="fr-CA"/>
              </w:rPr>
              <w:t>Taux</w:t>
            </w:r>
          </w:p>
        </w:tc>
      </w:tr>
      <w:tr w:rsidR="00B91B2B" w:rsidRPr="00E01239" w14:paraId="00FB9B32" w14:textId="77777777" w:rsidTr="00263B8A">
        <w:trPr>
          <w:trHeight w:val="293"/>
        </w:trPr>
        <w:tc>
          <w:tcPr>
            <w:tcW w:w="2263" w:type="dxa"/>
            <w:shd w:val="clear" w:color="auto" w:fill="auto"/>
            <w:noWrap/>
            <w:vAlign w:val="center"/>
          </w:tcPr>
          <w:p w14:paraId="7D86D15C"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Autorités publiques déconcentrées</w:t>
            </w:r>
          </w:p>
        </w:tc>
        <w:tc>
          <w:tcPr>
            <w:tcW w:w="4962" w:type="dxa"/>
            <w:vAlign w:val="center"/>
          </w:tcPr>
          <w:p w14:paraId="381AAC6F" w14:textId="77777777" w:rsidR="00B91B2B" w:rsidRPr="00E01239" w:rsidRDefault="00B91B2B" w:rsidP="00027669">
            <w:pPr>
              <w:numPr>
                <w:ilvl w:val="0"/>
                <w:numId w:val="153"/>
              </w:numPr>
              <w:contextualSpacing/>
              <w:rPr>
                <w:rFonts w:asciiTheme="minorHAnsi" w:hAnsiTheme="minorHAnsi" w:cstheme="minorHAnsi"/>
                <w:color w:val="000000"/>
                <w:sz w:val="20"/>
                <w:szCs w:val="20"/>
              </w:rPr>
            </w:pPr>
            <w:r w:rsidRPr="00E01239">
              <w:rPr>
                <w:rFonts w:asciiTheme="minorHAnsi" w:eastAsia="Calibri" w:hAnsiTheme="minorHAnsi" w:cstheme="minorHAnsi"/>
                <w:sz w:val="20"/>
                <w:szCs w:val="20"/>
                <w:lang w:eastAsia="en-US"/>
              </w:rPr>
              <w:t>Administration territoriale</w:t>
            </w:r>
          </w:p>
        </w:tc>
        <w:tc>
          <w:tcPr>
            <w:tcW w:w="850" w:type="dxa"/>
            <w:shd w:val="clear" w:color="auto" w:fill="auto"/>
            <w:noWrap/>
            <w:vAlign w:val="center"/>
          </w:tcPr>
          <w:p w14:paraId="7255FB75"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10</w:t>
            </w:r>
          </w:p>
        </w:tc>
        <w:tc>
          <w:tcPr>
            <w:tcW w:w="969" w:type="dxa"/>
            <w:shd w:val="clear" w:color="auto" w:fill="auto"/>
            <w:noWrap/>
            <w:vAlign w:val="center"/>
          </w:tcPr>
          <w:p w14:paraId="679CAF3D"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5,41%</w:t>
            </w:r>
          </w:p>
        </w:tc>
      </w:tr>
      <w:tr w:rsidR="00B91B2B" w:rsidRPr="00E01239" w14:paraId="4DFA9EB7" w14:textId="77777777" w:rsidTr="00263B8A">
        <w:trPr>
          <w:trHeight w:val="293"/>
        </w:trPr>
        <w:tc>
          <w:tcPr>
            <w:tcW w:w="2263" w:type="dxa"/>
            <w:shd w:val="clear" w:color="auto" w:fill="auto"/>
            <w:noWrap/>
            <w:vAlign w:val="center"/>
          </w:tcPr>
          <w:p w14:paraId="4F7D6D15"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Services Techniques Déconcentrés</w:t>
            </w:r>
          </w:p>
        </w:tc>
        <w:tc>
          <w:tcPr>
            <w:tcW w:w="4962" w:type="dxa"/>
            <w:vAlign w:val="center"/>
          </w:tcPr>
          <w:p w14:paraId="19CEA702"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Elevage et productions animales</w:t>
            </w:r>
          </w:p>
          <w:p w14:paraId="27E9B7A4"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Conseils, orientation et assistance juridique</w:t>
            </w:r>
          </w:p>
          <w:p w14:paraId="4C36E618"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Développement locale, communautaire</w:t>
            </w:r>
          </w:p>
          <w:p w14:paraId="7126068D"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Action sociale</w:t>
            </w:r>
          </w:p>
          <w:p w14:paraId="5AD63546"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Environnement et social</w:t>
            </w:r>
          </w:p>
          <w:p w14:paraId="66C6A78D"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Appui et conseil des collectivités territoriales</w:t>
            </w:r>
          </w:p>
          <w:p w14:paraId="6E16C65A"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Hydraulique rurale</w:t>
            </w:r>
          </w:p>
          <w:p w14:paraId="7AC46DBE"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Hygiène sante sécurité au travail</w:t>
            </w:r>
          </w:p>
          <w:p w14:paraId="5CB30663"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Urbanisme et habitat</w:t>
            </w:r>
          </w:p>
          <w:p w14:paraId="5B08E140"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Gestion eaux et forets</w:t>
            </w:r>
          </w:p>
          <w:p w14:paraId="7EB6338E"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Agriculture et développement rural</w:t>
            </w:r>
          </w:p>
          <w:p w14:paraId="2EE4D097"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Activité de pêches et de surveillance</w:t>
            </w:r>
          </w:p>
          <w:p w14:paraId="1B22EA07"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Conseil ado et orientation technique et professionnelle</w:t>
            </w:r>
          </w:p>
          <w:p w14:paraId="2578D8B9"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Impôts et domaines</w:t>
            </w:r>
          </w:p>
          <w:p w14:paraId="281F044E"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Hygiène et prévention des maladies</w:t>
            </w:r>
          </w:p>
          <w:p w14:paraId="48F4E8AC"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Assainissement</w:t>
            </w:r>
          </w:p>
          <w:p w14:paraId="768EDB22"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Sécurité alimentaire</w:t>
            </w:r>
          </w:p>
          <w:p w14:paraId="6179A095"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Conseils et orientation agricole</w:t>
            </w:r>
          </w:p>
          <w:p w14:paraId="12127070"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Promotion de la jeunesse</w:t>
            </w:r>
          </w:p>
        </w:tc>
        <w:tc>
          <w:tcPr>
            <w:tcW w:w="850" w:type="dxa"/>
            <w:shd w:val="clear" w:color="auto" w:fill="auto"/>
            <w:noWrap/>
            <w:vAlign w:val="center"/>
          </w:tcPr>
          <w:p w14:paraId="68703946"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119</w:t>
            </w:r>
          </w:p>
        </w:tc>
        <w:tc>
          <w:tcPr>
            <w:tcW w:w="969" w:type="dxa"/>
            <w:shd w:val="clear" w:color="auto" w:fill="auto"/>
            <w:noWrap/>
            <w:vAlign w:val="center"/>
          </w:tcPr>
          <w:p w14:paraId="3452224C"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64,32%</w:t>
            </w:r>
          </w:p>
        </w:tc>
      </w:tr>
      <w:tr w:rsidR="00B91B2B" w:rsidRPr="00E01239" w14:paraId="277BF865" w14:textId="77777777" w:rsidTr="00263B8A">
        <w:trPr>
          <w:trHeight w:val="293"/>
        </w:trPr>
        <w:tc>
          <w:tcPr>
            <w:tcW w:w="2263" w:type="dxa"/>
            <w:shd w:val="clear" w:color="auto" w:fill="auto"/>
            <w:noWrap/>
            <w:vAlign w:val="center"/>
          </w:tcPr>
          <w:p w14:paraId="22A7BBE8"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Collectivités territoriales</w:t>
            </w:r>
          </w:p>
        </w:tc>
        <w:tc>
          <w:tcPr>
            <w:tcW w:w="4962" w:type="dxa"/>
            <w:vAlign w:val="center"/>
          </w:tcPr>
          <w:p w14:paraId="17E07C90"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Administration locale</w:t>
            </w:r>
          </w:p>
        </w:tc>
        <w:tc>
          <w:tcPr>
            <w:tcW w:w="850" w:type="dxa"/>
            <w:shd w:val="clear" w:color="auto" w:fill="auto"/>
            <w:noWrap/>
            <w:vAlign w:val="center"/>
          </w:tcPr>
          <w:p w14:paraId="1A176C84"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13</w:t>
            </w:r>
          </w:p>
        </w:tc>
        <w:tc>
          <w:tcPr>
            <w:tcW w:w="969" w:type="dxa"/>
            <w:shd w:val="clear" w:color="auto" w:fill="auto"/>
            <w:noWrap/>
            <w:vAlign w:val="center"/>
          </w:tcPr>
          <w:p w14:paraId="0FAAD361"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7,03%</w:t>
            </w:r>
          </w:p>
        </w:tc>
      </w:tr>
      <w:tr w:rsidR="00B91B2B" w:rsidRPr="00E01239" w14:paraId="69C5C331" w14:textId="77777777" w:rsidTr="00263B8A">
        <w:trPr>
          <w:trHeight w:val="293"/>
        </w:trPr>
        <w:tc>
          <w:tcPr>
            <w:tcW w:w="2263" w:type="dxa"/>
            <w:shd w:val="clear" w:color="auto" w:fill="auto"/>
            <w:noWrap/>
            <w:vAlign w:val="center"/>
          </w:tcPr>
          <w:p w14:paraId="59F51175"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 xml:space="preserve">Organisations de producteurs </w:t>
            </w:r>
          </w:p>
        </w:tc>
        <w:tc>
          <w:tcPr>
            <w:tcW w:w="4962" w:type="dxa"/>
            <w:vAlign w:val="center"/>
          </w:tcPr>
          <w:p w14:paraId="29AB9C62"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Gestion, promotion de la filière viande ;</w:t>
            </w:r>
          </w:p>
          <w:p w14:paraId="379B1E24"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Promotion et développement de l'agriculture et de l'élevage ;</w:t>
            </w:r>
          </w:p>
          <w:p w14:paraId="54E009F1"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Promotion et développement de la filière laitière</w:t>
            </w:r>
          </w:p>
        </w:tc>
        <w:tc>
          <w:tcPr>
            <w:tcW w:w="850" w:type="dxa"/>
            <w:shd w:val="clear" w:color="auto" w:fill="auto"/>
            <w:noWrap/>
            <w:vAlign w:val="center"/>
          </w:tcPr>
          <w:p w14:paraId="31EA4B9A"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23</w:t>
            </w:r>
          </w:p>
        </w:tc>
        <w:tc>
          <w:tcPr>
            <w:tcW w:w="969" w:type="dxa"/>
            <w:shd w:val="clear" w:color="auto" w:fill="auto"/>
            <w:noWrap/>
            <w:vAlign w:val="center"/>
          </w:tcPr>
          <w:p w14:paraId="04631FC0"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12,43%</w:t>
            </w:r>
          </w:p>
        </w:tc>
      </w:tr>
      <w:tr w:rsidR="00B91B2B" w:rsidRPr="00E01239" w14:paraId="763AFCF1" w14:textId="77777777" w:rsidTr="00263B8A">
        <w:trPr>
          <w:trHeight w:val="293"/>
        </w:trPr>
        <w:tc>
          <w:tcPr>
            <w:tcW w:w="2263" w:type="dxa"/>
            <w:shd w:val="clear" w:color="auto" w:fill="auto"/>
            <w:noWrap/>
            <w:vAlign w:val="center"/>
          </w:tcPr>
          <w:p w14:paraId="62DE22B7"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Groupement de Promotion Féminine (GPF)</w:t>
            </w:r>
          </w:p>
        </w:tc>
        <w:tc>
          <w:tcPr>
            <w:tcW w:w="4962" w:type="dxa"/>
            <w:vAlign w:val="center"/>
          </w:tcPr>
          <w:p w14:paraId="7EE6A03E"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Développement économique, sociale et promotion de la femme</w:t>
            </w:r>
          </w:p>
        </w:tc>
        <w:tc>
          <w:tcPr>
            <w:tcW w:w="850" w:type="dxa"/>
            <w:shd w:val="clear" w:color="auto" w:fill="auto"/>
            <w:noWrap/>
            <w:vAlign w:val="center"/>
          </w:tcPr>
          <w:p w14:paraId="709E5B96"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4</w:t>
            </w:r>
          </w:p>
        </w:tc>
        <w:tc>
          <w:tcPr>
            <w:tcW w:w="969" w:type="dxa"/>
            <w:shd w:val="clear" w:color="auto" w:fill="auto"/>
            <w:noWrap/>
            <w:vAlign w:val="center"/>
          </w:tcPr>
          <w:p w14:paraId="062C8D72"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2,16%</w:t>
            </w:r>
          </w:p>
        </w:tc>
      </w:tr>
      <w:tr w:rsidR="00B91B2B" w:rsidRPr="00E01239" w14:paraId="29FAE542" w14:textId="77777777" w:rsidTr="00263B8A">
        <w:trPr>
          <w:trHeight w:val="293"/>
        </w:trPr>
        <w:tc>
          <w:tcPr>
            <w:tcW w:w="2263" w:type="dxa"/>
            <w:shd w:val="clear" w:color="auto" w:fill="auto"/>
            <w:noWrap/>
            <w:vAlign w:val="center"/>
          </w:tcPr>
          <w:p w14:paraId="5006A209"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Acteurs Communautaires</w:t>
            </w:r>
          </w:p>
        </w:tc>
        <w:tc>
          <w:tcPr>
            <w:tcW w:w="4962" w:type="dxa"/>
            <w:vAlign w:val="center"/>
          </w:tcPr>
          <w:p w14:paraId="2983101B"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Services de santé publique et action sociale</w:t>
            </w:r>
          </w:p>
        </w:tc>
        <w:tc>
          <w:tcPr>
            <w:tcW w:w="850" w:type="dxa"/>
            <w:shd w:val="clear" w:color="auto" w:fill="auto"/>
            <w:noWrap/>
            <w:vAlign w:val="center"/>
          </w:tcPr>
          <w:p w14:paraId="240DB7AC"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3</w:t>
            </w:r>
          </w:p>
        </w:tc>
        <w:tc>
          <w:tcPr>
            <w:tcW w:w="969" w:type="dxa"/>
            <w:shd w:val="clear" w:color="auto" w:fill="auto"/>
            <w:noWrap/>
            <w:vAlign w:val="center"/>
          </w:tcPr>
          <w:p w14:paraId="3D4C0F7C"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1,62%</w:t>
            </w:r>
          </w:p>
        </w:tc>
      </w:tr>
      <w:tr w:rsidR="00B91B2B" w:rsidRPr="00E01239" w14:paraId="5DC58AF2" w14:textId="77777777" w:rsidTr="00263B8A">
        <w:trPr>
          <w:trHeight w:val="293"/>
        </w:trPr>
        <w:tc>
          <w:tcPr>
            <w:tcW w:w="2263" w:type="dxa"/>
            <w:shd w:val="clear" w:color="auto" w:fill="auto"/>
            <w:noWrap/>
            <w:vAlign w:val="center"/>
          </w:tcPr>
          <w:p w14:paraId="1939ED52"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Secteur privé</w:t>
            </w:r>
          </w:p>
        </w:tc>
        <w:tc>
          <w:tcPr>
            <w:tcW w:w="4962" w:type="dxa"/>
            <w:vAlign w:val="center"/>
          </w:tcPr>
          <w:p w14:paraId="5E521C2F"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Diffusion de l'information (presse locale)</w:t>
            </w:r>
          </w:p>
        </w:tc>
        <w:tc>
          <w:tcPr>
            <w:tcW w:w="850" w:type="dxa"/>
            <w:shd w:val="clear" w:color="auto" w:fill="auto"/>
            <w:noWrap/>
            <w:vAlign w:val="center"/>
          </w:tcPr>
          <w:p w14:paraId="0F101629"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9</w:t>
            </w:r>
          </w:p>
        </w:tc>
        <w:tc>
          <w:tcPr>
            <w:tcW w:w="969" w:type="dxa"/>
            <w:shd w:val="clear" w:color="auto" w:fill="auto"/>
            <w:noWrap/>
            <w:vAlign w:val="center"/>
          </w:tcPr>
          <w:p w14:paraId="772EE9A0"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4,86%</w:t>
            </w:r>
          </w:p>
        </w:tc>
      </w:tr>
      <w:tr w:rsidR="00B91B2B" w:rsidRPr="00E01239" w14:paraId="252A90C0" w14:textId="77777777" w:rsidTr="00263B8A">
        <w:trPr>
          <w:trHeight w:val="293"/>
        </w:trPr>
        <w:tc>
          <w:tcPr>
            <w:tcW w:w="2263" w:type="dxa"/>
            <w:shd w:val="clear" w:color="auto" w:fill="auto"/>
            <w:noWrap/>
            <w:vAlign w:val="center"/>
          </w:tcPr>
          <w:p w14:paraId="7E704E6F"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Organisations de la société civile (OSC)</w:t>
            </w:r>
          </w:p>
        </w:tc>
        <w:tc>
          <w:tcPr>
            <w:tcW w:w="4962" w:type="dxa"/>
            <w:vAlign w:val="center"/>
          </w:tcPr>
          <w:p w14:paraId="357E0770"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t>Développement économique, culturel, social et promotion de la femme</w:t>
            </w:r>
          </w:p>
          <w:p w14:paraId="3EF02B21" w14:textId="77777777" w:rsidR="00B91B2B" w:rsidRPr="00E01239" w:rsidRDefault="00B91B2B" w:rsidP="00027669">
            <w:pPr>
              <w:numPr>
                <w:ilvl w:val="0"/>
                <w:numId w:val="153"/>
              </w:numPr>
              <w:contextualSpacing/>
              <w:rPr>
                <w:rFonts w:asciiTheme="minorHAnsi" w:eastAsia="Calibri" w:hAnsiTheme="minorHAnsi" w:cstheme="minorHAnsi"/>
                <w:sz w:val="20"/>
                <w:szCs w:val="20"/>
                <w:lang w:eastAsia="en-US"/>
              </w:rPr>
            </w:pPr>
            <w:r w:rsidRPr="00E01239">
              <w:rPr>
                <w:rFonts w:asciiTheme="minorHAnsi" w:eastAsia="Calibri" w:hAnsiTheme="minorHAnsi" w:cstheme="minorHAnsi"/>
                <w:sz w:val="20"/>
                <w:szCs w:val="20"/>
                <w:lang w:eastAsia="en-US"/>
              </w:rPr>
              <w:lastRenderedPageBreak/>
              <w:t>Formation technique et professionnelle</w:t>
            </w:r>
          </w:p>
        </w:tc>
        <w:tc>
          <w:tcPr>
            <w:tcW w:w="850" w:type="dxa"/>
            <w:shd w:val="clear" w:color="auto" w:fill="auto"/>
            <w:noWrap/>
            <w:vAlign w:val="center"/>
          </w:tcPr>
          <w:p w14:paraId="1EB369DB"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lastRenderedPageBreak/>
              <w:t>4</w:t>
            </w:r>
          </w:p>
        </w:tc>
        <w:tc>
          <w:tcPr>
            <w:tcW w:w="969" w:type="dxa"/>
            <w:shd w:val="clear" w:color="auto" w:fill="auto"/>
            <w:noWrap/>
            <w:vAlign w:val="center"/>
          </w:tcPr>
          <w:p w14:paraId="63F0BA5E" w14:textId="77777777" w:rsidR="00B91B2B" w:rsidRPr="00E01239" w:rsidRDefault="00B91B2B" w:rsidP="008C0C70">
            <w:pPr>
              <w:jc w:val="center"/>
              <w:rPr>
                <w:rFonts w:asciiTheme="minorHAnsi" w:hAnsiTheme="minorHAnsi" w:cstheme="minorHAnsi"/>
                <w:color w:val="000000"/>
                <w:sz w:val="20"/>
                <w:szCs w:val="20"/>
              </w:rPr>
            </w:pPr>
            <w:r w:rsidRPr="00E01239">
              <w:rPr>
                <w:rFonts w:asciiTheme="minorHAnsi" w:hAnsiTheme="minorHAnsi" w:cstheme="minorHAnsi"/>
                <w:color w:val="000000"/>
                <w:sz w:val="20"/>
                <w:szCs w:val="20"/>
              </w:rPr>
              <w:t>2,16%</w:t>
            </w:r>
          </w:p>
        </w:tc>
      </w:tr>
      <w:tr w:rsidR="00B91B2B" w:rsidRPr="00E01239" w14:paraId="27606894" w14:textId="77777777" w:rsidTr="00263B8A">
        <w:trPr>
          <w:trHeight w:val="293"/>
        </w:trPr>
        <w:tc>
          <w:tcPr>
            <w:tcW w:w="2263" w:type="dxa"/>
            <w:shd w:val="clear" w:color="D9E1F2" w:fill="D9E1F2"/>
            <w:noWrap/>
            <w:vAlign w:val="center"/>
            <w:hideMark/>
          </w:tcPr>
          <w:p w14:paraId="6CFFDF1A" w14:textId="77777777" w:rsidR="00B91B2B" w:rsidRPr="00E01239" w:rsidRDefault="00B91B2B" w:rsidP="008C0C70">
            <w:pP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Total général</w:t>
            </w:r>
          </w:p>
        </w:tc>
        <w:tc>
          <w:tcPr>
            <w:tcW w:w="4962" w:type="dxa"/>
            <w:shd w:val="clear" w:color="D9E1F2" w:fill="D9E1F2"/>
            <w:vAlign w:val="center"/>
          </w:tcPr>
          <w:p w14:paraId="2F1EE1FB" w14:textId="77777777" w:rsidR="00B91B2B" w:rsidRPr="00E01239" w:rsidRDefault="00B91B2B" w:rsidP="008C0C70">
            <w:pPr>
              <w:jc w:val="right"/>
              <w:rPr>
                <w:rFonts w:asciiTheme="minorHAnsi" w:hAnsiTheme="minorHAnsi" w:cstheme="minorHAnsi"/>
                <w:b/>
                <w:bCs/>
                <w:color w:val="000000"/>
                <w:sz w:val="20"/>
                <w:szCs w:val="20"/>
              </w:rPr>
            </w:pPr>
          </w:p>
        </w:tc>
        <w:tc>
          <w:tcPr>
            <w:tcW w:w="850" w:type="dxa"/>
            <w:shd w:val="clear" w:color="D9E1F2" w:fill="D9E1F2"/>
            <w:noWrap/>
            <w:vAlign w:val="center"/>
            <w:hideMark/>
          </w:tcPr>
          <w:p w14:paraId="4ED025A3"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185</w:t>
            </w:r>
          </w:p>
        </w:tc>
        <w:tc>
          <w:tcPr>
            <w:tcW w:w="969" w:type="dxa"/>
            <w:shd w:val="clear" w:color="D9E1F2" w:fill="D9E1F2"/>
            <w:noWrap/>
            <w:vAlign w:val="center"/>
            <w:hideMark/>
          </w:tcPr>
          <w:p w14:paraId="2240B4AF" w14:textId="77777777" w:rsidR="00B91B2B" w:rsidRPr="00E01239" w:rsidRDefault="00B91B2B" w:rsidP="008C0C70">
            <w:pPr>
              <w:jc w:val="center"/>
              <w:rPr>
                <w:rFonts w:asciiTheme="minorHAnsi" w:hAnsiTheme="minorHAnsi" w:cstheme="minorHAnsi"/>
                <w:b/>
                <w:bCs/>
                <w:color w:val="000000"/>
                <w:sz w:val="20"/>
                <w:szCs w:val="20"/>
              </w:rPr>
            </w:pPr>
            <w:r w:rsidRPr="00E01239">
              <w:rPr>
                <w:rFonts w:asciiTheme="minorHAnsi" w:hAnsiTheme="minorHAnsi" w:cstheme="minorHAnsi"/>
                <w:b/>
                <w:bCs/>
                <w:color w:val="000000"/>
                <w:sz w:val="20"/>
                <w:szCs w:val="20"/>
              </w:rPr>
              <w:t>100%</w:t>
            </w:r>
          </w:p>
        </w:tc>
      </w:tr>
    </w:tbl>
    <w:p w14:paraId="585BAABF" w14:textId="77777777" w:rsidR="00B91B2B" w:rsidRPr="00E01239" w:rsidRDefault="00B91B2B" w:rsidP="00263B8A">
      <w:pPr>
        <w:tabs>
          <w:tab w:val="left" w:pos="3093"/>
        </w:tabs>
        <w:spacing w:before="120" w:line="280" w:lineRule="exact"/>
        <w:jc w:val="both"/>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Au total 269 personnes, toutes catégories confondues, ont été consultées à travers les huit (8) régions visitées. La région de Diourbel a enregistré le plus de rencontres avec 65 personnes consultées soit 24,16%, suivie de la région de Tambacounda, 40 personnes soit 14,87% et de la région de Ziguinchor avec 35 personnes soit 13,01%. Les régions de Kaffrine et de Dakar enregistreront respectivement 31 et 30 soit 11,52% et 11,15% des personnes rencontrées. Les régions de Louga, Kaolack et Thiès ont enregistré pour leur part respectivement 25,23 et 20 personnes soit 9,29%, 8,55% et 7,43%.</w:t>
      </w:r>
    </w:p>
    <w:p w14:paraId="4FB25886" w14:textId="2AAFE1B6" w:rsidR="00B91B2B" w:rsidRPr="00E01239" w:rsidRDefault="00B91B2B" w:rsidP="00263B8A">
      <w:pPr>
        <w:tabs>
          <w:tab w:val="left" w:pos="3093"/>
        </w:tabs>
        <w:spacing w:before="120" w:line="280" w:lineRule="exact"/>
        <w:jc w:val="both"/>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Le tableau n°</w:t>
      </w:r>
      <w:r w:rsidR="00F73EAB" w:rsidRPr="00E01239">
        <w:rPr>
          <w:rFonts w:asciiTheme="minorHAnsi" w:eastAsia="Calibri" w:hAnsiTheme="minorHAnsi" w:cstheme="minorHAnsi"/>
          <w:sz w:val="22"/>
          <w:szCs w:val="22"/>
          <w:lang w:eastAsia="fr-CA"/>
        </w:rPr>
        <w:t>30</w:t>
      </w:r>
      <w:r w:rsidR="00394A82" w:rsidRPr="00E01239">
        <w:rPr>
          <w:rFonts w:asciiTheme="minorHAnsi" w:eastAsia="Calibri" w:hAnsiTheme="minorHAnsi" w:cstheme="minorHAnsi"/>
          <w:sz w:val="22"/>
          <w:szCs w:val="22"/>
          <w:lang w:eastAsia="fr-CA"/>
        </w:rPr>
        <w:t xml:space="preserve"> </w:t>
      </w:r>
      <w:r w:rsidRPr="00E01239">
        <w:rPr>
          <w:rFonts w:asciiTheme="minorHAnsi" w:eastAsia="Calibri" w:hAnsiTheme="minorHAnsi" w:cstheme="minorHAnsi"/>
          <w:sz w:val="22"/>
          <w:szCs w:val="22"/>
          <w:lang w:eastAsia="fr-CA"/>
        </w:rPr>
        <w:t>présente le détail des proportions par région.</w:t>
      </w:r>
    </w:p>
    <w:p w14:paraId="07FADF2E" w14:textId="77777777" w:rsidR="00B91B2B" w:rsidRPr="00E01239" w:rsidRDefault="00B91B2B" w:rsidP="00B91B2B">
      <w:pPr>
        <w:tabs>
          <w:tab w:val="left" w:pos="3093"/>
        </w:tabs>
        <w:spacing w:before="120" w:line="280" w:lineRule="exact"/>
        <w:jc w:val="both"/>
        <w:rPr>
          <w:rFonts w:asciiTheme="minorHAnsi" w:eastAsia="Calibri" w:hAnsiTheme="minorHAnsi" w:cstheme="minorHAnsi"/>
          <w:sz w:val="16"/>
          <w:szCs w:val="22"/>
          <w:lang w:eastAsia="fr-CA"/>
        </w:rPr>
      </w:pPr>
    </w:p>
    <w:p w14:paraId="3E509AAA" w14:textId="65C28701" w:rsidR="00B91B2B" w:rsidRPr="00E01239" w:rsidRDefault="00B91B2B" w:rsidP="00263B8A">
      <w:pPr>
        <w:keepNext/>
        <w:jc w:val="center"/>
        <w:rPr>
          <w:rFonts w:asciiTheme="minorHAnsi" w:eastAsia="Calibri" w:hAnsiTheme="minorHAnsi" w:cstheme="minorHAnsi"/>
          <w:iCs/>
          <w:sz w:val="22"/>
          <w:szCs w:val="18"/>
          <w:lang w:eastAsia="en-US"/>
        </w:rPr>
      </w:pPr>
      <w:bookmarkStart w:id="1063" w:name="_Toc131608973"/>
      <w:bookmarkStart w:id="1064" w:name="_Toc142583032"/>
      <w:bookmarkStart w:id="1065" w:name="_Toc144654210"/>
      <w:r w:rsidRPr="00E01239">
        <w:rPr>
          <w:rFonts w:asciiTheme="minorHAnsi" w:eastAsia="Calibri" w:hAnsiTheme="minorHAnsi" w:cstheme="minorHAnsi"/>
          <w:b/>
          <w:iCs/>
          <w:sz w:val="22"/>
          <w:szCs w:val="18"/>
          <w:lang w:eastAsia="en-US"/>
        </w:rPr>
        <w:t>Tableau</w:t>
      </w:r>
      <w:r w:rsidR="00B203AB" w:rsidRPr="00E01239">
        <w:rPr>
          <w:rFonts w:asciiTheme="minorHAnsi" w:eastAsia="Calibri" w:hAnsiTheme="minorHAnsi" w:cstheme="minorHAnsi"/>
          <w:b/>
          <w:iCs/>
          <w:sz w:val="22"/>
          <w:szCs w:val="18"/>
          <w:lang w:eastAsia="en-US"/>
        </w:rPr>
        <w:t>31</w:t>
      </w:r>
      <w:r w:rsidRPr="00E01239">
        <w:rPr>
          <w:rFonts w:asciiTheme="minorHAnsi" w:eastAsia="Calibri" w:hAnsiTheme="minorHAnsi" w:cstheme="minorHAnsi"/>
          <w:b/>
          <w:iCs/>
          <w:sz w:val="22"/>
          <w:szCs w:val="18"/>
          <w:lang w:eastAsia="en-US"/>
        </w:rPr>
        <w:t xml:space="preserve"> : </w:t>
      </w:r>
      <w:r w:rsidRPr="00E01239">
        <w:rPr>
          <w:rFonts w:asciiTheme="minorHAnsi" w:eastAsia="Calibri" w:hAnsiTheme="minorHAnsi" w:cstheme="minorHAnsi"/>
          <w:iCs/>
          <w:sz w:val="22"/>
          <w:szCs w:val="18"/>
          <w:lang w:eastAsia="en-US"/>
        </w:rPr>
        <w:t>Proportion de personnes consultées par région</w:t>
      </w:r>
      <w:bookmarkEnd w:id="1063"/>
      <w:bookmarkEnd w:id="1064"/>
      <w:bookmarkEnd w:id="1065"/>
    </w:p>
    <w:tbl>
      <w:tblPr>
        <w:tblStyle w:val="SGSTableBasic15"/>
        <w:tblW w:w="5000" w:type="pct"/>
        <w:jc w:val="center"/>
        <w:tblLook w:val="04A0" w:firstRow="1" w:lastRow="0" w:firstColumn="1" w:lastColumn="0" w:noHBand="0" w:noVBand="1"/>
      </w:tblPr>
      <w:tblGrid>
        <w:gridCol w:w="2719"/>
        <w:gridCol w:w="4302"/>
        <w:gridCol w:w="2039"/>
      </w:tblGrid>
      <w:tr w:rsidR="00B91B2B" w:rsidRPr="00E01239" w14:paraId="3E2D6D61" w14:textId="77777777" w:rsidTr="008C0C70">
        <w:trPr>
          <w:jc w:val="center"/>
        </w:trPr>
        <w:tc>
          <w:tcPr>
            <w:tcW w:w="1501" w:type="pct"/>
            <w:shd w:val="clear" w:color="auto" w:fill="000000" w:themeFill="text1"/>
            <w:vAlign w:val="center"/>
          </w:tcPr>
          <w:p w14:paraId="354A3304" w14:textId="77777777" w:rsidR="00B91B2B" w:rsidRPr="00E01239" w:rsidRDefault="00B91B2B" w:rsidP="008C0C70">
            <w:pPr>
              <w:tabs>
                <w:tab w:val="left" w:pos="3093"/>
              </w:tabs>
              <w:jc w:val="center"/>
              <w:rPr>
                <w:rFonts w:asciiTheme="minorHAnsi" w:hAnsiTheme="minorHAnsi" w:cstheme="minorHAnsi"/>
                <w:b/>
                <w:color w:val="FFFFFF" w:themeColor="background1"/>
                <w:sz w:val="22"/>
                <w:szCs w:val="22"/>
                <w:lang w:val="fr-FR" w:eastAsia="fr-CA"/>
              </w:rPr>
            </w:pPr>
            <w:r w:rsidRPr="00E01239">
              <w:rPr>
                <w:rFonts w:asciiTheme="minorHAnsi" w:hAnsiTheme="minorHAnsi" w:cstheme="minorHAnsi"/>
                <w:b/>
                <w:color w:val="FFFFFF" w:themeColor="background1"/>
                <w:sz w:val="22"/>
                <w:szCs w:val="22"/>
                <w:lang w:val="fr-FR" w:eastAsia="fr-CA"/>
              </w:rPr>
              <w:t>Région</w:t>
            </w:r>
          </w:p>
        </w:tc>
        <w:tc>
          <w:tcPr>
            <w:tcW w:w="2374" w:type="pct"/>
            <w:shd w:val="clear" w:color="auto" w:fill="000000" w:themeFill="text1"/>
            <w:vAlign w:val="center"/>
          </w:tcPr>
          <w:p w14:paraId="7A93F053" w14:textId="77777777" w:rsidR="00B91B2B" w:rsidRPr="00E01239" w:rsidRDefault="00B91B2B" w:rsidP="008C0C70">
            <w:pPr>
              <w:tabs>
                <w:tab w:val="left" w:pos="3093"/>
              </w:tabs>
              <w:jc w:val="center"/>
              <w:rPr>
                <w:rFonts w:asciiTheme="minorHAnsi" w:hAnsiTheme="minorHAnsi" w:cstheme="minorHAnsi"/>
                <w:b/>
                <w:color w:val="FFFFFF" w:themeColor="background1"/>
                <w:sz w:val="22"/>
                <w:szCs w:val="22"/>
                <w:lang w:val="fr-FR" w:eastAsia="fr-CA"/>
              </w:rPr>
            </w:pPr>
            <w:r w:rsidRPr="00E01239">
              <w:rPr>
                <w:rFonts w:asciiTheme="minorHAnsi" w:hAnsiTheme="minorHAnsi" w:cstheme="minorHAnsi"/>
                <w:b/>
                <w:color w:val="FFFFFF" w:themeColor="background1"/>
                <w:sz w:val="22"/>
                <w:szCs w:val="22"/>
                <w:lang w:val="fr-FR" w:eastAsia="fr-CA"/>
              </w:rPr>
              <w:t>Nombre</w:t>
            </w:r>
          </w:p>
        </w:tc>
        <w:tc>
          <w:tcPr>
            <w:tcW w:w="1125" w:type="pct"/>
            <w:shd w:val="clear" w:color="auto" w:fill="000000" w:themeFill="text1"/>
            <w:vAlign w:val="center"/>
          </w:tcPr>
          <w:p w14:paraId="1877921F" w14:textId="77777777" w:rsidR="00B91B2B" w:rsidRPr="00E01239" w:rsidRDefault="00B91B2B" w:rsidP="008C0C70">
            <w:pPr>
              <w:tabs>
                <w:tab w:val="left" w:pos="3093"/>
              </w:tabs>
              <w:jc w:val="center"/>
              <w:rPr>
                <w:rFonts w:asciiTheme="minorHAnsi" w:hAnsiTheme="minorHAnsi" w:cstheme="minorHAnsi"/>
                <w:b/>
                <w:color w:val="FFFFFF" w:themeColor="background1"/>
                <w:sz w:val="22"/>
                <w:szCs w:val="22"/>
                <w:lang w:val="fr-FR" w:eastAsia="fr-CA"/>
              </w:rPr>
            </w:pPr>
            <w:r w:rsidRPr="00E01239">
              <w:rPr>
                <w:rFonts w:asciiTheme="minorHAnsi" w:hAnsiTheme="minorHAnsi" w:cstheme="minorHAnsi"/>
                <w:b/>
                <w:color w:val="FFFFFF" w:themeColor="background1"/>
                <w:sz w:val="22"/>
                <w:szCs w:val="22"/>
                <w:lang w:val="fr-FR" w:eastAsia="fr-CA"/>
              </w:rPr>
              <w:t xml:space="preserve">Pourcentage </w:t>
            </w:r>
          </w:p>
        </w:tc>
      </w:tr>
      <w:tr w:rsidR="00B91B2B" w:rsidRPr="00E01239" w14:paraId="41764C44" w14:textId="77777777" w:rsidTr="008C0C70">
        <w:trPr>
          <w:jc w:val="center"/>
        </w:trPr>
        <w:tc>
          <w:tcPr>
            <w:tcW w:w="1501" w:type="pct"/>
          </w:tcPr>
          <w:p w14:paraId="6FC9EBF7"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Diourbel</w:t>
            </w:r>
          </w:p>
        </w:tc>
        <w:tc>
          <w:tcPr>
            <w:tcW w:w="2374" w:type="pct"/>
          </w:tcPr>
          <w:p w14:paraId="306E58BE"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65</w:t>
            </w:r>
          </w:p>
        </w:tc>
        <w:tc>
          <w:tcPr>
            <w:tcW w:w="1125" w:type="pct"/>
          </w:tcPr>
          <w:p w14:paraId="144F4E2A"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24,16%</w:t>
            </w:r>
          </w:p>
        </w:tc>
      </w:tr>
      <w:tr w:rsidR="00B91B2B" w:rsidRPr="00E01239" w14:paraId="56880F7C" w14:textId="77777777" w:rsidTr="008C0C70">
        <w:trPr>
          <w:jc w:val="center"/>
        </w:trPr>
        <w:tc>
          <w:tcPr>
            <w:tcW w:w="1501" w:type="pct"/>
          </w:tcPr>
          <w:p w14:paraId="7258B094"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Tambacounda</w:t>
            </w:r>
          </w:p>
        </w:tc>
        <w:tc>
          <w:tcPr>
            <w:tcW w:w="2374" w:type="pct"/>
          </w:tcPr>
          <w:p w14:paraId="4F7B22D6"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40</w:t>
            </w:r>
          </w:p>
        </w:tc>
        <w:tc>
          <w:tcPr>
            <w:tcW w:w="1125" w:type="pct"/>
          </w:tcPr>
          <w:p w14:paraId="41F45C5C"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14,87%</w:t>
            </w:r>
          </w:p>
        </w:tc>
      </w:tr>
      <w:tr w:rsidR="00B91B2B" w:rsidRPr="00E01239" w14:paraId="694F3F80" w14:textId="77777777" w:rsidTr="008C0C70">
        <w:trPr>
          <w:jc w:val="center"/>
        </w:trPr>
        <w:tc>
          <w:tcPr>
            <w:tcW w:w="1501" w:type="pct"/>
          </w:tcPr>
          <w:p w14:paraId="3CC6EEA0"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Thiès</w:t>
            </w:r>
          </w:p>
        </w:tc>
        <w:tc>
          <w:tcPr>
            <w:tcW w:w="2374" w:type="pct"/>
          </w:tcPr>
          <w:p w14:paraId="36BD3D27"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20</w:t>
            </w:r>
          </w:p>
        </w:tc>
        <w:tc>
          <w:tcPr>
            <w:tcW w:w="1125" w:type="pct"/>
          </w:tcPr>
          <w:p w14:paraId="14DFD085"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7,43%</w:t>
            </w:r>
          </w:p>
        </w:tc>
      </w:tr>
      <w:tr w:rsidR="00B91B2B" w:rsidRPr="00E01239" w14:paraId="5ADE9707" w14:textId="77777777" w:rsidTr="008C0C70">
        <w:trPr>
          <w:jc w:val="center"/>
        </w:trPr>
        <w:tc>
          <w:tcPr>
            <w:tcW w:w="1501" w:type="pct"/>
          </w:tcPr>
          <w:p w14:paraId="204412C1"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Kaffrine</w:t>
            </w:r>
          </w:p>
        </w:tc>
        <w:tc>
          <w:tcPr>
            <w:tcW w:w="2374" w:type="pct"/>
          </w:tcPr>
          <w:p w14:paraId="6E903640"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31</w:t>
            </w:r>
          </w:p>
        </w:tc>
        <w:tc>
          <w:tcPr>
            <w:tcW w:w="1125" w:type="pct"/>
          </w:tcPr>
          <w:p w14:paraId="2D7E21AC"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11,52%</w:t>
            </w:r>
          </w:p>
        </w:tc>
      </w:tr>
      <w:tr w:rsidR="00B91B2B" w:rsidRPr="00E01239" w14:paraId="50787977" w14:textId="77777777" w:rsidTr="008C0C70">
        <w:trPr>
          <w:jc w:val="center"/>
        </w:trPr>
        <w:tc>
          <w:tcPr>
            <w:tcW w:w="1501" w:type="pct"/>
          </w:tcPr>
          <w:p w14:paraId="2854D5B0"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Kaolack</w:t>
            </w:r>
          </w:p>
        </w:tc>
        <w:tc>
          <w:tcPr>
            <w:tcW w:w="2374" w:type="pct"/>
            <w:vAlign w:val="center"/>
          </w:tcPr>
          <w:p w14:paraId="59969B3A"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23</w:t>
            </w:r>
          </w:p>
        </w:tc>
        <w:tc>
          <w:tcPr>
            <w:tcW w:w="1125" w:type="pct"/>
          </w:tcPr>
          <w:p w14:paraId="01CDD531"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8,55%</w:t>
            </w:r>
          </w:p>
        </w:tc>
      </w:tr>
      <w:tr w:rsidR="00B91B2B" w:rsidRPr="00E01239" w14:paraId="679A530A" w14:textId="77777777" w:rsidTr="008C0C70">
        <w:trPr>
          <w:jc w:val="center"/>
        </w:trPr>
        <w:tc>
          <w:tcPr>
            <w:tcW w:w="1501" w:type="pct"/>
          </w:tcPr>
          <w:p w14:paraId="38D89AB5"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Ziguinchor</w:t>
            </w:r>
          </w:p>
        </w:tc>
        <w:tc>
          <w:tcPr>
            <w:tcW w:w="2374" w:type="pct"/>
            <w:vAlign w:val="center"/>
          </w:tcPr>
          <w:p w14:paraId="68B3DF61"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35</w:t>
            </w:r>
          </w:p>
        </w:tc>
        <w:tc>
          <w:tcPr>
            <w:tcW w:w="1125" w:type="pct"/>
          </w:tcPr>
          <w:p w14:paraId="578D6CF8"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13,01</w:t>
            </w:r>
          </w:p>
        </w:tc>
      </w:tr>
      <w:tr w:rsidR="00B91B2B" w:rsidRPr="00E01239" w14:paraId="3C9230EA" w14:textId="77777777" w:rsidTr="008C0C70">
        <w:trPr>
          <w:jc w:val="center"/>
        </w:trPr>
        <w:tc>
          <w:tcPr>
            <w:tcW w:w="1501" w:type="pct"/>
          </w:tcPr>
          <w:p w14:paraId="26708485"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Dakar</w:t>
            </w:r>
          </w:p>
        </w:tc>
        <w:tc>
          <w:tcPr>
            <w:tcW w:w="2374" w:type="pct"/>
            <w:vAlign w:val="center"/>
          </w:tcPr>
          <w:p w14:paraId="4598ACA5"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30</w:t>
            </w:r>
          </w:p>
        </w:tc>
        <w:tc>
          <w:tcPr>
            <w:tcW w:w="1125" w:type="pct"/>
          </w:tcPr>
          <w:p w14:paraId="0D2416FA"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11,15</w:t>
            </w:r>
          </w:p>
        </w:tc>
      </w:tr>
      <w:tr w:rsidR="00B91B2B" w:rsidRPr="00E01239" w14:paraId="2B9E882E" w14:textId="77777777" w:rsidTr="008C0C70">
        <w:trPr>
          <w:jc w:val="center"/>
        </w:trPr>
        <w:tc>
          <w:tcPr>
            <w:tcW w:w="1501" w:type="pct"/>
          </w:tcPr>
          <w:p w14:paraId="4F6B4E68"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Louga</w:t>
            </w:r>
          </w:p>
        </w:tc>
        <w:tc>
          <w:tcPr>
            <w:tcW w:w="2374" w:type="pct"/>
            <w:vAlign w:val="center"/>
          </w:tcPr>
          <w:p w14:paraId="62ABDDF8"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25</w:t>
            </w:r>
          </w:p>
        </w:tc>
        <w:tc>
          <w:tcPr>
            <w:tcW w:w="1125" w:type="pct"/>
          </w:tcPr>
          <w:p w14:paraId="766F6C66"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9,29</w:t>
            </w:r>
          </w:p>
        </w:tc>
      </w:tr>
      <w:tr w:rsidR="00B91B2B" w:rsidRPr="00E01239" w14:paraId="06BBD71F" w14:textId="77777777" w:rsidTr="008C0C70">
        <w:trPr>
          <w:jc w:val="center"/>
        </w:trPr>
        <w:tc>
          <w:tcPr>
            <w:tcW w:w="1501" w:type="pct"/>
            <w:shd w:val="clear" w:color="auto" w:fill="BFBFBF"/>
          </w:tcPr>
          <w:p w14:paraId="7BDB21C0"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b/>
                <w:sz w:val="22"/>
                <w:szCs w:val="22"/>
                <w:lang w:val="fr-FR" w:eastAsia="fr-CA"/>
              </w:rPr>
              <w:t>Total</w:t>
            </w:r>
          </w:p>
        </w:tc>
        <w:tc>
          <w:tcPr>
            <w:tcW w:w="2374" w:type="pct"/>
            <w:shd w:val="clear" w:color="auto" w:fill="BFBFBF"/>
          </w:tcPr>
          <w:p w14:paraId="20AAC92C" w14:textId="77777777" w:rsidR="00B91B2B" w:rsidRPr="00E01239" w:rsidRDefault="00B91B2B" w:rsidP="008C0C70">
            <w:pPr>
              <w:tabs>
                <w:tab w:val="left" w:pos="3093"/>
              </w:tabs>
              <w:jc w:val="center"/>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269</w:t>
            </w:r>
          </w:p>
        </w:tc>
        <w:tc>
          <w:tcPr>
            <w:tcW w:w="1125" w:type="pct"/>
            <w:shd w:val="clear" w:color="auto" w:fill="BFBFBF"/>
          </w:tcPr>
          <w:p w14:paraId="52F471BA" w14:textId="77777777" w:rsidR="00B91B2B" w:rsidRPr="00E01239" w:rsidRDefault="00B91B2B" w:rsidP="008C0C70">
            <w:pPr>
              <w:tabs>
                <w:tab w:val="left" w:pos="3093"/>
              </w:tabs>
              <w:jc w:val="center"/>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100%</w:t>
            </w:r>
          </w:p>
        </w:tc>
      </w:tr>
    </w:tbl>
    <w:p w14:paraId="656C17EE" w14:textId="72C21504" w:rsidR="00B91B2B" w:rsidRPr="00E01239" w:rsidRDefault="00B91B2B" w:rsidP="00263B8A">
      <w:pPr>
        <w:tabs>
          <w:tab w:val="left" w:pos="3093"/>
        </w:tabs>
        <w:spacing w:before="120" w:line="280" w:lineRule="exact"/>
        <w:jc w:val="both"/>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 xml:space="preserve">La répartition du nombre de personnes consultées par sexe établit une proportion relativement élevée d’hommes avec 185 hommes consultés contre 84 femmes. Soit un taux de 68,77% pour les hommes consultés contre 31,23% pour les femmes. </w:t>
      </w:r>
    </w:p>
    <w:p w14:paraId="7EDF00DD" w14:textId="77777777" w:rsidR="00B91B2B" w:rsidRPr="00E01239" w:rsidRDefault="00B91B2B" w:rsidP="00B91B2B">
      <w:pPr>
        <w:tabs>
          <w:tab w:val="left" w:pos="3093"/>
        </w:tabs>
        <w:jc w:val="both"/>
        <w:rPr>
          <w:rFonts w:asciiTheme="minorHAnsi" w:eastAsia="Calibri" w:hAnsiTheme="minorHAnsi" w:cstheme="minorHAnsi"/>
          <w:sz w:val="22"/>
          <w:szCs w:val="22"/>
          <w:lang w:eastAsia="fr-CA"/>
        </w:rPr>
      </w:pPr>
    </w:p>
    <w:p w14:paraId="4C3124B5" w14:textId="1AAD2AA0" w:rsidR="00B91B2B" w:rsidRPr="00E01239" w:rsidRDefault="00B91B2B" w:rsidP="00263B8A">
      <w:pPr>
        <w:keepNext/>
        <w:jc w:val="center"/>
        <w:rPr>
          <w:rFonts w:asciiTheme="minorHAnsi" w:eastAsia="Calibri" w:hAnsiTheme="minorHAnsi" w:cstheme="minorHAnsi"/>
          <w:iCs/>
          <w:sz w:val="22"/>
          <w:szCs w:val="18"/>
          <w:lang w:eastAsia="en-US"/>
        </w:rPr>
      </w:pPr>
      <w:bookmarkStart w:id="1066" w:name="_Toc131608974"/>
      <w:bookmarkStart w:id="1067" w:name="_Toc142583033"/>
      <w:bookmarkStart w:id="1068" w:name="_Toc144654211"/>
      <w:r w:rsidRPr="00E01239">
        <w:rPr>
          <w:rFonts w:asciiTheme="minorHAnsi" w:eastAsia="Calibri" w:hAnsiTheme="minorHAnsi" w:cstheme="minorHAnsi"/>
          <w:b/>
          <w:iCs/>
          <w:sz w:val="22"/>
          <w:szCs w:val="18"/>
          <w:lang w:eastAsia="en-US"/>
        </w:rPr>
        <w:t xml:space="preserve">Tableau </w:t>
      </w:r>
      <w:r w:rsidRPr="00E01239">
        <w:rPr>
          <w:rFonts w:asciiTheme="minorHAnsi" w:eastAsia="Calibri" w:hAnsiTheme="minorHAnsi" w:cstheme="minorHAnsi"/>
          <w:b/>
          <w:iCs/>
          <w:sz w:val="22"/>
          <w:szCs w:val="18"/>
          <w:lang w:eastAsia="en-US"/>
        </w:rPr>
        <w:fldChar w:fldCharType="begin"/>
      </w:r>
      <w:r w:rsidRPr="00E01239">
        <w:rPr>
          <w:rFonts w:asciiTheme="minorHAnsi" w:eastAsia="Calibri" w:hAnsiTheme="minorHAnsi" w:cstheme="minorHAnsi"/>
          <w:b/>
          <w:iCs/>
          <w:sz w:val="22"/>
          <w:szCs w:val="18"/>
          <w:lang w:eastAsia="en-US"/>
        </w:rPr>
        <w:instrText xml:space="preserve"> SEQ Tableau \* ARABIC </w:instrText>
      </w:r>
      <w:r w:rsidRPr="00E01239">
        <w:rPr>
          <w:rFonts w:asciiTheme="minorHAnsi" w:eastAsia="Calibri" w:hAnsiTheme="minorHAnsi" w:cstheme="minorHAnsi"/>
          <w:b/>
          <w:iCs/>
          <w:sz w:val="22"/>
          <w:szCs w:val="18"/>
          <w:lang w:eastAsia="en-US"/>
        </w:rPr>
        <w:fldChar w:fldCharType="separate"/>
      </w:r>
      <w:r w:rsidR="005C3166">
        <w:rPr>
          <w:rFonts w:asciiTheme="minorHAnsi" w:eastAsia="Calibri" w:hAnsiTheme="minorHAnsi" w:cstheme="minorHAnsi"/>
          <w:b/>
          <w:iCs/>
          <w:noProof/>
          <w:sz w:val="22"/>
          <w:szCs w:val="18"/>
          <w:lang w:eastAsia="en-US"/>
        </w:rPr>
        <w:t>20</w:t>
      </w:r>
      <w:r w:rsidRPr="00E01239">
        <w:rPr>
          <w:rFonts w:asciiTheme="minorHAnsi" w:eastAsia="Calibri" w:hAnsiTheme="minorHAnsi" w:cstheme="minorHAnsi"/>
          <w:b/>
          <w:iCs/>
          <w:sz w:val="22"/>
          <w:szCs w:val="18"/>
          <w:lang w:eastAsia="en-US"/>
        </w:rPr>
        <w:fldChar w:fldCharType="end"/>
      </w:r>
      <w:r w:rsidRPr="00E01239">
        <w:rPr>
          <w:rFonts w:asciiTheme="minorHAnsi" w:eastAsia="Calibri" w:hAnsiTheme="minorHAnsi" w:cstheme="minorHAnsi"/>
          <w:b/>
          <w:iCs/>
          <w:sz w:val="22"/>
          <w:szCs w:val="18"/>
          <w:lang w:eastAsia="en-US"/>
        </w:rPr>
        <w:t xml:space="preserve"> : </w:t>
      </w:r>
      <w:r w:rsidRPr="00E01239">
        <w:rPr>
          <w:rFonts w:asciiTheme="minorHAnsi" w:eastAsia="Calibri" w:hAnsiTheme="minorHAnsi" w:cstheme="minorHAnsi"/>
          <w:iCs/>
          <w:sz w:val="22"/>
          <w:szCs w:val="18"/>
          <w:lang w:eastAsia="en-US"/>
        </w:rPr>
        <w:t>Proportion de personnes consultées par sexe</w:t>
      </w:r>
      <w:bookmarkEnd w:id="1066"/>
      <w:bookmarkEnd w:id="1067"/>
      <w:bookmarkEnd w:id="1068"/>
    </w:p>
    <w:tbl>
      <w:tblPr>
        <w:tblStyle w:val="SGSTableBasic15"/>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59"/>
        <w:gridCol w:w="3698"/>
        <w:gridCol w:w="2403"/>
      </w:tblGrid>
      <w:tr w:rsidR="00B91B2B" w:rsidRPr="00E01239" w14:paraId="0A90F1C9" w14:textId="77777777" w:rsidTr="00263B8A">
        <w:trPr>
          <w:jc w:val="center"/>
        </w:trPr>
        <w:tc>
          <w:tcPr>
            <w:tcW w:w="1633" w:type="pct"/>
            <w:shd w:val="clear" w:color="auto" w:fill="1F3864" w:themeFill="accent5" w:themeFillShade="80"/>
          </w:tcPr>
          <w:p w14:paraId="145A0880" w14:textId="77777777" w:rsidR="00B91B2B" w:rsidRPr="00E01239" w:rsidRDefault="00B91B2B" w:rsidP="008C0C70">
            <w:pPr>
              <w:tabs>
                <w:tab w:val="left" w:pos="3093"/>
              </w:tabs>
              <w:jc w:val="center"/>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Sexe</w:t>
            </w:r>
          </w:p>
        </w:tc>
        <w:tc>
          <w:tcPr>
            <w:tcW w:w="2041" w:type="pct"/>
            <w:shd w:val="clear" w:color="auto" w:fill="1F3864" w:themeFill="accent5" w:themeFillShade="80"/>
          </w:tcPr>
          <w:p w14:paraId="5D04DAAF" w14:textId="77777777" w:rsidR="00B91B2B" w:rsidRPr="00E01239" w:rsidRDefault="00B91B2B" w:rsidP="008C0C70">
            <w:pPr>
              <w:tabs>
                <w:tab w:val="left" w:pos="3093"/>
              </w:tabs>
              <w:jc w:val="center"/>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Nombre</w:t>
            </w:r>
          </w:p>
        </w:tc>
        <w:tc>
          <w:tcPr>
            <w:tcW w:w="1326" w:type="pct"/>
            <w:shd w:val="clear" w:color="auto" w:fill="1F3864" w:themeFill="accent5" w:themeFillShade="80"/>
          </w:tcPr>
          <w:p w14:paraId="1E4650A8" w14:textId="77777777" w:rsidR="00B91B2B" w:rsidRPr="00E01239" w:rsidRDefault="00B91B2B" w:rsidP="008C0C70">
            <w:pPr>
              <w:tabs>
                <w:tab w:val="left" w:pos="3093"/>
              </w:tabs>
              <w:jc w:val="center"/>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Taux</w:t>
            </w:r>
          </w:p>
        </w:tc>
      </w:tr>
      <w:tr w:rsidR="00B91B2B" w:rsidRPr="00E01239" w14:paraId="036103ED" w14:textId="77777777" w:rsidTr="00263B8A">
        <w:trPr>
          <w:jc w:val="center"/>
        </w:trPr>
        <w:tc>
          <w:tcPr>
            <w:tcW w:w="1633" w:type="pct"/>
          </w:tcPr>
          <w:p w14:paraId="75985AB2"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Féminin/Femme</w:t>
            </w:r>
          </w:p>
        </w:tc>
        <w:tc>
          <w:tcPr>
            <w:tcW w:w="2041" w:type="pct"/>
          </w:tcPr>
          <w:p w14:paraId="70DC6515" w14:textId="5B244A41" w:rsidR="00B91B2B" w:rsidRPr="00E01239" w:rsidRDefault="00AE4C78" w:rsidP="008C0C70">
            <w:pPr>
              <w:jc w:val="center"/>
              <w:rPr>
                <w:rFonts w:asciiTheme="minorHAnsi" w:hAnsiTheme="minorHAnsi" w:cstheme="minorHAnsi"/>
                <w:sz w:val="22"/>
                <w:szCs w:val="22"/>
                <w:lang w:val="fr-FR"/>
              </w:rPr>
            </w:pPr>
            <w:r w:rsidRPr="00E01239">
              <w:rPr>
                <w:rFonts w:asciiTheme="minorHAnsi" w:hAnsiTheme="minorHAnsi" w:cstheme="minorHAnsi"/>
                <w:sz w:val="22"/>
                <w:szCs w:val="22"/>
                <w:lang w:val="fr-FR"/>
              </w:rPr>
              <w:t>84</w:t>
            </w:r>
          </w:p>
        </w:tc>
        <w:tc>
          <w:tcPr>
            <w:tcW w:w="1326" w:type="pct"/>
          </w:tcPr>
          <w:p w14:paraId="521ED1BC" w14:textId="1A41837F" w:rsidR="00B91B2B" w:rsidRPr="00E01239" w:rsidRDefault="00AE4C78"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31,23%</w:t>
            </w:r>
          </w:p>
        </w:tc>
      </w:tr>
      <w:tr w:rsidR="00B91B2B" w:rsidRPr="00E01239" w14:paraId="6EEA55ED" w14:textId="77777777" w:rsidTr="00263B8A">
        <w:trPr>
          <w:jc w:val="center"/>
        </w:trPr>
        <w:tc>
          <w:tcPr>
            <w:tcW w:w="1633" w:type="pct"/>
          </w:tcPr>
          <w:p w14:paraId="3BE03A6B"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Masculin/Homme</w:t>
            </w:r>
          </w:p>
        </w:tc>
        <w:tc>
          <w:tcPr>
            <w:tcW w:w="2041" w:type="pct"/>
          </w:tcPr>
          <w:p w14:paraId="242DF1DD" w14:textId="5E5E577B" w:rsidR="00B91B2B" w:rsidRPr="00E01239" w:rsidRDefault="00AE4C78" w:rsidP="008C0C70">
            <w:pPr>
              <w:jc w:val="center"/>
              <w:rPr>
                <w:rFonts w:asciiTheme="minorHAnsi" w:hAnsiTheme="minorHAnsi" w:cstheme="minorHAnsi"/>
                <w:sz w:val="22"/>
                <w:szCs w:val="22"/>
                <w:lang w:val="fr-FR"/>
              </w:rPr>
            </w:pPr>
            <w:r w:rsidRPr="00E01239">
              <w:rPr>
                <w:rFonts w:asciiTheme="minorHAnsi" w:hAnsiTheme="minorHAnsi" w:cstheme="minorHAnsi"/>
                <w:sz w:val="22"/>
                <w:szCs w:val="22"/>
                <w:lang w:val="fr-FR"/>
              </w:rPr>
              <w:t>185</w:t>
            </w:r>
          </w:p>
        </w:tc>
        <w:tc>
          <w:tcPr>
            <w:tcW w:w="1326" w:type="pct"/>
          </w:tcPr>
          <w:p w14:paraId="11A480B5" w14:textId="644EFA4D" w:rsidR="00B91B2B" w:rsidRPr="00E01239" w:rsidRDefault="00AE4C78"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68,77%</w:t>
            </w:r>
          </w:p>
        </w:tc>
      </w:tr>
      <w:tr w:rsidR="00B91B2B" w:rsidRPr="00E01239" w14:paraId="4D2A1BEE" w14:textId="77777777" w:rsidTr="00263B8A">
        <w:trPr>
          <w:jc w:val="center"/>
        </w:trPr>
        <w:tc>
          <w:tcPr>
            <w:tcW w:w="1633" w:type="pct"/>
            <w:shd w:val="clear" w:color="auto" w:fill="BFBFBF"/>
          </w:tcPr>
          <w:p w14:paraId="2EEF4B73" w14:textId="77777777" w:rsidR="00B91B2B" w:rsidRPr="00E01239" w:rsidRDefault="00B91B2B" w:rsidP="008C0C70">
            <w:pPr>
              <w:tabs>
                <w:tab w:val="left" w:pos="3093"/>
              </w:tabs>
              <w:jc w:val="both"/>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Total</w:t>
            </w:r>
          </w:p>
        </w:tc>
        <w:tc>
          <w:tcPr>
            <w:tcW w:w="2041" w:type="pct"/>
            <w:shd w:val="clear" w:color="auto" w:fill="BFBFBF"/>
          </w:tcPr>
          <w:p w14:paraId="2D2E596A"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b/>
                <w:sz w:val="22"/>
                <w:szCs w:val="22"/>
                <w:lang w:val="fr-FR" w:eastAsia="fr-CA"/>
              </w:rPr>
              <w:t>176</w:t>
            </w:r>
          </w:p>
        </w:tc>
        <w:tc>
          <w:tcPr>
            <w:tcW w:w="1326" w:type="pct"/>
            <w:shd w:val="clear" w:color="auto" w:fill="BFBFBF"/>
          </w:tcPr>
          <w:p w14:paraId="6628FACB"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b/>
                <w:sz w:val="22"/>
                <w:szCs w:val="22"/>
                <w:lang w:val="fr-FR" w:eastAsia="fr-CA"/>
              </w:rPr>
              <w:t>100%</w:t>
            </w:r>
          </w:p>
        </w:tc>
      </w:tr>
    </w:tbl>
    <w:p w14:paraId="0228CD4F" w14:textId="77777777" w:rsidR="00B91B2B" w:rsidRPr="00E01239" w:rsidRDefault="00B91B2B" w:rsidP="00263B8A">
      <w:pPr>
        <w:tabs>
          <w:tab w:val="left" w:pos="3093"/>
        </w:tabs>
        <w:spacing w:before="120" w:line="280" w:lineRule="exact"/>
        <w:jc w:val="both"/>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Les personnes consultées appartiennent à des tranches d’âge différentes. En effet, si d’aucuns ont un âge compris entre 15 et 35 ans (jeunes), d’autres sont entre 36 et 60 ans (2ème âge ou adultes) tandis que d’autres ont 60 ans et plus (3ème âge). La majorité des personnes consultées, 188, sont de la deuxième catégorie d’âge (36 à 60 ans), suivi de celles du troisième âge, 60 ans et plus qui sont de l’ordre de 49 soit 18, 22% et en dernier lieu, les jeunes dont l’âge est compris entre 15 et 35 ans, 32, soit 11,90%.</w:t>
      </w:r>
    </w:p>
    <w:p w14:paraId="72590D4A" w14:textId="3BA77F5D" w:rsidR="00B91B2B" w:rsidRPr="00E01239" w:rsidRDefault="00B91B2B" w:rsidP="00263B8A">
      <w:pPr>
        <w:tabs>
          <w:tab w:val="left" w:pos="3093"/>
        </w:tabs>
        <w:spacing w:before="120" w:line="280" w:lineRule="exact"/>
        <w:jc w:val="both"/>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Le tableau n°</w:t>
      </w:r>
      <w:r w:rsidR="00F73EAB" w:rsidRPr="00E01239">
        <w:rPr>
          <w:rFonts w:asciiTheme="minorHAnsi" w:eastAsia="Calibri" w:hAnsiTheme="minorHAnsi" w:cstheme="minorHAnsi"/>
          <w:sz w:val="22"/>
          <w:szCs w:val="22"/>
          <w:lang w:eastAsia="fr-CA"/>
        </w:rPr>
        <w:t>3</w:t>
      </w:r>
      <w:r w:rsidR="00E11DDE" w:rsidRPr="00E01239">
        <w:rPr>
          <w:rFonts w:asciiTheme="minorHAnsi" w:eastAsia="Calibri" w:hAnsiTheme="minorHAnsi" w:cstheme="minorHAnsi"/>
          <w:sz w:val="22"/>
          <w:szCs w:val="22"/>
          <w:lang w:eastAsia="fr-CA"/>
        </w:rPr>
        <w:t>3</w:t>
      </w:r>
      <w:r w:rsidR="00394A82" w:rsidRPr="00E01239">
        <w:rPr>
          <w:rFonts w:asciiTheme="minorHAnsi" w:eastAsia="Calibri" w:hAnsiTheme="minorHAnsi" w:cstheme="minorHAnsi"/>
          <w:sz w:val="22"/>
          <w:szCs w:val="22"/>
          <w:lang w:eastAsia="fr-CA"/>
        </w:rPr>
        <w:t xml:space="preserve"> </w:t>
      </w:r>
      <w:r w:rsidRPr="00E01239">
        <w:rPr>
          <w:rFonts w:asciiTheme="minorHAnsi" w:eastAsia="Calibri" w:hAnsiTheme="minorHAnsi" w:cstheme="minorHAnsi"/>
          <w:sz w:val="22"/>
          <w:szCs w:val="22"/>
          <w:lang w:eastAsia="fr-CA"/>
        </w:rPr>
        <w:t>présente le nombre de personnes consultées par tranche d’âge et leur proportion respective.</w:t>
      </w:r>
    </w:p>
    <w:p w14:paraId="5D5FB590" w14:textId="77777777" w:rsidR="00B91B2B" w:rsidRPr="00E01239" w:rsidRDefault="00B91B2B" w:rsidP="00B91B2B">
      <w:pPr>
        <w:spacing w:after="200" w:line="276" w:lineRule="auto"/>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br w:type="page"/>
      </w:r>
    </w:p>
    <w:p w14:paraId="3BC53273" w14:textId="56971961" w:rsidR="00B91B2B" w:rsidRPr="00E01239" w:rsidRDefault="00B91B2B" w:rsidP="00263B8A">
      <w:pPr>
        <w:keepNext/>
        <w:jc w:val="center"/>
        <w:rPr>
          <w:rFonts w:asciiTheme="minorHAnsi" w:eastAsia="Calibri" w:hAnsiTheme="minorHAnsi" w:cstheme="minorHAnsi"/>
          <w:iCs/>
          <w:sz w:val="22"/>
          <w:szCs w:val="18"/>
          <w:lang w:eastAsia="en-US"/>
        </w:rPr>
      </w:pPr>
      <w:bookmarkStart w:id="1069" w:name="_Toc131608975"/>
      <w:bookmarkStart w:id="1070" w:name="_Toc142583034"/>
      <w:bookmarkStart w:id="1071" w:name="_Toc144654212"/>
      <w:r w:rsidRPr="00E01239">
        <w:rPr>
          <w:rFonts w:asciiTheme="minorHAnsi" w:eastAsia="Calibri" w:hAnsiTheme="minorHAnsi" w:cstheme="minorHAnsi"/>
          <w:b/>
          <w:iCs/>
          <w:sz w:val="22"/>
          <w:szCs w:val="18"/>
          <w:lang w:eastAsia="en-US"/>
        </w:rPr>
        <w:lastRenderedPageBreak/>
        <w:t>Tableau</w:t>
      </w:r>
      <w:proofErr w:type="gramStart"/>
      <w:r w:rsidR="00B203AB" w:rsidRPr="00E01239">
        <w:rPr>
          <w:rFonts w:asciiTheme="minorHAnsi" w:eastAsia="Calibri" w:hAnsiTheme="minorHAnsi" w:cstheme="minorHAnsi"/>
          <w:b/>
          <w:iCs/>
          <w:sz w:val="22"/>
          <w:szCs w:val="18"/>
          <w:lang w:eastAsia="en-US"/>
        </w:rPr>
        <w:t>33</w:t>
      </w:r>
      <w:r w:rsidRPr="00E01239">
        <w:rPr>
          <w:rFonts w:asciiTheme="minorHAnsi" w:eastAsia="Calibri" w:hAnsiTheme="minorHAnsi" w:cstheme="minorHAnsi"/>
          <w:b/>
          <w:iCs/>
          <w:sz w:val="22"/>
          <w:szCs w:val="18"/>
          <w:lang w:eastAsia="en-US"/>
        </w:rPr>
        <w:t>:</w:t>
      </w:r>
      <w:proofErr w:type="gramEnd"/>
      <w:r w:rsidRPr="00E01239">
        <w:rPr>
          <w:rFonts w:asciiTheme="minorHAnsi" w:eastAsia="Calibri" w:hAnsiTheme="minorHAnsi" w:cstheme="minorHAnsi"/>
          <w:b/>
          <w:iCs/>
          <w:sz w:val="22"/>
          <w:szCs w:val="18"/>
          <w:lang w:eastAsia="en-US"/>
        </w:rPr>
        <w:t xml:space="preserve"> </w:t>
      </w:r>
      <w:r w:rsidRPr="00E01239">
        <w:rPr>
          <w:rFonts w:asciiTheme="minorHAnsi" w:eastAsia="Calibri" w:hAnsiTheme="minorHAnsi" w:cstheme="minorHAnsi"/>
          <w:iCs/>
          <w:sz w:val="22"/>
          <w:szCs w:val="18"/>
          <w:lang w:eastAsia="en-US"/>
        </w:rPr>
        <w:t>Proportion de personnes consultées par tranche d'âge</w:t>
      </w:r>
      <w:bookmarkEnd w:id="1069"/>
      <w:bookmarkEnd w:id="1070"/>
      <w:bookmarkEnd w:id="1071"/>
    </w:p>
    <w:tbl>
      <w:tblPr>
        <w:tblStyle w:val="SGSTableBasic15"/>
        <w:tblW w:w="4926" w:type="pct"/>
        <w:jc w:val="center"/>
        <w:tblLook w:val="04A0" w:firstRow="1" w:lastRow="0" w:firstColumn="1" w:lastColumn="0" w:noHBand="0" w:noVBand="1"/>
      </w:tblPr>
      <w:tblGrid>
        <w:gridCol w:w="3638"/>
        <w:gridCol w:w="2915"/>
        <w:gridCol w:w="2373"/>
      </w:tblGrid>
      <w:tr w:rsidR="00B91B2B" w:rsidRPr="00E01239" w14:paraId="064D82C7" w14:textId="77777777" w:rsidTr="00263B8A">
        <w:trPr>
          <w:jc w:val="center"/>
        </w:trPr>
        <w:tc>
          <w:tcPr>
            <w:tcW w:w="2038" w:type="pct"/>
            <w:shd w:val="clear" w:color="auto" w:fill="1F3864" w:themeFill="accent5" w:themeFillShade="80"/>
            <w:vAlign w:val="center"/>
          </w:tcPr>
          <w:p w14:paraId="172D3727" w14:textId="77777777" w:rsidR="00B91B2B" w:rsidRPr="00E01239" w:rsidRDefault="00B91B2B" w:rsidP="008C0C70">
            <w:pPr>
              <w:tabs>
                <w:tab w:val="left" w:pos="3093"/>
              </w:tabs>
              <w:jc w:val="center"/>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Tranche d’âge</w:t>
            </w:r>
          </w:p>
        </w:tc>
        <w:tc>
          <w:tcPr>
            <w:tcW w:w="1633" w:type="pct"/>
            <w:shd w:val="clear" w:color="auto" w:fill="1F3864" w:themeFill="accent5" w:themeFillShade="80"/>
            <w:vAlign w:val="center"/>
          </w:tcPr>
          <w:p w14:paraId="3CA990AF" w14:textId="77777777" w:rsidR="00B91B2B" w:rsidRPr="00E01239" w:rsidRDefault="00B91B2B" w:rsidP="008C0C70">
            <w:pPr>
              <w:tabs>
                <w:tab w:val="left" w:pos="3093"/>
              </w:tabs>
              <w:jc w:val="center"/>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Nombre</w:t>
            </w:r>
          </w:p>
        </w:tc>
        <w:tc>
          <w:tcPr>
            <w:tcW w:w="1329" w:type="pct"/>
            <w:shd w:val="clear" w:color="auto" w:fill="1F3864" w:themeFill="accent5" w:themeFillShade="80"/>
            <w:vAlign w:val="center"/>
          </w:tcPr>
          <w:p w14:paraId="50206848" w14:textId="77777777" w:rsidR="00B91B2B" w:rsidRPr="00E01239" w:rsidRDefault="00B91B2B" w:rsidP="008C0C70">
            <w:pPr>
              <w:tabs>
                <w:tab w:val="left" w:pos="3093"/>
              </w:tabs>
              <w:jc w:val="center"/>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Taux</w:t>
            </w:r>
          </w:p>
        </w:tc>
      </w:tr>
      <w:tr w:rsidR="00B91B2B" w:rsidRPr="00E01239" w14:paraId="325CD30F" w14:textId="77777777" w:rsidTr="008C0C70">
        <w:trPr>
          <w:jc w:val="center"/>
        </w:trPr>
        <w:tc>
          <w:tcPr>
            <w:tcW w:w="2038" w:type="pct"/>
            <w:vAlign w:val="center"/>
          </w:tcPr>
          <w:p w14:paraId="669EBFFE"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3</w:t>
            </w:r>
            <w:r w:rsidRPr="00E01239">
              <w:rPr>
                <w:rFonts w:asciiTheme="minorHAnsi" w:hAnsiTheme="minorHAnsi" w:cstheme="minorHAnsi"/>
                <w:sz w:val="22"/>
                <w:szCs w:val="22"/>
                <w:vertAlign w:val="superscript"/>
                <w:lang w:val="fr-FR" w:eastAsia="fr-CA"/>
              </w:rPr>
              <w:t>e</w:t>
            </w:r>
            <w:r w:rsidRPr="00E01239">
              <w:rPr>
                <w:rFonts w:asciiTheme="minorHAnsi" w:hAnsiTheme="minorHAnsi" w:cstheme="minorHAnsi"/>
                <w:sz w:val="22"/>
                <w:szCs w:val="22"/>
                <w:lang w:val="fr-FR" w:eastAsia="fr-CA"/>
              </w:rPr>
              <w:t xml:space="preserve"> âge (60 ans et+)</w:t>
            </w:r>
          </w:p>
        </w:tc>
        <w:tc>
          <w:tcPr>
            <w:tcW w:w="1633" w:type="pct"/>
          </w:tcPr>
          <w:p w14:paraId="733859D9"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49</w:t>
            </w:r>
          </w:p>
        </w:tc>
        <w:tc>
          <w:tcPr>
            <w:tcW w:w="1329" w:type="pct"/>
          </w:tcPr>
          <w:p w14:paraId="53DBCD39"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18,22%</w:t>
            </w:r>
          </w:p>
        </w:tc>
      </w:tr>
      <w:tr w:rsidR="00B91B2B" w:rsidRPr="00E01239" w14:paraId="12D2BA57" w14:textId="77777777" w:rsidTr="008C0C70">
        <w:trPr>
          <w:jc w:val="center"/>
        </w:trPr>
        <w:tc>
          <w:tcPr>
            <w:tcW w:w="2038" w:type="pct"/>
            <w:vAlign w:val="center"/>
          </w:tcPr>
          <w:p w14:paraId="2E19A7A3"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2</w:t>
            </w:r>
            <w:r w:rsidRPr="00E01239">
              <w:rPr>
                <w:rFonts w:asciiTheme="minorHAnsi" w:hAnsiTheme="minorHAnsi" w:cstheme="minorHAnsi"/>
                <w:sz w:val="22"/>
                <w:szCs w:val="22"/>
                <w:vertAlign w:val="superscript"/>
                <w:lang w:val="fr-FR" w:eastAsia="fr-CA"/>
              </w:rPr>
              <w:t>e</w:t>
            </w:r>
            <w:r w:rsidRPr="00E01239">
              <w:rPr>
                <w:rFonts w:asciiTheme="minorHAnsi" w:hAnsiTheme="minorHAnsi" w:cstheme="minorHAnsi"/>
                <w:sz w:val="22"/>
                <w:szCs w:val="22"/>
                <w:lang w:val="fr-FR" w:eastAsia="fr-CA"/>
              </w:rPr>
              <w:t xml:space="preserve"> âge, adulte (36 – 60)</w:t>
            </w:r>
          </w:p>
        </w:tc>
        <w:tc>
          <w:tcPr>
            <w:tcW w:w="1633" w:type="pct"/>
          </w:tcPr>
          <w:p w14:paraId="2940F31B"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188</w:t>
            </w:r>
          </w:p>
        </w:tc>
        <w:tc>
          <w:tcPr>
            <w:tcW w:w="1329" w:type="pct"/>
          </w:tcPr>
          <w:p w14:paraId="3BBB12F3"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69,89%</w:t>
            </w:r>
          </w:p>
        </w:tc>
      </w:tr>
      <w:tr w:rsidR="00B91B2B" w:rsidRPr="00E01239" w14:paraId="1C3E8DC7" w14:textId="77777777" w:rsidTr="008C0C70">
        <w:trPr>
          <w:jc w:val="center"/>
        </w:trPr>
        <w:tc>
          <w:tcPr>
            <w:tcW w:w="2038" w:type="pct"/>
            <w:vAlign w:val="center"/>
          </w:tcPr>
          <w:p w14:paraId="394348B7" w14:textId="77777777" w:rsidR="00B91B2B" w:rsidRPr="00E01239" w:rsidRDefault="00B91B2B" w:rsidP="008C0C70">
            <w:pPr>
              <w:tabs>
                <w:tab w:val="left" w:pos="3093"/>
              </w:tabs>
              <w:jc w:val="both"/>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Jeune (15 – 35)</w:t>
            </w:r>
          </w:p>
        </w:tc>
        <w:tc>
          <w:tcPr>
            <w:tcW w:w="1633" w:type="pct"/>
          </w:tcPr>
          <w:p w14:paraId="6549554B"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32</w:t>
            </w:r>
          </w:p>
        </w:tc>
        <w:tc>
          <w:tcPr>
            <w:tcW w:w="1329" w:type="pct"/>
          </w:tcPr>
          <w:p w14:paraId="4959FCA8"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sz w:val="22"/>
                <w:szCs w:val="22"/>
                <w:lang w:val="fr-FR" w:eastAsia="fr-CA"/>
              </w:rPr>
              <w:t>11,90%</w:t>
            </w:r>
          </w:p>
        </w:tc>
      </w:tr>
      <w:tr w:rsidR="00B91B2B" w:rsidRPr="00E01239" w14:paraId="4D28BAAA" w14:textId="77777777" w:rsidTr="008C0C70">
        <w:trPr>
          <w:jc w:val="center"/>
        </w:trPr>
        <w:tc>
          <w:tcPr>
            <w:tcW w:w="2038" w:type="pct"/>
            <w:shd w:val="clear" w:color="auto" w:fill="BFBFBF"/>
            <w:vAlign w:val="center"/>
          </w:tcPr>
          <w:p w14:paraId="26D1CF7B" w14:textId="77777777" w:rsidR="00B91B2B" w:rsidRPr="00E01239" w:rsidRDefault="00B91B2B" w:rsidP="008C0C70">
            <w:pPr>
              <w:tabs>
                <w:tab w:val="left" w:pos="3093"/>
              </w:tabs>
              <w:jc w:val="both"/>
              <w:rPr>
                <w:rFonts w:asciiTheme="minorHAnsi" w:hAnsiTheme="minorHAnsi" w:cstheme="minorHAnsi"/>
                <w:b/>
                <w:sz w:val="22"/>
                <w:szCs w:val="22"/>
                <w:lang w:val="fr-FR" w:eastAsia="fr-CA"/>
              </w:rPr>
            </w:pPr>
            <w:r w:rsidRPr="00E01239">
              <w:rPr>
                <w:rFonts w:asciiTheme="minorHAnsi" w:hAnsiTheme="minorHAnsi" w:cstheme="minorHAnsi"/>
                <w:b/>
                <w:sz w:val="22"/>
                <w:szCs w:val="22"/>
                <w:lang w:val="fr-FR" w:eastAsia="fr-CA"/>
              </w:rPr>
              <w:t>Total</w:t>
            </w:r>
          </w:p>
        </w:tc>
        <w:tc>
          <w:tcPr>
            <w:tcW w:w="1633" w:type="pct"/>
            <w:shd w:val="clear" w:color="auto" w:fill="BFBFBF"/>
          </w:tcPr>
          <w:p w14:paraId="5A116066"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b/>
                <w:sz w:val="22"/>
                <w:szCs w:val="22"/>
                <w:lang w:val="fr-FR" w:eastAsia="fr-CA"/>
              </w:rPr>
              <w:t>176</w:t>
            </w:r>
          </w:p>
        </w:tc>
        <w:tc>
          <w:tcPr>
            <w:tcW w:w="1329" w:type="pct"/>
            <w:shd w:val="clear" w:color="auto" w:fill="BFBFBF"/>
          </w:tcPr>
          <w:p w14:paraId="67AC042A" w14:textId="77777777" w:rsidR="00B91B2B" w:rsidRPr="00E01239" w:rsidRDefault="00B91B2B" w:rsidP="008C0C70">
            <w:pPr>
              <w:tabs>
                <w:tab w:val="left" w:pos="3093"/>
              </w:tabs>
              <w:jc w:val="center"/>
              <w:rPr>
                <w:rFonts w:asciiTheme="minorHAnsi" w:hAnsiTheme="minorHAnsi" w:cstheme="minorHAnsi"/>
                <w:sz w:val="22"/>
                <w:szCs w:val="22"/>
                <w:lang w:val="fr-FR" w:eastAsia="fr-CA"/>
              </w:rPr>
            </w:pPr>
            <w:r w:rsidRPr="00E01239">
              <w:rPr>
                <w:rFonts w:asciiTheme="minorHAnsi" w:hAnsiTheme="minorHAnsi" w:cstheme="minorHAnsi"/>
                <w:b/>
                <w:sz w:val="22"/>
                <w:szCs w:val="22"/>
                <w:lang w:val="fr-FR" w:eastAsia="fr-CA"/>
              </w:rPr>
              <w:t>100%</w:t>
            </w:r>
          </w:p>
        </w:tc>
      </w:tr>
    </w:tbl>
    <w:p w14:paraId="159C8586" w14:textId="7DB5730E" w:rsidR="00B91B2B" w:rsidRPr="00E01239" w:rsidRDefault="00B91B2B" w:rsidP="00263B8A">
      <w:pPr>
        <w:tabs>
          <w:tab w:val="left" w:pos="3093"/>
        </w:tabs>
        <w:spacing w:before="120" w:line="280" w:lineRule="exact"/>
        <w:jc w:val="both"/>
        <w:rPr>
          <w:rFonts w:asciiTheme="minorHAnsi" w:eastAsia="Calibri" w:hAnsiTheme="minorHAnsi" w:cstheme="minorHAnsi"/>
          <w:sz w:val="22"/>
          <w:szCs w:val="22"/>
          <w:lang w:eastAsia="fr-CA"/>
        </w:rPr>
      </w:pPr>
      <w:r w:rsidRPr="00E01239">
        <w:rPr>
          <w:rFonts w:asciiTheme="minorHAnsi" w:eastAsia="Calibri" w:hAnsiTheme="minorHAnsi" w:cstheme="minorHAnsi"/>
          <w:sz w:val="22"/>
          <w:szCs w:val="22"/>
          <w:lang w:eastAsia="fr-CA"/>
        </w:rPr>
        <w:t>Le tableau n°</w:t>
      </w:r>
      <w:r w:rsidR="00F73EAB" w:rsidRPr="00E01239">
        <w:rPr>
          <w:rFonts w:asciiTheme="minorHAnsi" w:eastAsia="Calibri" w:hAnsiTheme="minorHAnsi" w:cstheme="minorHAnsi"/>
          <w:sz w:val="22"/>
          <w:szCs w:val="22"/>
          <w:lang w:eastAsia="fr-CA"/>
        </w:rPr>
        <w:t>3</w:t>
      </w:r>
      <w:r w:rsidR="00E11DDE" w:rsidRPr="00E01239">
        <w:rPr>
          <w:rFonts w:asciiTheme="minorHAnsi" w:eastAsia="Calibri" w:hAnsiTheme="minorHAnsi" w:cstheme="minorHAnsi"/>
          <w:sz w:val="22"/>
          <w:szCs w:val="22"/>
          <w:lang w:eastAsia="fr-CA"/>
        </w:rPr>
        <w:t>4</w:t>
      </w:r>
      <w:r w:rsidR="00394A82" w:rsidRPr="00E01239">
        <w:rPr>
          <w:rFonts w:asciiTheme="minorHAnsi" w:eastAsia="Calibri" w:hAnsiTheme="minorHAnsi" w:cstheme="minorHAnsi"/>
          <w:sz w:val="22"/>
          <w:szCs w:val="22"/>
          <w:lang w:eastAsia="fr-CA"/>
        </w:rPr>
        <w:t xml:space="preserve"> </w:t>
      </w:r>
      <w:r w:rsidRPr="00E01239">
        <w:rPr>
          <w:rFonts w:asciiTheme="minorHAnsi" w:eastAsia="Calibri" w:hAnsiTheme="minorHAnsi" w:cstheme="minorHAnsi"/>
          <w:sz w:val="22"/>
          <w:szCs w:val="22"/>
          <w:lang w:eastAsia="fr-CA"/>
        </w:rPr>
        <w:t>ci-dessous présente la répartition par sexe des personnes consultées dans chacune des tranches d’âge. Sur les 49 personnes consultées dans la tranche d’âge compris entre 60 ans et plus, les femmes sont au nombre de 15, soit 17,86% et les hommes au nombre de 34, soit 18,38%. Sur les 188 personnes consultées dans la tranche d’âge de 36 à 60 ans, les hommes sont au nombre 136 soit 73,51% contre seulement 52 femmes soit 61,90%. Et, enfin, les 32 jeunes consultés dont l’âge varie entre 15 et 35 ans, sont répartis entre 15 filles soit 17,86% contre 34 garçons soit 18,38%.</w:t>
      </w:r>
    </w:p>
    <w:p w14:paraId="30BB1BEE" w14:textId="77777777" w:rsidR="00B91B2B" w:rsidRPr="00E01239" w:rsidRDefault="00B91B2B" w:rsidP="00B91B2B">
      <w:pPr>
        <w:tabs>
          <w:tab w:val="left" w:pos="3093"/>
        </w:tabs>
        <w:jc w:val="both"/>
        <w:rPr>
          <w:rFonts w:asciiTheme="minorHAnsi" w:eastAsia="Calibri" w:hAnsiTheme="minorHAnsi" w:cstheme="minorHAnsi"/>
          <w:iCs/>
          <w:sz w:val="22"/>
          <w:szCs w:val="22"/>
          <w:lang w:eastAsia="fr-CA"/>
        </w:rPr>
      </w:pPr>
    </w:p>
    <w:p w14:paraId="152B406C" w14:textId="2174E1FB" w:rsidR="00B91B2B" w:rsidRPr="00E01239" w:rsidRDefault="00B91B2B" w:rsidP="00263B8A">
      <w:pPr>
        <w:keepNext/>
        <w:spacing w:after="120"/>
        <w:jc w:val="center"/>
        <w:rPr>
          <w:rFonts w:asciiTheme="minorHAnsi" w:eastAsia="Calibri" w:hAnsiTheme="minorHAnsi" w:cstheme="minorHAnsi"/>
          <w:iCs/>
          <w:sz w:val="22"/>
          <w:szCs w:val="18"/>
          <w:lang w:eastAsia="en-US"/>
        </w:rPr>
      </w:pPr>
      <w:bookmarkStart w:id="1072" w:name="_Toc131608976"/>
      <w:bookmarkStart w:id="1073" w:name="_Toc142583035"/>
      <w:bookmarkStart w:id="1074" w:name="_Toc144654213"/>
      <w:r w:rsidRPr="00E01239">
        <w:rPr>
          <w:rFonts w:asciiTheme="minorHAnsi" w:eastAsia="Calibri" w:hAnsiTheme="minorHAnsi" w:cstheme="minorHAnsi"/>
          <w:b/>
          <w:iCs/>
          <w:sz w:val="22"/>
          <w:szCs w:val="18"/>
          <w:lang w:eastAsia="en-US"/>
        </w:rPr>
        <w:t>Tableau</w:t>
      </w:r>
      <w:r w:rsidR="00B203AB" w:rsidRPr="00E01239">
        <w:rPr>
          <w:rFonts w:asciiTheme="minorHAnsi" w:eastAsia="Calibri" w:hAnsiTheme="minorHAnsi" w:cstheme="minorHAnsi"/>
          <w:b/>
          <w:iCs/>
          <w:sz w:val="22"/>
          <w:szCs w:val="18"/>
          <w:lang w:eastAsia="en-US"/>
        </w:rPr>
        <w:t>34</w:t>
      </w:r>
      <w:r w:rsidRPr="00E01239">
        <w:rPr>
          <w:rFonts w:asciiTheme="minorHAnsi" w:eastAsia="Calibri" w:hAnsiTheme="minorHAnsi" w:cstheme="minorHAnsi"/>
          <w:b/>
          <w:iCs/>
          <w:sz w:val="22"/>
          <w:szCs w:val="18"/>
          <w:lang w:eastAsia="en-US"/>
        </w:rPr>
        <w:t xml:space="preserve"> : </w:t>
      </w:r>
      <w:r w:rsidRPr="00E01239">
        <w:rPr>
          <w:rFonts w:asciiTheme="minorHAnsi" w:eastAsia="Calibri" w:hAnsiTheme="minorHAnsi" w:cstheme="minorHAnsi"/>
          <w:iCs/>
          <w:sz w:val="22"/>
          <w:szCs w:val="18"/>
          <w:lang w:eastAsia="en-US"/>
        </w:rPr>
        <w:t>Proportion de personnes consultées par tranche d'âge et par sexe</w:t>
      </w:r>
      <w:bookmarkEnd w:id="1072"/>
      <w:bookmarkEnd w:id="1073"/>
      <w:bookmarkEnd w:id="1074"/>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285"/>
        <w:gridCol w:w="919"/>
        <w:gridCol w:w="1144"/>
        <w:gridCol w:w="1276"/>
        <w:gridCol w:w="1092"/>
        <w:gridCol w:w="1061"/>
        <w:gridCol w:w="1283"/>
      </w:tblGrid>
      <w:tr w:rsidR="00B91B2B" w:rsidRPr="00E01239" w14:paraId="2E50C2DE" w14:textId="77777777" w:rsidTr="00263B8A">
        <w:trPr>
          <w:trHeight w:val="567"/>
        </w:trPr>
        <w:tc>
          <w:tcPr>
            <w:tcW w:w="1162" w:type="pct"/>
            <w:vMerge w:val="restart"/>
            <w:shd w:val="clear" w:color="auto" w:fill="1F3864" w:themeFill="accent5" w:themeFillShade="80"/>
            <w:noWrap/>
            <w:vAlign w:val="center"/>
            <w:hideMark/>
          </w:tcPr>
          <w:p w14:paraId="3753233C"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Tranche d’âge</w:t>
            </w:r>
          </w:p>
        </w:tc>
        <w:tc>
          <w:tcPr>
            <w:tcW w:w="1171" w:type="pct"/>
            <w:gridSpan w:val="2"/>
            <w:shd w:val="clear" w:color="auto" w:fill="1F3864" w:themeFill="accent5" w:themeFillShade="80"/>
            <w:noWrap/>
            <w:vAlign w:val="center"/>
            <w:hideMark/>
          </w:tcPr>
          <w:p w14:paraId="0B7B90E3"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Femme</w:t>
            </w:r>
          </w:p>
        </w:tc>
        <w:tc>
          <w:tcPr>
            <w:tcW w:w="1340" w:type="pct"/>
            <w:gridSpan w:val="2"/>
            <w:shd w:val="clear" w:color="auto" w:fill="1F3864" w:themeFill="accent5" w:themeFillShade="80"/>
            <w:noWrap/>
            <w:vAlign w:val="center"/>
            <w:hideMark/>
          </w:tcPr>
          <w:p w14:paraId="1E721102"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Homme</w:t>
            </w:r>
          </w:p>
        </w:tc>
        <w:tc>
          <w:tcPr>
            <w:tcW w:w="1327" w:type="pct"/>
            <w:gridSpan w:val="2"/>
            <w:shd w:val="clear" w:color="auto" w:fill="1F3864" w:themeFill="accent5" w:themeFillShade="80"/>
            <w:noWrap/>
            <w:vAlign w:val="center"/>
            <w:hideMark/>
          </w:tcPr>
          <w:p w14:paraId="19034A94"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Total</w:t>
            </w:r>
          </w:p>
        </w:tc>
      </w:tr>
      <w:tr w:rsidR="00B91B2B" w:rsidRPr="00E01239" w14:paraId="1C4F616E" w14:textId="77777777" w:rsidTr="00263B8A">
        <w:trPr>
          <w:trHeight w:val="567"/>
        </w:trPr>
        <w:tc>
          <w:tcPr>
            <w:tcW w:w="1162" w:type="pct"/>
            <w:vMerge/>
            <w:shd w:val="clear" w:color="auto" w:fill="1F3864" w:themeFill="accent5" w:themeFillShade="80"/>
            <w:noWrap/>
            <w:vAlign w:val="center"/>
            <w:hideMark/>
          </w:tcPr>
          <w:p w14:paraId="6B5093D7" w14:textId="77777777" w:rsidR="00B91B2B" w:rsidRPr="00E01239" w:rsidRDefault="00B91B2B" w:rsidP="008C0C70">
            <w:pPr>
              <w:jc w:val="center"/>
              <w:rPr>
                <w:rFonts w:asciiTheme="minorHAnsi" w:hAnsiTheme="minorHAnsi" w:cstheme="minorHAnsi"/>
                <w:b/>
                <w:bCs/>
                <w:color w:val="FFFFFF" w:themeColor="background1"/>
                <w:sz w:val="22"/>
              </w:rPr>
            </w:pPr>
          </w:p>
        </w:tc>
        <w:tc>
          <w:tcPr>
            <w:tcW w:w="524" w:type="pct"/>
            <w:shd w:val="clear" w:color="auto" w:fill="1F3864" w:themeFill="accent5" w:themeFillShade="80"/>
            <w:noWrap/>
            <w:vAlign w:val="center"/>
            <w:hideMark/>
          </w:tcPr>
          <w:p w14:paraId="0D448D1B"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 xml:space="preserve">Nombre </w:t>
            </w:r>
          </w:p>
        </w:tc>
        <w:tc>
          <w:tcPr>
            <w:tcW w:w="648" w:type="pct"/>
            <w:shd w:val="clear" w:color="auto" w:fill="1F3864" w:themeFill="accent5" w:themeFillShade="80"/>
            <w:noWrap/>
            <w:vAlign w:val="center"/>
            <w:hideMark/>
          </w:tcPr>
          <w:p w14:paraId="19E5EACD"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Taux</w:t>
            </w:r>
          </w:p>
        </w:tc>
        <w:tc>
          <w:tcPr>
            <w:tcW w:w="721" w:type="pct"/>
            <w:shd w:val="clear" w:color="auto" w:fill="1F3864" w:themeFill="accent5" w:themeFillShade="80"/>
            <w:noWrap/>
            <w:vAlign w:val="center"/>
            <w:hideMark/>
          </w:tcPr>
          <w:p w14:paraId="246D7179"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 xml:space="preserve">Nombre </w:t>
            </w:r>
          </w:p>
        </w:tc>
        <w:tc>
          <w:tcPr>
            <w:tcW w:w="613" w:type="pct"/>
            <w:shd w:val="clear" w:color="auto" w:fill="1F3864" w:themeFill="accent5" w:themeFillShade="80"/>
            <w:noWrap/>
            <w:vAlign w:val="center"/>
            <w:hideMark/>
          </w:tcPr>
          <w:p w14:paraId="15A6EEE0"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 xml:space="preserve">Taux </w:t>
            </w:r>
          </w:p>
        </w:tc>
        <w:tc>
          <w:tcPr>
            <w:tcW w:w="602" w:type="pct"/>
            <w:shd w:val="clear" w:color="auto" w:fill="1F3864" w:themeFill="accent5" w:themeFillShade="80"/>
            <w:noWrap/>
            <w:vAlign w:val="center"/>
            <w:hideMark/>
          </w:tcPr>
          <w:p w14:paraId="4026B887"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Nombre</w:t>
            </w:r>
          </w:p>
        </w:tc>
        <w:tc>
          <w:tcPr>
            <w:tcW w:w="730" w:type="pct"/>
            <w:shd w:val="clear" w:color="auto" w:fill="1F3864" w:themeFill="accent5" w:themeFillShade="80"/>
            <w:noWrap/>
            <w:vAlign w:val="center"/>
            <w:hideMark/>
          </w:tcPr>
          <w:p w14:paraId="2881F2E1" w14:textId="77777777" w:rsidR="00B91B2B" w:rsidRPr="00E01239" w:rsidRDefault="00B91B2B" w:rsidP="008C0C70">
            <w:pPr>
              <w:jc w:val="center"/>
              <w:rPr>
                <w:rFonts w:asciiTheme="minorHAnsi" w:hAnsiTheme="minorHAnsi" w:cstheme="minorHAnsi"/>
                <w:b/>
                <w:bCs/>
                <w:color w:val="FFFFFF" w:themeColor="background1"/>
                <w:sz w:val="22"/>
              </w:rPr>
            </w:pPr>
            <w:r w:rsidRPr="00E01239">
              <w:rPr>
                <w:rFonts w:asciiTheme="minorHAnsi" w:hAnsiTheme="minorHAnsi" w:cstheme="minorHAnsi"/>
                <w:b/>
                <w:bCs/>
                <w:color w:val="FFFFFF" w:themeColor="background1"/>
                <w:sz w:val="22"/>
              </w:rPr>
              <w:t xml:space="preserve">Taux </w:t>
            </w:r>
          </w:p>
        </w:tc>
      </w:tr>
      <w:tr w:rsidR="00B91B2B" w:rsidRPr="00E01239" w14:paraId="7EBBEC6D" w14:textId="77777777" w:rsidTr="00263B8A">
        <w:trPr>
          <w:trHeight w:val="113"/>
        </w:trPr>
        <w:tc>
          <w:tcPr>
            <w:tcW w:w="1162" w:type="pct"/>
            <w:shd w:val="clear" w:color="auto" w:fill="auto"/>
            <w:noWrap/>
            <w:vAlign w:val="center"/>
            <w:hideMark/>
          </w:tcPr>
          <w:p w14:paraId="2C597B93" w14:textId="77777777" w:rsidR="00B91B2B" w:rsidRPr="00E01239" w:rsidRDefault="00B91B2B" w:rsidP="008C0C70">
            <w:pPr>
              <w:rPr>
                <w:rFonts w:asciiTheme="minorHAnsi" w:hAnsiTheme="minorHAnsi" w:cstheme="minorHAnsi"/>
                <w:bCs/>
                <w:color w:val="000000"/>
                <w:sz w:val="22"/>
              </w:rPr>
            </w:pPr>
            <w:r w:rsidRPr="00E01239">
              <w:rPr>
                <w:rFonts w:asciiTheme="minorHAnsi" w:hAnsiTheme="minorHAnsi" w:cstheme="minorHAnsi"/>
                <w:bCs/>
                <w:color w:val="000000"/>
                <w:sz w:val="22"/>
              </w:rPr>
              <w:t>Jeune (18-35 ans)</w:t>
            </w:r>
          </w:p>
        </w:tc>
        <w:tc>
          <w:tcPr>
            <w:tcW w:w="524" w:type="pct"/>
            <w:shd w:val="clear" w:color="auto" w:fill="auto"/>
            <w:noWrap/>
            <w:vAlign w:val="center"/>
            <w:hideMark/>
          </w:tcPr>
          <w:p w14:paraId="7FE67C3B"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17</w:t>
            </w:r>
          </w:p>
        </w:tc>
        <w:tc>
          <w:tcPr>
            <w:tcW w:w="648" w:type="pct"/>
            <w:shd w:val="clear" w:color="auto" w:fill="auto"/>
            <w:noWrap/>
            <w:vAlign w:val="center"/>
            <w:hideMark/>
          </w:tcPr>
          <w:p w14:paraId="4838EEBA"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20,24%</w:t>
            </w:r>
          </w:p>
        </w:tc>
        <w:tc>
          <w:tcPr>
            <w:tcW w:w="721" w:type="pct"/>
            <w:shd w:val="clear" w:color="auto" w:fill="auto"/>
            <w:noWrap/>
            <w:vAlign w:val="center"/>
            <w:hideMark/>
          </w:tcPr>
          <w:p w14:paraId="4B2B22D2"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15</w:t>
            </w:r>
          </w:p>
        </w:tc>
        <w:tc>
          <w:tcPr>
            <w:tcW w:w="613" w:type="pct"/>
            <w:shd w:val="clear" w:color="auto" w:fill="auto"/>
            <w:noWrap/>
            <w:vAlign w:val="center"/>
            <w:hideMark/>
          </w:tcPr>
          <w:p w14:paraId="50E3B68B"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8,11%</w:t>
            </w:r>
          </w:p>
        </w:tc>
        <w:tc>
          <w:tcPr>
            <w:tcW w:w="602" w:type="pct"/>
            <w:shd w:val="clear" w:color="auto" w:fill="auto"/>
            <w:noWrap/>
            <w:vAlign w:val="center"/>
            <w:hideMark/>
          </w:tcPr>
          <w:p w14:paraId="4ADECDAF"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32</w:t>
            </w:r>
          </w:p>
        </w:tc>
        <w:tc>
          <w:tcPr>
            <w:tcW w:w="730" w:type="pct"/>
            <w:shd w:val="clear" w:color="auto" w:fill="auto"/>
            <w:noWrap/>
            <w:vAlign w:val="center"/>
            <w:hideMark/>
          </w:tcPr>
          <w:p w14:paraId="60858E96"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11,90%</w:t>
            </w:r>
          </w:p>
        </w:tc>
      </w:tr>
      <w:tr w:rsidR="00B91B2B" w:rsidRPr="00E01239" w14:paraId="12D35E67" w14:textId="77777777" w:rsidTr="00263B8A">
        <w:trPr>
          <w:trHeight w:val="113"/>
        </w:trPr>
        <w:tc>
          <w:tcPr>
            <w:tcW w:w="1162" w:type="pct"/>
            <w:shd w:val="clear" w:color="auto" w:fill="auto"/>
            <w:noWrap/>
            <w:vAlign w:val="center"/>
            <w:hideMark/>
          </w:tcPr>
          <w:p w14:paraId="0A6A0CEF" w14:textId="634C9F2A" w:rsidR="00B91B2B" w:rsidRPr="00E01239" w:rsidRDefault="00B91B2B" w:rsidP="00394A82">
            <w:pPr>
              <w:rPr>
                <w:rFonts w:asciiTheme="minorHAnsi" w:hAnsiTheme="minorHAnsi" w:cstheme="minorHAnsi"/>
                <w:bCs/>
                <w:color w:val="000000"/>
                <w:sz w:val="22"/>
              </w:rPr>
            </w:pPr>
            <w:r w:rsidRPr="00E01239">
              <w:rPr>
                <w:rFonts w:asciiTheme="minorHAnsi" w:hAnsiTheme="minorHAnsi" w:cstheme="minorHAnsi"/>
                <w:bCs/>
                <w:color w:val="000000"/>
                <w:sz w:val="22"/>
              </w:rPr>
              <w:t>2</w:t>
            </w:r>
            <w:r w:rsidR="00394A82" w:rsidRPr="00E01239">
              <w:rPr>
                <w:rFonts w:asciiTheme="minorHAnsi" w:hAnsiTheme="minorHAnsi" w:cstheme="minorHAnsi"/>
                <w:bCs/>
                <w:color w:val="000000"/>
                <w:sz w:val="22"/>
                <w:vertAlign w:val="superscript"/>
              </w:rPr>
              <w:t>ème</w:t>
            </w:r>
            <w:r w:rsidR="00394A82" w:rsidRPr="00E01239">
              <w:rPr>
                <w:rFonts w:asciiTheme="minorHAnsi" w:hAnsiTheme="minorHAnsi" w:cstheme="minorHAnsi"/>
                <w:bCs/>
                <w:color w:val="000000"/>
                <w:sz w:val="22"/>
              </w:rPr>
              <w:t xml:space="preserve"> </w:t>
            </w:r>
            <w:r w:rsidRPr="00E01239">
              <w:rPr>
                <w:rFonts w:asciiTheme="minorHAnsi" w:hAnsiTheme="minorHAnsi" w:cstheme="minorHAnsi"/>
                <w:bCs/>
                <w:color w:val="000000"/>
                <w:sz w:val="22"/>
              </w:rPr>
              <w:t>âge (35-60 ans)</w:t>
            </w:r>
          </w:p>
        </w:tc>
        <w:tc>
          <w:tcPr>
            <w:tcW w:w="524" w:type="pct"/>
            <w:shd w:val="clear" w:color="auto" w:fill="auto"/>
            <w:noWrap/>
            <w:vAlign w:val="center"/>
            <w:hideMark/>
          </w:tcPr>
          <w:p w14:paraId="217EDFB4"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52</w:t>
            </w:r>
          </w:p>
        </w:tc>
        <w:tc>
          <w:tcPr>
            <w:tcW w:w="648" w:type="pct"/>
            <w:shd w:val="clear" w:color="auto" w:fill="auto"/>
            <w:noWrap/>
            <w:vAlign w:val="center"/>
            <w:hideMark/>
          </w:tcPr>
          <w:p w14:paraId="1B58BCAF"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61,90%</w:t>
            </w:r>
          </w:p>
        </w:tc>
        <w:tc>
          <w:tcPr>
            <w:tcW w:w="721" w:type="pct"/>
            <w:shd w:val="clear" w:color="auto" w:fill="auto"/>
            <w:noWrap/>
            <w:vAlign w:val="center"/>
            <w:hideMark/>
          </w:tcPr>
          <w:p w14:paraId="364B3335"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136</w:t>
            </w:r>
          </w:p>
        </w:tc>
        <w:tc>
          <w:tcPr>
            <w:tcW w:w="613" w:type="pct"/>
            <w:shd w:val="clear" w:color="auto" w:fill="auto"/>
            <w:noWrap/>
            <w:vAlign w:val="center"/>
            <w:hideMark/>
          </w:tcPr>
          <w:p w14:paraId="7DF8437A"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73,51%</w:t>
            </w:r>
          </w:p>
        </w:tc>
        <w:tc>
          <w:tcPr>
            <w:tcW w:w="602" w:type="pct"/>
            <w:shd w:val="clear" w:color="auto" w:fill="auto"/>
            <w:noWrap/>
            <w:vAlign w:val="center"/>
            <w:hideMark/>
          </w:tcPr>
          <w:p w14:paraId="3841AD9C"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188</w:t>
            </w:r>
          </w:p>
        </w:tc>
        <w:tc>
          <w:tcPr>
            <w:tcW w:w="730" w:type="pct"/>
            <w:shd w:val="clear" w:color="auto" w:fill="auto"/>
            <w:noWrap/>
            <w:vAlign w:val="center"/>
            <w:hideMark/>
          </w:tcPr>
          <w:p w14:paraId="4AAE111D"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69,89%</w:t>
            </w:r>
          </w:p>
        </w:tc>
      </w:tr>
      <w:tr w:rsidR="00B91B2B" w:rsidRPr="00E01239" w14:paraId="291B146E" w14:textId="77777777" w:rsidTr="00263B8A">
        <w:trPr>
          <w:trHeight w:val="113"/>
        </w:trPr>
        <w:tc>
          <w:tcPr>
            <w:tcW w:w="1162" w:type="pct"/>
            <w:shd w:val="clear" w:color="auto" w:fill="auto"/>
            <w:noWrap/>
            <w:vAlign w:val="center"/>
            <w:hideMark/>
          </w:tcPr>
          <w:p w14:paraId="51D9593A" w14:textId="0D82E7BA" w:rsidR="00B91B2B" w:rsidRPr="00E01239" w:rsidRDefault="00B91B2B" w:rsidP="00394A82">
            <w:pPr>
              <w:rPr>
                <w:rFonts w:asciiTheme="minorHAnsi" w:hAnsiTheme="minorHAnsi" w:cstheme="minorHAnsi"/>
                <w:bCs/>
                <w:color w:val="000000"/>
                <w:sz w:val="22"/>
              </w:rPr>
            </w:pPr>
            <w:r w:rsidRPr="00E01239">
              <w:rPr>
                <w:rFonts w:asciiTheme="minorHAnsi" w:hAnsiTheme="minorHAnsi" w:cstheme="minorHAnsi"/>
                <w:bCs/>
                <w:color w:val="000000"/>
                <w:sz w:val="22"/>
              </w:rPr>
              <w:t>3</w:t>
            </w:r>
            <w:r w:rsidR="00394A82" w:rsidRPr="00E01239">
              <w:rPr>
                <w:rFonts w:asciiTheme="minorHAnsi" w:hAnsiTheme="minorHAnsi" w:cstheme="minorHAnsi"/>
                <w:bCs/>
                <w:color w:val="000000"/>
                <w:sz w:val="22"/>
                <w:vertAlign w:val="superscript"/>
              </w:rPr>
              <w:t>ème</w:t>
            </w:r>
            <w:r w:rsidR="00394A82" w:rsidRPr="00E01239">
              <w:rPr>
                <w:rFonts w:asciiTheme="minorHAnsi" w:hAnsiTheme="minorHAnsi" w:cstheme="minorHAnsi"/>
                <w:bCs/>
                <w:color w:val="000000"/>
                <w:sz w:val="22"/>
              </w:rPr>
              <w:t xml:space="preserve"> â</w:t>
            </w:r>
            <w:r w:rsidRPr="00E01239">
              <w:rPr>
                <w:rFonts w:asciiTheme="minorHAnsi" w:hAnsiTheme="minorHAnsi" w:cstheme="minorHAnsi"/>
                <w:bCs/>
                <w:color w:val="000000"/>
                <w:sz w:val="22"/>
              </w:rPr>
              <w:t>ge (60 ans et plus)</w:t>
            </w:r>
          </w:p>
        </w:tc>
        <w:tc>
          <w:tcPr>
            <w:tcW w:w="524" w:type="pct"/>
            <w:shd w:val="clear" w:color="auto" w:fill="auto"/>
            <w:noWrap/>
            <w:vAlign w:val="center"/>
            <w:hideMark/>
          </w:tcPr>
          <w:p w14:paraId="1A40EEAC"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15</w:t>
            </w:r>
          </w:p>
        </w:tc>
        <w:tc>
          <w:tcPr>
            <w:tcW w:w="648" w:type="pct"/>
            <w:shd w:val="clear" w:color="auto" w:fill="auto"/>
            <w:noWrap/>
            <w:vAlign w:val="center"/>
            <w:hideMark/>
          </w:tcPr>
          <w:p w14:paraId="481105D7"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17,86%</w:t>
            </w:r>
          </w:p>
        </w:tc>
        <w:tc>
          <w:tcPr>
            <w:tcW w:w="721" w:type="pct"/>
            <w:shd w:val="clear" w:color="auto" w:fill="auto"/>
            <w:noWrap/>
            <w:vAlign w:val="center"/>
            <w:hideMark/>
          </w:tcPr>
          <w:p w14:paraId="5019DC46"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34</w:t>
            </w:r>
          </w:p>
        </w:tc>
        <w:tc>
          <w:tcPr>
            <w:tcW w:w="613" w:type="pct"/>
            <w:shd w:val="clear" w:color="auto" w:fill="auto"/>
            <w:noWrap/>
            <w:vAlign w:val="center"/>
            <w:hideMark/>
          </w:tcPr>
          <w:p w14:paraId="0B245B19"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18,38%</w:t>
            </w:r>
          </w:p>
        </w:tc>
        <w:tc>
          <w:tcPr>
            <w:tcW w:w="602" w:type="pct"/>
            <w:shd w:val="clear" w:color="auto" w:fill="auto"/>
            <w:noWrap/>
            <w:vAlign w:val="center"/>
            <w:hideMark/>
          </w:tcPr>
          <w:p w14:paraId="0CC7969E"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49</w:t>
            </w:r>
          </w:p>
        </w:tc>
        <w:tc>
          <w:tcPr>
            <w:tcW w:w="730" w:type="pct"/>
            <w:shd w:val="clear" w:color="auto" w:fill="auto"/>
            <w:noWrap/>
            <w:vAlign w:val="center"/>
            <w:hideMark/>
          </w:tcPr>
          <w:p w14:paraId="5FE9D847" w14:textId="77777777" w:rsidR="00B91B2B" w:rsidRPr="00E01239" w:rsidRDefault="00B91B2B" w:rsidP="008C0C70">
            <w:pPr>
              <w:jc w:val="center"/>
              <w:rPr>
                <w:rFonts w:asciiTheme="minorHAnsi" w:hAnsiTheme="minorHAnsi" w:cstheme="minorHAnsi"/>
                <w:color w:val="000000"/>
                <w:sz w:val="22"/>
              </w:rPr>
            </w:pPr>
            <w:r w:rsidRPr="00E01239">
              <w:rPr>
                <w:rFonts w:asciiTheme="minorHAnsi" w:hAnsiTheme="minorHAnsi" w:cstheme="minorHAnsi"/>
                <w:color w:val="000000"/>
                <w:sz w:val="22"/>
              </w:rPr>
              <w:t>18,22%</w:t>
            </w:r>
          </w:p>
        </w:tc>
      </w:tr>
      <w:tr w:rsidR="00B91B2B" w:rsidRPr="00E01239" w14:paraId="2E57B596" w14:textId="77777777" w:rsidTr="00263B8A">
        <w:trPr>
          <w:trHeight w:val="113"/>
        </w:trPr>
        <w:tc>
          <w:tcPr>
            <w:tcW w:w="1162" w:type="pct"/>
            <w:shd w:val="clear" w:color="D9E1F2" w:fill="D9E1F2"/>
            <w:noWrap/>
            <w:vAlign w:val="center"/>
            <w:hideMark/>
          </w:tcPr>
          <w:p w14:paraId="0EEB8460" w14:textId="77777777" w:rsidR="00B91B2B" w:rsidRPr="00E01239" w:rsidRDefault="00B91B2B" w:rsidP="008C0C70">
            <w:pPr>
              <w:rPr>
                <w:rFonts w:asciiTheme="minorHAnsi" w:hAnsiTheme="minorHAnsi" w:cstheme="minorHAnsi"/>
                <w:bCs/>
                <w:color w:val="000000"/>
                <w:sz w:val="22"/>
              </w:rPr>
            </w:pPr>
            <w:r w:rsidRPr="00E01239">
              <w:rPr>
                <w:rFonts w:asciiTheme="minorHAnsi" w:hAnsiTheme="minorHAnsi" w:cstheme="minorHAnsi"/>
                <w:bCs/>
                <w:color w:val="000000"/>
                <w:sz w:val="22"/>
              </w:rPr>
              <w:t>Total général</w:t>
            </w:r>
          </w:p>
        </w:tc>
        <w:tc>
          <w:tcPr>
            <w:tcW w:w="524" w:type="pct"/>
            <w:shd w:val="clear" w:color="D9E1F2" w:fill="D9E1F2"/>
            <w:noWrap/>
            <w:vAlign w:val="center"/>
            <w:hideMark/>
          </w:tcPr>
          <w:p w14:paraId="7C420421" w14:textId="77777777" w:rsidR="00B91B2B" w:rsidRPr="00E01239" w:rsidRDefault="00B91B2B" w:rsidP="008C0C70">
            <w:pPr>
              <w:jc w:val="center"/>
              <w:rPr>
                <w:rFonts w:asciiTheme="minorHAnsi" w:hAnsiTheme="minorHAnsi" w:cstheme="minorHAnsi"/>
                <w:b/>
                <w:bCs/>
                <w:color w:val="000000"/>
                <w:sz w:val="22"/>
              </w:rPr>
            </w:pPr>
            <w:r w:rsidRPr="00E01239">
              <w:rPr>
                <w:rFonts w:asciiTheme="minorHAnsi" w:hAnsiTheme="minorHAnsi" w:cstheme="minorHAnsi"/>
                <w:b/>
                <w:bCs/>
                <w:color w:val="000000"/>
                <w:sz w:val="22"/>
              </w:rPr>
              <w:t>84</w:t>
            </w:r>
          </w:p>
        </w:tc>
        <w:tc>
          <w:tcPr>
            <w:tcW w:w="648" w:type="pct"/>
            <w:shd w:val="clear" w:color="D9E1F2" w:fill="D9E1F2"/>
            <w:noWrap/>
            <w:vAlign w:val="center"/>
            <w:hideMark/>
          </w:tcPr>
          <w:p w14:paraId="0BA55B1B" w14:textId="77777777" w:rsidR="00B91B2B" w:rsidRPr="00E01239" w:rsidRDefault="00B91B2B" w:rsidP="008C0C70">
            <w:pPr>
              <w:jc w:val="center"/>
              <w:rPr>
                <w:rFonts w:asciiTheme="minorHAnsi" w:hAnsiTheme="minorHAnsi" w:cstheme="minorHAnsi"/>
                <w:b/>
                <w:bCs/>
                <w:color w:val="000000"/>
                <w:sz w:val="22"/>
              </w:rPr>
            </w:pPr>
            <w:r w:rsidRPr="00E01239">
              <w:rPr>
                <w:rFonts w:asciiTheme="minorHAnsi" w:hAnsiTheme="minorHAnsi" w:cstheme="minorHAnsi"/>
                <w:b/>
                <w:bCs/>
                <w:color w:val="000000"/>
                <w:sz w:val="22"/>
              </w:rPr>
              <w:t>100%</w:t>
            </w:r>
          </w:p>
        </w:tc>
        <w:tc>
          <w:tcPr>
            <w:tcW w:w="721" w:type="pct"/>
            <w:shd w:val="clear" w:color="D9E1F2" w:fill="D9E1F2"/>
            <w:noWrap/>
            <w:vAlign w:val="center"/>
            <w:hideMark/>
          </w:tcPr>
          <w:p w14:paraId="61A4CAB0" w14:textId="77777777" w:rsidR="00B91B2B" w:rsidRPr="00E01239" w:rsidRDefault="00B91B2B" w:rsidP="008C0C70">
            <w:pPr>
              <w:jc w:val="center"/>
              <w:rPr>
                <w:rFonts w:asciiTheme="minorHAnsi" w:hAnsiTheme="minorHAnsi" w:cstheme="minorHAnsi"/>
                <w:b/>
                <w:bCs/>
                <w:color w:val="000000"/>
                <w:sz w:val="22"/>
              </w:rPr>
            </w:pPr>
            <w:r w:rsidRPr="00E01239">
              <w:rPr>
                <w:rFonts w:asciiTheme="minorHAnsi" w:hAnsiTheme="minorHAnsi" w:cstheme="minorHAnsi"/>
                <w:b/>
                <w:bCs/>
                <w:color w:val="000000"/>
                <w:sz w:val="22"/>
              </w:rPr>
              <w:t>185</w:t>
            </w:r>
          </w:p>
        </w:tc>
        <w:tc>
          <w:tcPr>
            <w:tcW w:w="613" w:type="pct"/>
            <w:shd w:val="clear" w:color="D9E1F2" w:fill="D9E1F2"/>
            <w:noWrap/>
            <w:vAlign w:val="center"/>
            <w:hideMark/>
          </w:tcPr>
          <w:p w14:paraId="0A009E67" w14:textId="77777777" w:rsidR="00B91B2B" w:rsidRPr="00E01239" w:rsidRDefault="00B91B2B" w:rsidP="008C0C70">
            <w:pPr>
              <w:jc w:val="center"/>
              <w:rPr>
                <w:rFonts w:asciiTheme="minorHAnsi" w:hAnsiTheme="minorHAnsi" w:cstheme="minorHAnsi"/>
                <w:b/>
                <w:bCs/>
                <w:color w:val="000000"/>
                <w:sz w:val="22"/>
              </w:rPr>
            </w:pPr>
            <w:r w:rsidRPr="00E01239">
              <w:rPr>
                <w:rFonts w:asciiTheme="minorHAnsi" w:hAnsiTheme="minorHAnsi" w:cstheme="minorHAnsi"/>
                <w:b/>
                <w:bCs/>
                <w:color w:val="000000"/>
                <w:sz w:val="22"/>
              </w:rPr>
              <w:t>100%</w:t>
            </w:r>
          </w:p>
        </w:tc>
        <w:tc>
          <w:tcPr>
            <w:tcW w:w="602" w:type="pct"/>
            <w:shd w:val="clear" w:color="D9E1F2" w:fill="D9E1F2"/>
            <w:noWrap/>
            <w:vAlign w:val="center"/>
            <w:hideMark/>
          </w:tcPr>
          <w:p w14:paraId="54C98E70" w14:textId="77777777" w:rsidR="00B91B2B" w:rsidRPr="00E01239" w:rsidRDefault="00B91B2B" w:rsidP="008C0C70">
            <w:pPr>
              <w:jc w:val="center"/>
              <w:rPr>
                <w:rFonts w:asciiTheme="minorHAnsi" w:hAnsiTheme="minorHAnsi" w:cstheme="minorHAnsi"/>
                <w:b/>
                <w:bCs/>
                <w:color w:val="000000"/>
                <w:sz w:val="22"/>
              </w:rPr>
            </w:pPr>
            <w:r w:rsidRPr="00E01239">
              <w:rPr>
                <w:rFonts w:asciiTheme="minorHAnsi" w:hAnsiTheme="minorHAnsi" w:cstheme="minorHAnsi"/>
                <w:b/>
                <w:bCs/>
                <w:color w:val="000000"/>
                <w:sz w:val="22"/>
              </w:rPr>
              <w:t>269</w:t>
            </w:r>
          </w:p>
        </w:tc>
        <w:tc>
          <w:tcPr>
            <w:tcW w:w="730" w:type="pct"/>
            <w:shd w:val="clear" w:color="D9E1F2" w:fill="D9E1F2"/>
            <w:noWrap/>
            <w:vAlign w:val="center"/>
            <w:hideMark/>
          </w:tcPr>
          <w:p w14:paraId="536A414B" w14:textId="77777777" w:rsidR="00B91B2B" w:rsidRPr="00E01239" w:rsidRDefault="00B91B2B" w:rsidP="008C0C70">
            <w:pPr>
              <w:jc w:val="center"/>
              <w:rPr>
                <w:rFonts w:asciiTheme="minorHAnsi" w:hAnsiTheme="minorHAnsi" w:cstheme="minorHAnsi"/>
                <w:b/>
                <w:bCs/>
                <w:color w:val="000000"/>
                <w:sz w:val="22"/>
              </w:rPr>
            </w:pPr>
            <w:r w:rsidRPr="00E01239">
              <w:rPr>
                <w:rFonts w:asciiTheme="minorHAnsi" w:hAnsiTheme="minorHAnsi" w:cstheme="minorHAnsi"/>
                <w:b/>
                <w:bCs/>
                <w:color w:val="000000"/>
                <w:sz w:val="22"/>
              </w:rPr>
              <w:t>100%</w:t>
            </w:r>
          </w:p>
        </w:tc>
      </w:tr>
    </w:tbl>
    <w:p w14:paraId="75DDFF13" w14:textId="77777777" w:rsidR="00B91B2B" w:rsidRPr="00E01239" w:rsidRDefault="00B91B2B" w:rsidP="00B91B2B">
      <w:pPr>
        <w:spacing w:after="200" w:line="276" w:lineRule="auto"/>
        <w:rPr>
          <w:rFonts w:asciiTheme="minorHAnsi" w:eastAsia="Calibri" w:hAnsiTheme="minorHAnsi" w:cstheme="minorHAnsi"/>
          <w:sz w:val="22"/>
          <w:szCs w:val="22"/>
          <w:lang w:eastAsia="en-US"/>
        </w:rPr>
      </w:pPr>
    </w:p>
    <w:p w14:paraId="608F75F5" w14:textId="77777777" w:rsidR="00B91B2B" w:rsidRPr="00E01239" w:rsidRDefault="00B91B2B" w:rsidP="0011733B">
      <w:pPr>
        <w:pStyle w:val="Titre3"/>
        <w:ind w:left="1276"/>
        <w:rPr>
          <w:rFonts w:asciiTheme="minorHAnsi" w:hAnsiTheme="minorHAnsi" w:cstheme="minorHAnsi"/>
        </w:rPr>
      </w:pPr>
      <w:bookmarkStart w:id="1075" w:name="_Toc142482978"/>
      <w:bookmarkStart w:id="1076" w:name="_Toc144654156"/>
      <w:r w:rsidRPr="00E01239">
        <w:rPr>
          <w:rFonts w:asciiTheme="minorHAnsi" w:hAnsiTheme="minorHAnsi" w:cstheme="minorHAnsi"/>
        </w:rPr>
        <w:t>Points discutés</w:t>
      </w:r>
      <w:bookmarkEnd w:id="1075"/>
      <w:bookmarkEnd w:id="1076"/>
    </w:p>
    <w:p w14:paraId="7AAD3428" w14:textId="77777777" w:rsidR="00B91B2B" w:rsidRPr="00E01239" w:rsidRDefault="00B91B2B" w:rsidP="00263B8A">
      <w:pPr>
        <w:spacing w:before="120" w:line="280" w:lineRule="exact"/>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Pour recueillir le point de vue des populations bénéficiaires et des parties prenantes du projet, les points ci-dessous ont étaient posés et discutés :</w:t>
      </w:r>
    </w:p>
    <w:p w14:paraId="61B6E1E8" w14:textId="77777777" w:rsidR="00B91B2B" w:rsidRPr="00E01239" w:rsidRDefault="00B91B2B" w:rsidP="00027669">
      <w:pPr>
        <w:numPr>
          <w:ilvl w:val="0"/>
          <w:numId w:val="148"/>
        </w:numPr>
        <w:spacing w:before="120" w:line="280" w:lineRule="exact"/>
        <w:ind w:left="714" w:hanging="357"/>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Perception sur le projet</w:t>
      </w:r>
    </w:p>
    <w:p w14:paraId="40057964" w14:textId="77777777" w:rsidR="00B91B2B" w:rsidRPr="00E01239" w:rsidRDefault="00B91B2B" w:rsidP="00027669">
      <w:pPr>
        <w:numPr>
          <w:ilvl w:val="0"/>
          <w:numId w:val="148"/>
        </w:numPr>
        <w:spacing w:before="120" w:line="280" w:lineRule="exact"/>
        <w:ind w:left="714" w:hanging="357"/>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Enjeux et défis majeurs</w:t>
      </w:r>
    </w:p>
    <w:p w14:paraId="2D0ED1B0" w14:textId="77777777" w:rsidR="00B91B2B" w:rsidRPr="00E01239" w:rsidRDefault="00B91B2B" w:rsidP="00027669">
      <w:pPr>
        <w:numPr>
          <w:ilvl w:val="0"/>
          <w:numId w:val="148"/>
        </w:numPr>
        <w:spacing w:before="120" w:line="280" w:lineRule="exact"/>
        <w:ind w:left="714" w:hanging="357"/>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Problématique liée aux violences basées sur le genre</w:t>
      </w:r>
      <w:bookmarkStart w:id="1077" w:name="__DdeLink__1131_2491266431"/>
      <w:r w:rsidRPr="00E01239">
        <w:rPr>
          <w:rFonts w:asciiTheme="minorHAnsi" w:eastAsia="Calibri" w:hAnsiTheme="minorHAnsi" w:cstheme="minorHAnsi"/>
          <w:sz w:val="22"/>
          <w:szCs w:val="22"/>
          <w:lang w:eastAsia="en-US"/>
        </w:rPr>
        <w:t xml:space="preserve"> et besoins de renforcement de capacités pour la prévention et la prise en charge, gestion des VBG ;</w:t>
      </w:r>
    </w:p>
    <w:bookmarkEnd w:id="1077"/>
    <w:p w14:paraId="2C8F170B" w14:textId="77777777" w:rsidR="00B91B2B" w:rsidRPr="00E01239" w:rsidRDefault="00B91B2B" w:rsidP="00027669">
      <w:pPr>
        <w:numPr>
          <w:ilvl w:val="0"/>
          <w:numId w:val="148"/>
        </w:numPr>
        <w:spacing w:before="120" w:line="280" w:lineRule="exact"/>
        <w:ind w:left="714" w:hanging="357"/>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Préoccupations et craintes liées au projet</w:t>
      </w:r>
    </w:p>
    <w:p w14:paraId="0873CD21" w14:textId="77777777" w:rsidR="00B91B2B" w:rsidRPr="00E01239" w:rsidRDefault="00B91B2B" w:rsidP="00027669">
      <w:pPr>
        <w:numPr>
          <w:ilvl w:val="0"/>
          <w:numId w:val="148"/>
        </w:numPr>
        <w:spacing w:before="120" w:line="280" w:lineRule="exact"/>
        <w:ind w:left="714" w:hanging="357"/>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Personnes/Couches vulnérables</w:t>
      </w:r>
    </w:p>
    <w:p w14:paraId="5D910D14" w14:textId="77777777" w:rsidR="00B91B2B" w:rsidRPr="00E01239" w:rsidRDefault="00B91B2B" w:rsidP="00027669">
      <w:pPr>
        <w:numPr>
          <w:ilvl w:val="0"/>
          <w:numId w:val="148"/>
        </w:numPr>
        <w:spacing w:before="120" w:line="280" w:lineRule="exact"/>
        <w:ind w:left="714" w:hanging="357"/>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Mécanisme local de gestion des plaintes, force et faiblesses</w:t>
      </w:r>
    </w:p>
    <w:p w14:paraId="20AFAAE8" w14:textId="77777777" w:rsidR="00B91B2B" w:rsidRPr="00E01239" w:rsidRDefault="00B91B2B" w:rsidP="00027669">
      <w:pPr>
        <w:numPr>
          <w:ilvl w:val="0"/>
          <w:numId w:val="148"/>
        </w:numPr>
        <w:spacing w:before="120" w:line="280" w:lineRule="exact"/>
        <w:ind w:left="714" w:hanging="357"/>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Besoins en formation/renforcement de capacités</w:t>
      </w:r>
    </w:p>
    <w:p w14:paraId="0E3C5CAD" w14:textId="77777777" w:rsidR="00B91B2B" w:rsidRPr="00E01239" w:rsidRDefault="00B91B2B" w:rsidP="00027669">
      <w:pPr>
        <w:numPr>
          <w:ilvl w:val="0"/>
          <w:numId w:val="148"/>
        </w:numPr>
        <w:spacing w:before="120" w:line="280" w:lineRule="exact"/>
        <w:ind w:left="714" w:hanging="357"/>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 xml:space="preserve">Besoins linguistiques, Moyen de notification, Méthode et Calendrier de consultation, Besoins spéciaux </w:t>
      </w:r>
    </w:p>
    <w:p w14:paraId="3CBC1CE2" w14:textId="77777777" w:rsidR="00B91B2B" w:rsidRPr="00E01239" w:rsidRDefault="00B91B2B" w:rsidP="00027669">
      <w:pPr>
        <w:numPr>
          <w:ilvl w:val="0"/>
          <w:numId w:val="148"/>
        </w:numPr>
        <w:spacing w:before="120" w:line="280" w:lineRule="exact"/>
        <w:ind w:left="714" w:hanging="357"/>
        <w:rPr>
          <w:rFonts w:asciiTheme="minorHAnsi" w:eastAsia="Calibri" w:hAnsiTheme="minorHAnsi" w:cstheme="minorHAnsi"/>
          <w:sz w:val="22"/>
          <w:szCs w:val="22"/>
          <w:lang w:eastAsia="en-US"/>
        </w:rPr>
      </w:pPr>
      <w:r w:rsidRPr="00E01239">
        <w:rPr>
          <w:rFonts w:asciiTheme="minorHAnsi" w:eastAsia="Calibri" w:hAnsiTheme="minorHAnsi" w:cstheme="minorHAnsi"/>
          <w:sz w:val="22"/>
          <w:szCs w:val="22"/>
          <w:lang w:eastAsia="en-US"/>
        </w:rPr>
        <w:t>Suggestion/Recommandations.</w:t>
      </w:r>
    </w:p>
    <w:p w14:paraId="17ACE13F" w14:textId="77777777" w:rsidR="00B91B2B" w:rsidRPr="00E01239" w:rsidRDefault="00B91B2B" w:rsidP="00B91B2B">
      <w:pPr>
        <w:spacing w:after="200" w:line="276" w:lineRule="auto"/>
        <w:contextualSpacing/>
        <w:rPr>
          <w:rFonts w:asciiTheme="minorHAnsi" w:eastAsia="Calibri" w:hAnsiTheme="minorHAnsi" w:cstheme="minorHAnsi"/>
          <w:sz w:val="10"/>
          <w:szCs w:val="22"/>
          <w:lang w:eastAsia="en-US"/>
        </w:rPr>
      </w:pPr>
    </w:p>
    <w:p w14:paraId="5E49EAE0" w14:textId="77777777" w:rsidR="00B91B2B" w:rsidRPr="00E01239" w:rsidRDefault="00B91B2B" w:rsidP="0011733B">
      <w:pPr>
        <w:pStyle w:val="Titre3"/>
        <w:ind w:left="1276"/>
        <w:rPr>
          <w:rFonts w:asciiTheme="minorHAnsi" w:hAnsiTheme="minorHAnsi" w:cstheme="minorHAnsi"/>
        </w:rPr>
      </w:pPr>
      <w:bookmarkStart w:id="1078" w:name="_Toc142482979"/>
      <w:bookmarkStart w:id="1079" w:name="_Toc144654157"/>
      <w:r w:rsidRPr="00E01239">
        <w:rPr>
          <w:rFonts w:asciiTheme="minorHAnsi" w:hAnsiTheme="minorHAnsi" w:cstheme="minorHAnsi"/>
        </w:rPr>
        <w:t>Synthèse des points de vue exprimés par les parties prenantes</w:t>
      </w:r>
      <w:bookmarkEnd w:id="1078"/>
      <w:bookmarkEnd w:id="1079"/>
    </w:p>
    <w:p w14:paraId="54C48E08" w14:textId="77777777" w:rsidR="00B91B2B" w:rsidRPr="00E01239" w:rsidRDefault="00B91B2B"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 xml:space="preserve">Lors des consultations, les parties prenantes ont réagi avec intérêt aux questions soulevées. L’analyse du corpus global des données recueillies a permis d’identifier des occurrences et d’établir des synthèses. </w:t>
      </w:r>
    </w:p>
    <w:p w14:paraId="1389B003" w14:textId="77777777" w:rsidR="00B91B2B" w:rsidRPr="00E01239" w:rsidRDefault="00B91B2B"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lastRenderedPageBreak/>
        <w:t xml:space="preserve">D’une manière générale, le FSRP-SN est positivement perçu même si les parties prenantes consultées ont partagé des inquiétudes et préoccupations. </w:t>
      </w:r>
    </w:p>
    <w:p w14:paraId="2432142B" w14:textId="1C0E1647" w:rsidR="00B91B2B" w:rsidRPr="00E01239" w:rsidRDefault="00B91B2B" w:rsidP="00263B8A">
      <w:pPr>
        <w:spacing w:before="120" w:line="280" w:lineRule="exact"/>
        <w:jc w:val="both"/>
        <w:rPr>
          <w:rFonts w:asciiTheme="minorHAnsi" w:eastAsia="Calibri" w:hAnsiTheme="minorHAnsi" w:cstheme="minorHAnsi"/>
          <w:sz w:val="22"/>
          <w:szCs w:val="22"/>
        </w:rPr>
      </w:pPr>
      <w:r w:rsidRPr="00E01239">
        <w:rPr>
          <w:rFonts w:asciiTheme="minorHAnsi" w:eastAsia="Calibri" w:hAnsiTheme="minorHAnsi" w:cstheme="minorHAnsi"/>
          <w:sz w:val="22"/>
          <w:szCs w:val="22"/>
        </w:rPr>
        <w:t>Le tableau n°</w:t>
      </w:r>
      <w:r w:rsidR="00F73EAB" w:rsidRPr="00E01239">
        <w:rPr>
          <w:rFonts w:asciiTheme="minorHAnsi" w:eastAsia="Calibri" w:hAnsiTheme="minorHAnsi" w:cstheme="minorHAnsi"/>
          <w:sz w:val="22"/>
          <w:szCs w:val="22"/>
        </w:rPr>
        <w:t>3</w:t>
      </w:r>
      <w:r w:rsidR="00B203AB" w:rsidRPr="00E01239">
        <w:rPr>
          <w:rFonts w:asciiTheme="minorHAnsi" w:eastAsia="Calibri" w:hAnsiTheme="minorHAnsi" w:cstheme="minorHAnsi"/>
          <w:sz w:val="22"/>
          <w:szCs w:val="22"/>
        </w:rPr>
        <w:t>5</w:t>
      </w:r>
      <w:r w:rsidRPr="00E01239">
        <w:rPr>
          <w:rFonts w:asciiTheme="minorHAnsi" w:eastAsia="Calibri" w:hAnsiTheme="minorHAnsi" w:cstheme="minorHAnsi"/>
          <w:sz w:val="22"/>
          <w:szCs w:val="22"/>
        </w:rPr>
        <w:t xml:space="preserve"> résume les principaux avis, préoccupations et recommandations exprimés par les parties prenantes sur le projet.</w:t>
      </w:r>
    </w:p>
    <w:p w14:paraId="303C8E7D" w14:textId="77777777" w:rsidR="00B91B2B" w:rsidRPr="00E01239" w:rsidRDefault="00B91B2B" w:rsidP="00F73EAB">
      <w:pPr>
        <w:spacing w:before="120" w:line="280" w:lineRule="exact"/>
        <w:jc w:val="both"/>
        <w:rPr>
          <w:rFonts w:asciiTheme="minorHAnsi" w:eastAsia="Calibri" w:hAnsiTheme="minorHAnsi" w:cstheme="minorHAnsi"/>
          <w:sz w:val="22"/>
          <w:szCs w:val="22"/>
        </w:rPr>
        <w:sectPr w:rsidR="00B91B2B" w:rsidRPr="00E01239" w:rsidSect="008C0C70">
          <w:pgSz w:w="11906" w:h="16838"/>
          <w:pgMar w:top="1418" w:right="1418" w:bottom="1418" w:left="1418" w:header="720" w:footer="720" w:gutter="0"/>
          <w:cols w:space="720"/>
          <w:docGrid w:linePitch="360"/>
        </w:sectPr>
      </w:pPr>
    </w:p>
    <w:p w14:paraId="1E331539" w14:textId="44AB9CFE" w:rsidR="00B91B2B" w:rsidRPr="00E01239" w:rsidRDefault="00B91B2B" w:rsidP="00263B8A">
      <w:pPr>
        <w:keepNext/>
        <w:jc w:val="center"/>
        <w:rPr>
          <w:rFonts w:asciiTheme="minorHAnsi" w:eastAsia="Calibri" w:hAnsiTheme="minorHAnsi" w:cstheme="minorHAnsi"/>
          <w:iCs/>
          <w:sz w:val="22"/>
          <w:szCs w:val="18"/>
          <w:lang w:eastAsia="en-US"/>
        </w:rPr>
      </w:pPr>
      <w:bookmarkStart w:id="1080" w:name="_Toc131608977"/>
      <w:bookmarkStart w:id="1081" w:name="_Toc142583036"/>
      <w:bookmarkStart w:id="1082" w:name="_Toc144654214"/>
      <w:r w:rsidRPr="00E01239">
        <w:rPr>
          <w:rFonts w:asciiTheme="minorHAnsi" w:eastAsia="Calibri" w:hAnsiTheme="minorHAnsi" w:cstheme="minorHAnsi"/>
          <w:b/>
          <w:iCs/>
          <w:sz w:val="22"/>
          <w:szCs w:val="18"/>
          <w:lang w:eastAsia="en-US"/>
        </w:rPr>
        <w:lastRenderedPageBreak/>
        <w:t xml:space="preserve">Tableau </w:t>
      </w:r>
      <w:r w:rsidR="00B203AB" w:rsidRPr="00E01239">
        <w:rPr>
          <w:rFonts w:asciiTheme="minorHAnsi" w:eastAsia="Calibri" w:hAnsiTheme="minorHAnsi" w:cstheme="minorHAnsi"/>
          <w:b/>
          <w:iCs/>
          <w:sz w:val="22"/>
          <w:szCs w:val="18"/>
          <w:lang w:eastAsia="en-US"/>
        </w:rPr>
        <w:t>35 </w:t>
      </w:r>
      <w:r w:rsidRPr="00E01239">
        <w:rPr>
          <w:rFonts w:asciiTheme="minorHAnsi" w:eastAsia="Calibri" w:hAnsiTheme="minorHAnsi" w:cstheme="minorHAnsi"/>
          <w:b/>
          <w:iCs/>
          <w:sz w:val="22"/>
          <w:szCs w:val="18"/>
          <w:lang w:eastAsia="en-US"/>
        </w:rPr>
        <w:t xml:space="preserve">: </w:t>
      </w:r>
      <w:r w:rsidRPr="00E01239">
        <w:rPr>
          <w:rFonts w:asciiTheme="minorHAnsi" w:eastAsia="Calibri" w:hAnsiTheme="minorHAnsi" w:cstheme="minorHAnsi"/>
          <w:iCs/>
          <w:sz w:val="22"/>
          <w:szCs w:val="18"/>
          <w:lang w:eastAsia="en-US"/>
        </w:rPr>
        <w:t>Synthèse des principaux avis exprimés par les parties prenantes</w:t>
      </w:r>
      <w:bookmarkEnd w:id="1080"/>
      <w:bookmarkEnd w:id="1081"/>
      <w:bookmarkEnd w:id="1082"/>
    </w:p>
    <w:tbl>
      <w:tblPr>
        <w:tblStyle w:val="Grilledutableau"/>
        <w:tblW w:w="14459" w:type="dxa"/>
        <w:jc w:val="center"/>
        <w:tblLook w:val="04A0" w:firstRow="1" w:lastRow="0" w:firstColumn="1" w:lastColumn="0" w:noHBand="0" w:noVBand="1"/>
      </w:tblPr>
      <w:tblGrid>
        <w:gridCol w:w="7083"/>
        <w:gridCol w:w="7376"/>
      </w:tblGrid>
      <w:tr w:rsidR="00DE60D3" w:rsidRPr="00E01239" w14:paraId="5AC806FA" w14:textId="77777777" w:rsidTr="00F73EAB">
        <w:trPr>
          <w:jc w:val="center"/>
        </w:trPr>
        <w:tc>
          <w:tcPr>
            <w:tcW w:w="7083" w:type="dxa"/>
            <w:shd w:val="clear" w:color="auto" w:fill="1F3864" w:themeFill="accent5" w:themeFillShade="80"/>
            <w:vAlign w:val="center"/>
          </w:tcPr>
          <w:p w14:paraId="3B00440C" w14:textId="77777777" w:rsidR="00DE60D3" w:rsidRPr="00E01239" w:rsidRDefault="00DE60D3" w:rsidP="008C0C70">
            <w:pPr>
              <w:tabs>
                <w:tab w:val="left" w:pos="3140"/>
              </w:tabs>
              <w:jc w:val="center"/>
              <w:rPr>
                <w:rFonts w:asciiTheme="minorHAnsi" w:hAnsiTheme="minorHAnsi" w:cstheme="minorHAnsi"/>
                <w:b/>
                <w:noProof/>
              </w:rPr>
            </w:pPr>
            <w:r w:rsidRPr="00E01239">
              <w:rPr>
                <w:rFonts w:asciiTheme="minorHAnsi" w:hAnsiTheme="minorHAnsi" w:cstheme="minorHAnsi"/>
                <w:b/>
                <w:noProof/>
              </w:rPr>
              <w:t>Préoccupations et craintes majeures</w:t>
            </w:r>
          </w:p>
        </w:tc>
        <w:tc>
          <w:tcPr>
            <w:tcW w:w="7376" w:type="dxa"/>
            <w:shd w:val="clear" w:color="auto" w:fill="1F3864" w:themeFill="accent5" w:themeFillShade="80"/>
            <w:vAlign w:val="center"/>
          </w:tcPr>
          <w:p w14:paraId="143F485E" w14:textId="77777777" w:rsidR="00DE60D3" w:rsidRPr="00E01239" w:rsidRDefault="00DE60D3" w:rsidP="008C0C70">
            <w:pPr>
              <w:tabs>
                <w:tab w:val="left" w:pos="3140"/>
              </w:tabs>
              <w:jc w:val="center"/>
              <w:rPr>
                <w:rFonts w:asciiTheme="minorHAnsi" w:hAnsiTheme="minorHAnsi" w:cstheme="minorHAnsi"/>
                <w:b/>
                <w:noProof/>
              </w:rPr>
            </w:pPr>
            <w:r w:rsidRPr="00E01239">
              <w:rPr>
                <w:rFonts w:asciiTheme="minorHAnsi" w:hAnsiTheme="minorHAnsi" w:cstheme="minorHAnsi"/>
                <w:b/>
                <w:noProof/>
              </w:rPr>
              <w:t>Suggestions et recommandations majeures</w:t>
            </w:r>
          </w:p>
        </w:tc>
      </w:tr>
      <w:tr w:rsidR="00DE60D3" w:rsidRPr="00E01239" w14:paraId="6167F3DC" w14:textId="77777777" w:rsidTr="008C0C70">
        <w:trPr>
          <w:trHeight w:val="836"/>
          <w:jc w:val="center"/>
        </w:trPr>
        <w:tc>
          <w:tcPr>
            <w:tcW w:w="7083" w:type="dxa"/>
          </w:tcPr>
          <w:p w14:paraId="46C093F0"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 non implication des acteurs clés (OP, services techniques, les populations bénéficiaires) dans le processus de conception et de réalisation du programme </w:t>
            </w:r>
          </w:p>
          <w:p w14:paraId="64F84656"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Le manque de communication et de sensibilisation sur les programmes/projets ;</w:t>
            </w:r>
          </w:p>
          <w:p w14:paraId="23AF3D84"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L’absence de synergies et de capitalisation des interventions entre les autres projets de développement agricole et pastoral au Sénégal</w:t>
            </w:r>
          </w:p>
          <w:p w14:paraId="14D7B67D"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Le mauvais ciblage des bénéficiaires </w:t>
            </w:r>
          </w:p>
          <w:p w14:paraId="3280A277" w14:textId="77777777" w:rsidR="00DE60D3" w:rsidRPr="00E01239" w:rsidRDefault="00DE60D3" w:rsidP="00027669">
            <w:pPr>
              <w:pStyle w:val="Paragraphedeliste"/>
              <w:numPr>
                <w:ilvl w:val="0"/>
                <w:numId w:val="152"/>
              </w:numPr>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 xml:space="preserve">L’altération du milieu naturel et pertes d’habitat avec les travaux de réfection, de construction et d’aménagement prévus par le programme </w:t>
            </w:r>
          </w:p>
          <w:p w14:paraId="0BE58CE5" w14:textId="61D52711" w:rsidR="00DE60D3" w:rsidRPr="00E01239" w:rsidRDefault="00DE60D3" w:rsidP="00027669">
            <w:pPr>
              <w:pStyle w:val="Paragraphedeliste"/>
              <w:numPr>
                <w:ilvl w:val="0"/>
                <w:numId w:val="152"/>
              </w:numPr>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 perte de biodiversité avec les fortes pressions sur les ressources, les feux de brousse, le défrichage et l’abat</w:t>
            </w:r>
            <w:r w:rsidR="00AE4C78" w:rsidRPr="00E01239">
              <w:rPr>
                <w:rFonts w:asciiTheme="minorHAnsi" w:eastAsiaTheme="minorHAnsi" w:hAnsiTheme="minorHAnsi" w:cstheme="minorHAnsi"/>
                <w:noProof/>
                <w:sz w:val="22"/>
              </w:rPr>
              <w:t>t</w:t>
            </w:r>
            <w:r w:rsidRPr="00E01239">
              <w:rPr>
                <w:rFonts w:asciiTheme="minorHAnsi" w:eastAsiaTheme="minorHAnsi" w:hAnsiTheme="minorHAnsi" w:cstheme="minorHAnsi"/>
                <w:noProof/>
                <w:sz w:val="22"/>
              </w:rPr>
              <w:t>age des arbres</w:t>
            </w:r>
          </w:p>
          <w:p w14:paraId="005AE29F" w14:textId="77777777" w:rsidR="00DE60D3" w:rsidRPr="00E01239" w:rsidRDefault="00DE60D3" w:rsidP="00027669">
            <w:pPr>
              <w:pStyle w:val="Paragraphedeliste"/>
              <w:numPr>
                <w:ilvl w:val="0"/>
                <w:numId w:val="152"/>
              </w:numPr>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 xml:space="preserve">La pollution des eaux souterraines et de surfaces liée à l’utilisation des pesticides </w:t>
            </w:r>
          </w:p>
          <w:p w14:paraId="39B48E6E" w14:textId="77777777" w:rsidR="00DE60D3" w:rsidRPr="00E01239" w:rsidRDefault="00DE60D3" w:rsidP="00027669">
            <w:pPr>
              <w:pStyle w:val="Paragraphedeliste"/>
              <w:numPr>
                <w:ilvl w:val="0"/>
                <w:numId w:val="152"/>
              </w:numPr>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L’incidence des effets des pesticides sur la santé humaine et animale</w:t>
            </w:r>
          </w:p>
          <w:p w14:paraId="5EC8F34B" w14:textId="77777777" w:rsidR="00DE60D3" w:rsidRPr="00E01239" w:rsidRDefault="00DE60D3" w:rsidP="00027669">
            <w:pPr>
              <w:pStyle w:val="Paragraphedeliste"/>
              <w:numPr>
                <w:ilvl w:val="0"/>
                <w:numId w:val="152"/>
              </w:numPr>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 ressurgence des conflits entre agriculteurs-éleveurs</w:t>
            </w:r>
          </w:p>
          <w:p w14:paraId="5E2A6A99" w14:textId="77777777" w:rsidR="00DE60D3" w:rsidRPr="00E01239" w:rsidRDefault="00DE60D3" w:rsidP="00027669">
            <w:pPr>
              <w:pStyle w:val="Paragraphedeliste"/>
              <w:numPr>
                <w:ilvl w:val="0"/>
                <w:numId w:val="152"/>
              </w:numPr>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 mauvaise gestion des déchets notamment ceux dits dangereux générés par les activités du programme</w:t>
            </w:r>
          </w:p>
          <w:p w14:paraId="1C484E12" w14:textId="77777777" w:rsidR="00DE60D3" w:rsidRPr="00E01239" w:rsidRDefault="00DE60D3" w:rsidP="00027669">
            <w:pPr>
              <w:pStyle w:val="Paragraphedeliste"/>
              <w:numPr>
                <w:ilvl w:val="0"/>
                <w:numId w:val="152"/>
              </w:numPr>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 contribution du programme aux émissions de méthane (gaz à effet de serre) à travers le développement de l’élevage</w:t>
            </w:r>
          </w:p>
          <w:p w14:paraId="1CE7BDE4" w14:textId="77777777" w:rsidR="00DE60D3" w:rsidRPr="00E01239" w:rsidRDefault="00DE60D3" w:rsidP="00027669">
            <w:pPr>
              <w:pStyle w:val="Paragraphedeliste"/>
              <w:numPr>
                <w:ilvl w:val="0"/>
                <w:numId w:val="152"/>
              </w:numPr>
              <w:tabs>
                <w:tab w:val="left" w:pos="133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 xml:space="preserve">L’incidence des mauvaises pratiques agricoles sur les sols et la santé humaine  liés aux compétences limitées des producteurs </w:t>
            </w:r>
          </w:p>
          <w:p w14:paraId="016C93E5" w14:textId="77777777" w:rsidR="00DE60D3" w:rsidRPr="00E01239" w:rsidRDefault="00DE60D3" w:rsidP="00027669">
            <w:pPr>
              <w:pStyle w:val="Paragraphedeliste"/>
              <w:numPr>
                <w:ilvl w:val="0"/>
                <w:numId w:val="152"/>
              </w:numPr>
              <w:tabs>
                <w:tab w:val="left" w:pos="133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L’acceptabilité, à des fins agricoles, des produits issus de la valorisation des boues de vidange pour des raisons socio-culturelles</w:t>
            </w:r>
          </w:p>
          <w:p w14:paraId="3D727748"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 vulnérabilité des moyens d’existence à faire face à différents chocs : sociaux, climatiques, sanitaires et économiques ;</w:t>
            </w:r>
          </w:p>
          <w:p w14:paraId="6B56DCBF" w14:textId="77777777" w:rsidR="00DE60D3" w:rsidRPr="00E01239" w:rsidRDefault="00DE60D3" w:rsidP="00027669">
            <w:pPr>
              <w:pStyle w:val="Paragraphedeliste"/>
              <w:numPr>
                <w:ilvl w:val="0"/>
                <w:numId w:val="152"/>
              </w:numPr>
              <w:shd w:val="clear" w:color="auto" w:fill="FAFAFA"/>
              <w:autoSpaceDN w:val="0"/>
              <w:ind w:left="360"/>
              <w:jc w:val="both"/>
              <w:rPr>
                <w:rFonts w:asciiTheme="minorHAnsi" w:hAnsiTheme="minorHAnsi" w:cstheme="minorHAnsi"/>
                <w:sz w:val="22"/>
              </w:rPr>
            </w:pPr>
            <w:r w:rsidRPr="00E01239">
              <w:rPr>
                <w:rFonts w:asciiTheme="minorHAnsi" w:hAnsiTheme="minorHAnsi" w:cstheme="minorHAnsi"/>
                <w:sz w:val="22"/>
              </w:rPr>
              <w:t>Les Pertes des éléments de nature psychologique comme les avantages culturels, la position sociale et l’identité qui sont des biens immatériels dont les coûts ne relèvent pas de l’économie marchande</w:t>
            </w:r>
          </w:p>
          <w:p w14:paraId="306449A8"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lastRenderedPageBreak/>
              <w:t>L’existence d’un lien de causalité entre la pauvreté et les VBG notamment en ce qui concerne les femmes dont la plupart des victimes n’ont aucune source de revenus ;</w:t>
            </w:r>
          </w:p>
          <w:p w14:paraId="126A91B8"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Le déficit de structures dédiées à la prise en charge des victimes de VBG </w:t>
            </w:r>
          </w:p>
          <w:p w14:paraId="1D64F199"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L’absence de concentration à l’échelle régionale des founisseurs de services VBG </w:t>
            </w:r>
          </w:p>
          <w:p w14:paraId="4495456F"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 discrimination subie par les femmes et les jeunes par rapport à l’accès aux ressources productives </w:t>
            </w:r>
          </w:p>
          <w:p w14:paraId="2D959EC6"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L’absence de données statistiques des cas de VBG qui ne favorise pas la définition d’orientations stratégiques efficaces basées sur des données fiables </w:t>
            </w:r>
          </w:p>
          <w:p w14:paraId="5FF8D789"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La faiblesse des moyens d’intervention des fournisseurs de services VBG</w:t>
            </w:r>
          </w:p>
          <w:p w14:paraId="68719927"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 xml:space="preserve">Une imcompréhension des VBG par les populations </w:t>
            </w:r>
          </w:p>
          <w:p w14:paraId="690D6D12" w14:textId="77777777" w:rsidR="00DE60D3" w:rsidRPr="00E01239" w:rsidRDefault="00DE60D3" w:rsidP="00027669">
            <w:pPr>
              <w:pStyle w:val="Paragraphedeliste"/>
              <w:numPr>
                <w:ilvl w:val="0"/>
                <w:numId w:val="152"/>
              </w:numPr>
              <w:autoSpaceDN w:val="0"/>
              <w:ind w:left="360"/>
              <w:jc w:val="both"/>
              <w:rPr>
                <w:rFonts w:asciiTheme="minorHAnsi" w:hAnsiTheme="minorHAnsi" w:cstheme="minorHAnsi"/>
                <w:sz w:val="22"/>
              </w:rPr>
            </w:pPr>
            <w:r w:rsidRPr="00E01239">
              <w:rPr>
                <w:rFonts w:asciiTheme="minorHAnsi" w:eastAsiaTheme="minorHAnsi" w:hAnsiTheme="minorHAnsi" w:cstheme="minorHAnsi"/>
                <w:noProof/>
                <w:sz w:val="22"/>
              </w:rPr>
              <w:t>Les lenteurs de la justice dans la prise  en charge des questions VBG.</w:t>
            </w:r>
          </w:p>
          <w:p w14:paraId="431E27B3" w14:textId="77777777" w:rsidR="00DE60D3" w:rsidRPr="00E01239" w:rsidRDefault="00DE60D3" w:rsidP="008C0C70">
            <w:pPr>
              <w:tabs>
                <w:tab w:val="left" w:pos="3140"/>
              </w:tabs>
              <w:ind w:left="360"/>
              <w:jc w:val="both"/>
              <w:rPr>
                <w:rFonts w:asciiTheme="minorHAnsi" w:hAnsiTheme="minorHAnsi" w:cstheme="minorHAnsi"/>
                <w:noProof/>
                <w:sz w:val="22"/>
              </w:rPr>
            </w:pPr>
          </w:p>
          <w:p w14:paraId="76E5E7E6" w14:textId="77777777" w:rsidR="00DE60D3" w:rsidRPr="00E01239" w:rsidRDefault="00DE60D3" w:rsidP="008C0C70">
            <w:pPr>
              <w:tabs>
                <w:tab w:val="left" w:pos="1330"/>
              </w:tabs>
              <w:ind w:left="360"/>
              <w:contextualSpacing/>
              <w:jc w:val="both"/>
              <w:rPr>
                <w:rFonts w:asciiTheme="minorHAnsi" w:hAnsiTheme="minorHAnsi" w:cstheme="minorHAnsi"/>
                <w:noProof/>
                <w:sz w:val="22"/>
              </w:rPr>
            </w:pPr>
          </w:p>
          <w:p w14:paraId="6CFE55A4" w14:textId="77777777" w:rsidR="00DE60D3" w:rsidRPr="00E01239" w:rsidRDefault="00DE60D3" w:rsidP="008C0C70">
            <w:pPr>
              <w:tabs>
                <w:tab w:val="left" w:pos="1330"/>
              </w:tabs>
              <w:ind w:left="720"/>
              <w:contextualSpacing/>
              <w:jc w:val="both"/>
              <w:rPr>
                <w:rFonts w:asciiTheme="minorHAnsi" w:hAnsiTheme="minorHAnsi" w:cstheme="minorHAnsi"/>
                <w:noProof/>
                <w:sz w:val="22"/>
              </w:rPr>
            </w:pPr>
          </w:p>
          <w:p w14:paraId="742874C7" w14:textId="77777777" w:rsidR="00DE60D3" w:rsidRPr="00E01239" w:rsidRDefault="00DE60D3" w:rsidP="008C0C70">
            <w:pPr>
              <w:tabs>
                <w:tab w:val="left" w:pos="1330"/>
              </w:tabs>
              <w:ind w:left="720"/>
              <w:contextualSpacing/>
              <w:rPr>
                <w:rFonts w:asciiTheme="minorHAnsi" w:hAnsiTheme="minorHAnsi" w:cstheme="minorHAnsi"/>
                <w:noProof/>
                <w:sz w:val="22"/>
              </w:rPr>
            </w:pPr>
          </w:p>
        </w:tc>
        <w:tc>
          <w:tcPr>
            <w:tcW w:w="7376" w:type="dxa"/>
            <w:shd w:val="clear" w:color="auto" w:fill="auto"/>
          </w:tcPr>
          <w:p w14:paraId="4F14EE67"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lastRenderedPageBreak/>
              <w:t>Impliquer les autorités administratives, services techniques, les autorités locales et les acteurs à la base tout au long du programme ;</w:t>
            </w:r>
          </w:p>
          <w:p w14:paraId="710AC5D9" w14:textId="0048EC75"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Adopter une démarche participative et inclusive vis à vis des acteurs ;</w:t>
            </w:r>
          </w:p>
          <w:p w14:paraId="45550D45" w14:textId="572707E4"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Préparer des messages clairs et compréhensible</w:t>
            </w:r>
            <w:r w:rsidR="00242F4A">
              <w:rPr>
                <w:rFonts w:asciiTheme="minorHAnsi" w:eastAsiaTheme="minorHAnsi" w:hAnsiTheme="minorHAnsi" w:cstheme="minorHAnsi"/>
                <w:noProof/>
                <w:sz w:val="22"/>
              </w:rPr>
              <w:t>s</w:t>
            </w:r>
            <w:r w:rsidRPr="00E01239">
              <w:rPr>
                <w:rFonts w:asciiTheme="minorHAnsi" w:eastAsiaTheme="minorHAnsi" w:hAnsiTheme="minorHAnsi" w:cstheme="minorHAnsi"/>
                <w:noProof/>
                <w:sz w:val="22"/>
              </w:rPr>
              <w:t xml:space="preserve"> pour les populations ; renforcer les systèmes de communication (voir les besoins spécifiques des populations) </w:t>
            </w:r>
          </w:p>
          <w:p w14:paraId="6AEAD838" w14:textId="08A3FE0D"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Respecter les conventions sign</w:t>
            </w:r>
            <w:r w:rsidR="00451520">
              <w:rPr>
                <w:rFonts w:asciiTheme="minorHAnsi" w:eastAsiaTheme="minorHAnsi" w:hAnsiTheme="minorHAnsi" w:cstheme="minorHAnsi"/>
                <w:noProof/>
                <w:sz w:val="22"/>
              </w:rPr>
              <w:t>é</w:t>
            </w:r>
            <w:r w:rsidRPr="00E01239">
              <w:rPr>
                <w:rFonts w:asciiTheme="minorHAnsi" w:eastAsiaTheme="minorHAnsi" w:hAnsiTheme="minorHAnsi" w:cstheme="minorHAnsi"/>
                <w:noProof/>
                <w:sz w:val="22"/>
              </w:rPr>
              <w:t>e</w:t>
            </w:r>
            <w:r w:rsidR="00451520">
              <w:rPr>
                <w:rFonts w:asciiTheme="minorHAnsi" w:eastAsiaTheme="minorHAnsi" w:hAnsiTheme="minorHAnsi" w:cstheme="minorHAnsi"/>
                <w:noProof/>
                <w:sz w:val="22"/>
              </w:rPr>
              <w:t>s</w:t>
            </w:r>
            <w:r w:rsidRPr="00E01239">
              <w:rPr>
                <w:rFonts w:asciiTheme="minorHAnsi" w:eastAsiaTheme="minorHAnsi" w:hAnsiTheme="minorHAnsi" w:cstheme="minorHAnsi"/>
                <w:noProof/>
                <w:sz w:val="22"/>
              </w:rPr>
              <w:t xml:space="preserve"> avec les services techniques pour pérenniser le programme </w:t>
            </w:r>
          </w:p>
          <w:p w14:paraId="4E75D979"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 xml:space="preserve">Eviter les fausses promesses faites aux acteurs </w:t>
            </w:r>
          </w:p>
          <w:p w14:paraId="1A24DDFC"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 xml:space="preserve">Privilégier les exploitations familliales et les jeunes dans le ciblage des bénéficiaires </w:t>
            </w:r>
          </w:p>
          <w:p w14:paraId="1364DD06"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Renforcer les capacités des organisations Paysannes et des producteurs</w:t>
            </w:r>
          </w:p>
          <w:p w14:paraId="1F7FE5CE"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Veiller au respect de la réglementation,</w:t>
            </w:r>
          </w:p>
          <w:p w14:paraId="089FD346" w14:textId="0C9B4CF0"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Respecter les engagements figurant dans les PGES, notamment sur le suivi environnemental</w:t>
            </w:r>
            <w:r w:rsidR="006079BB">
              <w:rPr>
                <w:rFonts w:asciiTheme="minorHAnsi" w:eastAsiaTheme="minorHAnsi" w:hAnsiTheme="minorHAnsi" w:cstheme="minorHAnsi"/>
                <w:noProof/>
                <w:sz w:val="22"/>
              </w:rPr>
              <w:t xml:space="preserve"> et social</w:t>
            </w:r>
            <w:r w:rsidRPr="00E01239">
              <w:rPr>
                <w:rFonts w:asciiTheme="minorHAnsi" w:eastAsiaTheme="minorHAnsi" w:hAnsiTheme="minorHAnsi" w:cstheme="minorHAnsi"/>
                <w:noProof/>
                <w:sz w:val="22"/>
              </w:rPr>
              <w:t>, les mesures de renforcement des capacités et d’appuis institutionnels</w:t>
            </w:r>
          </w:p>
          <w:p w14:paraId="7678EA2F"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Développer une agriculture intensive</w:t>
            </w:r>
          </w:p>
          <w:p w14:paraId="17BD1166"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Introduire en quantité suffisante des engrais bios pour la fertilisation des sols,</w:t>
            </w:r>
          </w:p>
          <w:p w14:paraId="4B514780"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Encadrer l’utilisation des pestes et pesticides dans le cadre du projet et si besoin recourir aux méthodes naturelles</w:t>
            </w:r>
          </w:p>
          <w:p w14:paraId="0830E45A"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Promouvoir le recours aux fertilisants naturels</w:t>
            </w:r>
          </w:p>
          <w:p w14:paraId="56B504EB"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Favoriser l’intégration agriculture/élevage</w:t>
            </w:r>
          </w:p>
          <w:p w14:paraId="798A9C5C"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Préserver les resssources naturelles</w:t>
            </w:r>
          </w:p>
          <w:p w14:paraId="559D7254"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Favoriser le recours aux entrepreneurs locaux pour renforcer l’économie locale et créer des emplois locaux</w:t>
            </w:r>
          </w:p>
          <w:p w14:paraId="1437D291"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Mettre en place un système de gestion efficace des déchets pour mieux gérer les déchets issus du programme ;</w:t>
            </w:r>
          </w:p>
          <w:p w14:paraId="3C95B42E"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 xml:space="preserve">Accompagner les populations à avoir accès aux systèmes de drainage des eaux d’irrigation </w:t>
            </w:r>
          </w:p>
          <w:p w14:paraId="562E28B1"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lastRenderedPageBreak/>
              <w:t xml:space="preserve">Valoriser les résultats des recherches de l’ISRA notamment par rapport au repeuplement de l’espèce Baobab </w:t>
            </w:r>
          </w:p>
          <w:p w14:paraId="43DC024A"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Mettre en place un mécanisme de gestion des plaintes en accord avec les autorités locales en vue de gérer les éventuelles réclamations et autres abus perpétrés dans le cadre du programme</w:t>
            </w:r>
          </w:p>
          <w:p w14:paraId="6A50B19D"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Création de pares-feux afin d’éviter des destructions importantes de la nature liées aux feux de brousse et par la même occasion maintenir le tapis herbacé.</w:t>
            </w:r>
          </w:p>
          <w:p w14:paraId="34BAC0FB"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Mettre en place des unités pastorales et des couloirs de transhumance pour suivre et encadrer les transhumants ;</w:t>
            </w:r>
          </w:p>
          <w:p w14:paraId="7B8A3B11"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Mettre en place un mécanisme de suivi et de gestion des plaintes .</w:t>
            </w:r>
          </w:p>
          <w:p w14:paraId="0108EBDF"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Miser sur l’autonomisation des femmes et des jeunes ;</w:t>
            </w:r>
          </w:p>
          <w:p w14:paraId="4E4D84AE"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Renforcer l’information, la communication et la sensibilisation sur les VBG</w:t>
            </w:r>
          </w:p>
          <w:p w14:paraId="0EE7E9AC" w14:textId="69145CE2"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Mutualiser les interventions en matière de prise en charge des cas de VGB et de sensibilisation avec le Projet Subsaharienne d’Autonomisation des Femmes Subsahariennes et de Dividende Démographique-Plus (SWEDD-Plus) Sénégal en cours de négociation avec la Banque mondiale</w:t>
            </w:r>
          </w:p>
          <w:p w14:paraId="71FC1DFC"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Construire et équiper des structures dédiées à la prise en charge des victimes de VBG</w:t>
            </w:r>
          </w:p>
          <w:p w14:paraId="701736B8"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 xml:space="preserve">Eradiquer les préjugés, coutumes, traditions et pratiques fondés sur des rôles stéréotypés pour les hommes et les femmes ; </w:t>
            </w:r>
          </w:p>
          <w:p w14:paraId="459B1985"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Renforcer la capacité des acteurs sur les questions de VBG </w:t>
            </w:r>
          </w:p>
          <w:p w14:paraId="6A2ED3B6"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Déconcenter les fournisseurs de services VBG au  niveau départemental et communal ;</w:t>
            </w:r>
          </w:p>
          <w:p w14:paraId="217CE980" w14:textId="1655FF62"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Appuyer les interventions des structures de prise en charge des questions VBG </w:t>
            </w:r>
          </w:p>
          <w:p w14:paraId="50169B0E"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Favoriser le partenariat entre fournisseurs de services VBG</w:t>
            </w:r>
          </w:p>
          <w:p w14:paraId="0E4753D6" w14:textId="77777777" w:rsidR="00DE60D3" w:rsidRPr="00E01239" w:rsidRDefault="00DE60D3" w:rsidP="00027669">
            <w:pPr>
              <w:pStyle w:val="Paragraphedeliste"/>
              <w:numPr>
                <w:ilvl w:val="0"/>
                <w:numId w:val="152"/>
              </w:numPr>
              <w:tabs>
                <w:tab w:val="left" w:pos="3140"/>
              </w:tabs>
              <w:ind w:left="360"/>
              <w:jc w:val="both"/>
              <w:rPr>
                <w:rFonts w:asciiTheme="minorHAnsi" w:eastAsiaTheme="minorHAnsi" w:hAnsiTheme="minorHAnsi" w:cstheme="minorHAnsi"/>
                <w:noProof/>
                <w:sz w:val="22"/>
              </w:rPr>
            </w:pPr>
            <w:r w:rsidRPr="00E01239">
              <w:rPr>
                <w:rFonts w:asciiTheme="minorHAnsi" w:eastAsiaTheme="minorHAnsi" w:hAnsiTheme="minorHAnsi" w:cstheme="minorHAnsi"/>
                <w:noProof/>
                <w:sz w:val="22"/>
              </w:rPr>
              <w:t>Impliquer les parents et les notables des quartiers dans les campagnes d’information et de sensibilisation</w:t>
            </w:r>
          </w:p>
        </w:tc>
      </w:tr>
      <w:tr w:rsidR="00DE60D3" w:rsidRPr="00E01239" w14:paraId="32DDCFD2" w14:textId="77777777" w:rsidTr="008C0C70">
        <w:trPr>
          <w:trHeight w:val="836"/>
          <w:jc w:val="center"/>
        </w:trPr>
        <w:tc>
          <w:tcPr>
            <w:tcW w:w="14459" w:type="dxa"/>
            <w:gridSpan w:val="2"/>
          </w:tcPr>
          <w:p w14:paraId="6C0324D2" w14:textId="77777777" w:rsidR="00DE60D3" w:rsidRPr="00E01239" w:rsidRDefault="00DE60D3" w:rsidP="008C0C70">
            <w:pPr>
              <w:tabs>
                <w:tab w:val="left" w:pos="6405"/>
              </w:tabs>
              <w:contextualSpacing/>
              <w:jc w:val="center"/>
              <w:rPr>
                <w:rFonts w:asciiTheme="minorHAnsi" w:hAnsiTheme="minorHAnsi" w:cstheme="minorHAnsi"/>
                <w:b/>
                <w:noProof/>
                <w:color w:val="002060"/>
                <w:sz w:val="22"/>
              </w:rPr>
            </w:pPr>
            <w:r w:rsidRPr="00E01239">
              <w:rPr>
                <w:rFonts w:asciiTheme="minorHAnsi" w:hAnsiTheme="minorHAnsi" w:cstheme="minorHAnsi"/>
                <w:b/>
                <w:noProof/>
                <w:color w:val="002060"/>
                <w:sz w:val="22"/>
              </w:rPr>
              <w:lastRenderedPageBreak/>
              <w:t>Conclusion sur les résultats des consultations</w:t>
            </w:r>
          </w:p>
          <w:p w14:paraId="4FA88DB1" w14:textId="77777777" w:rsidR="00DE60D3" w:rsidRPr="00E01239" w:rsidRDefault="00DE60D3" w:rsidP="008C0C70">
            <w:pPr>
              <w:tabs>
                <w:tab w:val="left" w:pos="6405"/>
              </w:tabs>
              <w:contextualSpacing/>
              <w:jc w:val="both"/>
              <w:rPr>
                <w:rFonts w:asciiTheme="minorHAnsi" w:hAnsiTheme="minorHAnsi" w:cstheme="minorHAnsi"/>
                <w:noProof/>
                <w:color w:val="002060"/>
                <w:sz w:val="22"/>
              </w:rPr>
            </w:pPr>
            <w:r w:rsidRPr="00E01239">
              <w:rPr>
                <w:rFonts w:asciiTheme="minorHAnsi" w:hAnsiTheme="minorHAnsi" w:cstheme="minorHAnsi"/>
                <w:noProof/>
                <w:color w:val="002060"/>
                <w:sz w:val="22"/>
              </w:rPr>
              <w:t xml:space="preserve">A l’unanimité, le FSRP-SN est perçu par les différentes parties prenantes consultées, comme un excellent programme qui peut contribuer à lutter éfficacement contre l’insécurité alimentaire au niveau des zones cibles, contribuant ainsi au développement des secteurs porteurs que sont l’agriculture et l’élevage. Toutefois, </w:t>
            </w:r>
            <w:r w:rsidRPr="00E01239">
              <w:rPr>
                <w:rFonts w:asciiTheme="minorHAnsi" w:hAnsiTheme="minorHAnsi" w:cstheme="minorHAnsi"/>
                <w:noProof/>
                <w:color w:val="002060"/>
                <w:sz w:val="22"/>
              </w:rPr>
              <w:lastRenderedPageBreak/>
              <w:t xml:space="preserve">les parties prenantes ont suggéré au FSRP-SN de veiller à l’implication effective des acteurs durant toutes les étapes du programme, les producteurs, les structures d’encadrement, les autorités administratives et locales. </w:t>
            </w:r>
          </w:p>
          <w:p w14:paraId="10508D74" w14:textId="77777777" w:rsidR="00DE60D3" w:rsidRPr="00E01239" w:rsidRDefault="00DE60D3" w:rsidP="008C0C70">
            <w:pPr>
              <w:tabs>
                <w:tab w:val="left" w:pos="6405"/>
              </w:tabs>
              <w:contextualSpacing/>
              <w:jc w:val="both"/>
              <w:rPr>
                <w:rFonts w:asciiTheme="minorHAnsi" w:hAnsiTheme="minorHAnsi" w:cstheme="minorHAnsi"/>
                <w:noProof/>
                <w:color w:val="002060"/>
                <w:sz w:val="22"/>
              </w:rPr>
            </w:pPr>
            <w:r w:rsidRPr="00E01239">
              <w:rPr>
                <w:rFonts w:asciiTheme="minorHAnsi" w:hAnsiTheme="minorHAnsi" w:cstheme="minorHAnsi"/>
                <w:noProof/>
                <w:color w:val="002060"/>
                <w:sz w:val="22"/>
              </w:rPr>
              <w:t>Elles ont également recommandé au programme de veiller au respect du cadre réglementaire national en matière de gestion environnementale et sociale.</w:t>
            </w:r>
          </w:p>
          <w:p w14:paraId="7D4F5FEC" w14:textId="77777777" w:rsidR="00DE60D3" w:rsidRPr="00E01239" w:rsidRDefault="00DE60D3" w:rsidP="008C0C70">
            <w:pPr>
              <w:tabs>
                <w:tab w:val="left" w:pos="6405"/>
              </w:tabs>
              <w:contextualSpacing/>
              <w:jc w:val="both"/>
              <w:rPr>
                <w:rFonts w:asciiTheme="minorHAnsi" w:hAnsiTheme="minorHAnsi" w:cstheme="minorHAnsi"/>
                <w:noProof/>
                <w:color w:val="002060"/>
                <w:sz w:val="22"/>
              </w:rPr>
            </w:pPr>
            <w:r w:rsidRPr="00E01239">
              <w:rPr>
                <w:rFonts w:asciiTheme="minorHAnsi" w:hAnsiTheme="minorHAnsi" w:cstheme="minorHAnsi"/>
                <w:noProof/>
                <w:color w:val="002060"/>
                <w:sz w:val="22"/>
              </w:rPr>
              <w:t>Pour miniser les différentes sources de pollution dans le cadre du FSRP-SSN, les parties prenantes ont insisté sur la nécessité de promouvoir les techniques durables (notamment la production agro écologique). Par conséquent, le recours aux engrais organiques est recommandé au projet en vue notamment de minimiser tout risque de pollution sur les plans d’eau et d’exposer les usagers aux risques sanitaires.</w:t>
            </w:r>
          </w:p>
          <w:p w14:paraId="691FD732" w14:textId="504B171F" w:rsidR="00DE60D3" w:rsidRPr="00E01239" w:rsidRDefault="00DE60D3" w:rsidP="008C0C70">
            <w:pPr>
              <w:tabs>
                <w:tab w:val="left" w:pos="6405"/>
              </w:tabs>
              <w:contextualSpacing/>
              <w:jc w:val="both"/>
              <w:rPr>
                <w:rFonts w:asciiTheme="minorHAnsi" w:hAnsiTheme="minorHAnsi" w:cstheme="minorHAnsi"/>
                <w:noProof/>
                <w:color w:val="002060"/>
                <w:sz w:val="22"/>
              </w:rPr>
            </w:pPr>
            <w:r w:rsidRPr="00E01239">
              <w:rPr>
                <w:rFonts w:asciiTheme="minorHAnsi" w:hAnsiTheme="minorHAnsi" w:cstheme="minorHAnsi"/>
                <w:noProof/>
                <w:color w:val="002060"/>
                <w:sz w:val="22"/>
              </w:rPr>
              <w:t>Les parties prenantes ont insisté sur la nécessité, pour le FSRP-SN de trouver des synergies avec les programmes et projets en cours et qui ont pour ambi</w:t>
            </w:r>
            <w:r w:rsidR="00990F64">
              <w:rPr>
                <w:rFonts w:asciiTheme="minorHAnsi" w:hAnsiTheme="minorHAnsi" w:cstheme="minorHAnsi"/>
                <w:noProof/>
                <w:color w:val="002060"/>
                <w:sz w:val="22"/>
              </w:rPr>
              <w:t>ti</w:t>
            </w:r>
            <w:r w:rsidRPr="00E01239">
              <w:rPr>
                <w:rFonts w:asciiTheme="minorHAnsi" w:hAnsiTheme="minorHAnsi" w:cstheme="minorHAnsi"/>
                <w:noProof/>
                <w:color w:val="002060"/>
                <w:sz w:val="22"/>
              </w:rPr>
              <w:t>on le développement des systèmes agricoles et pastoraux, aux fins d’une meilleure optimisation des resssources.</w:t>
            </w:r>
          </w:p>
          <w:p w14:paraId="058F79C0" w14:textId="464BB53F" w:rsidR="00DE60D3" w:rsidRPr="00E01239" w:rsidRDefault="00DE60D3" w:rsidP="008C0C70">
            <w:pPr>
              <w:tabs>
                <w:tab w:val="left" w:pos="6405"/>
              </w:tabs>
              <w:contextualSpacing/>
              <w:jc w:val="both"/>
              <w:rPr>
                <w:rFonts w:asciiTheme="minorHAnsi" w:hAnsiTheme="minorHAnsi" w:cstheme="minorHAnsi"/>
                <w:noProof/>
                <w:color w:val="002060"/>
                <w:sz w:val="22"/>
              </w:rPr>
            </w:pPr>
            <w:r w:rsidRPr="00E01239">
              <w:rPr>
                <w:rFonts w:asciiTheme="minorHAnsi" w:hAnsiTheme="minorHAnsi" w:cstheme="minorHAnsi"/>
                <w:noProof/>
                <w:color w:val="002060"/>
                <w:sz w:val="22"/>
              </w:rPr>
              <w:t>Relativement à la sensibilisation et</w:t>
            </w:r>
            <w:r w:rsidR="006B001F">
              <w:rPr>
                <w:rFonts w:asciiTheme="minorHAnsi" w:hAnsiTheme="minorHAnsi" w:cstheme="minorHAnsi"/>
                <w:noProof/>
                <w:color w:val="002060"/>
                <w:sz w:val="22"/>
              </w:rPr>
              <w:t xml:space="preserve"> à</w:t>
            </w:r>
            <w:r w:rsidRPr="00E01239">
              <w:rPr>
                <w:rFonts w:asciiTheme="minorHAnsi" w:hAnsiTheme="minorHAnsi" w:cstheme="minorHAnsi"/>
                <w:noProof/>
                <w:color w:val="002060"/>
                <w:sz w:val="22"/>
              </w:rPr>
              <w:t xml:space="preserve"> la prise en charge des VBG, les parties prenantes ont relevé plusieurs difficultés, notamment l’absence de moyens des structures de prise en charge des cas et la lenteur dans le traitement judiciaire.</w:t>
            </w:r>
          </w:p>
          <w:p w14:paraId="6C3E7365" w14:textId="77777777" w:rsidR="00DE60D3" w:rsidRPr="00E01239" w:rsidRDefault="00DE60D3" w:rsidP="008C0C70">
            <w:pPr>
              <w:tabs>
                <w:tab w:val="left" w:pos="6405"/>
              </w:tabs>
              <w:contextualSpacing/>
              <w:jc w:val="both"/>
              <w:rPr>
                <w:rFonts w:asciiTheme="minorHAnsi" w:hAnsiTheme="minorHAnsi" w:cstheme="minorHAnsi"/>
                <w:noProof/>
                <w:color w:val="002060"/>
                <w:sz w:val="22"/>
              </w:rPr>
            </w:pPr>
            <w:r w:rsidRPr="00E01239">
              <w:rPr>
                <w:rFonts w:asciiTheme="minorHAnsi" w:hAnsiTheme="minorHAnsi" w:cstheme="minorHAnsi"/>
                <w:noProof/>
                <w:color w:val="002060"/>
                <w:sz w:val="22"/>
              </w:rPr>
              <w:t>Elles ont par ailleurs recommandé au FSRP de mutualiser les interventions en matière de prise en charge des cas de VGB et de sensibilisation avec le Projet Subsaharienne d’Autonomisation des Femmes Subsahariennes et de Dividende Démographique-Plus (SWEDD-Plus) Sénégal en cours de négociation avec la Banque mondiale, et qui l’avantage de couvrir l’ensemble du territoire.</w:t>
            </w:r>
          </w:p>
        </w:tc>
      </w:tr>
    </w:tbl>
    <w:p w14:paraId="027A74F3" w14:textId="77777777" w:rsidR="00DE60D3" w:rsidRPr="00E01239" w:rsidRDefault="00DE60D3" w:rsidP="00DE60D3">
      <w:pPr>
        <w:rPr>
          <w:rFonts w:asciiTheme="minorHAnsi" w:hAnsiTheme="minorHAnsi" w:cstheme="minorHAnsi"/>
        </w:rPr>
      </w:pPr>
    </w:p>
    <w:p w14:paraId="63C71EA6" w14:textId="68EFC455" w:rsidR="00DE60D3" w:rsidRPr="00E01239" w:rsidRDefault="00DE60D3" w:rsidP="00B91B2B">
      <w:pPr>
        <w:keepNext/>
        <w:spacing w:after="200"/>
        <w:jc w:val="center"/>
        <w:rPr>
          <w:rFonts w:asciiTheme="minorHAnsi" w:eastAsia="Calibri" w:hAnsiTheme="minorHAnsi" w:cstheme="minorHAnsi"/>
          <w:iCs/>
          <w:sz w:val="22"/>
          <w:szCs w:val="18"/>
          <w:lang w:eastAsia="en-US"/>
        </w:rPr>
      </w:pPr>
    </w:p>
    <w:p w14:paraId="514BDEA6" w14:textId="66A9641D" w:rsidR="00DE60D3" w:rsidRPr="00E01239" w:rsidRDefault="00DE60D3" w:rsidP="00B91B2B">
      <w:pPr>
        <w:keepNext/>
        <w:spacing w:after="200"/>
        <w:jc w:val="center"/>
        <w:rPr>
          <w:rFonts w:asciiTheme="minorHAnsi" w:eastAsia="Calibri" w:hAnsiTheme="minorHAnsi" w:cstheme="minorHAnsi"/>
          <w:iCs/>
          <w:sz w:val="22"/>
          <w:szCs w:val="18"/>
          <w:lang w:eastAsia="en-US"/>
        </w:rPr>
      </w:pPr>
    </w:p>
    <w:p w14:paraId="0B729643" w14:textId="45FB4721" w:rsidR="00DE60D3" w:rsidRPr="00E01239" w:rsidRDefault="00DE60D3" w:rsidP="00B91B2B">
      <w:pPr>
        <w:keepNext/>
        <w:spacing w:after="200"/>
        <w:jc w:val="center"/>
        <w:rPr>
          <w:rFonts w:asciiTheme="minorHAnsi" w:eastAsia="Calibri" w:hAnsiTheme="minorHAnsi" w:cstheme="minorHAnsi"/>
          <w:iCs/>
          <w:sz w:val="22"/>
          <w:szCs w:val="18"/>
          <w:lang w:eastAsia="en-US"/>
        </w:rPr>
      </w:pPr>
    </w:p>
    <w:p w14:paraId="53E49F12" w14:textId="04B74677" w:rsidR="00DE60D3" w:rsidRPr="00E01239" w:rsidRDefault="00DE60D3" w:rsidP="00B91B2B">
      <w:pPr>
        <w:keepNext/>
        <w:spacing w:after="200"/>
        <w:jc w:val="center"/>
        <w:rPr>
          <w:rFonts w:asciiTheme="minorHAnsi" w:eastAsia="Calibri" w:hAnsiTheme="minorHAnsi" w:cstheme="minorHAnsi"/>
          <w:iCs/>
          <w:sz w:val="22"/>
          <w:szCs w:val="18"/>
          <w:lang w:eastAsia="en-US"/>
        </w:rPr>
      </w:pPr>
    </w:p>
    <w:p w14:paraId="0616FD4E" w14:textId="77777777" w:rsidR="00DE60D3" w:rsidRPr="00E01239" w:rsidRDefault="00DE60D3" w:rsidP="00B91B2B">
      <w:pPr>
        <w:keepNext/>
        <w:spacing w:after="200"/>
        <w:jc w:val="center"/>
        <w:rPr>
          <w:rFonts w:asciiTheme="minorHAnsi" w:eastAsia="Calibri" w:hAnsiTheme="minorHAnsi" w:cstheme="minorHAnsi"/>
          <w:iCs/>
          <w:sz w:val="22"/>
          <w:szCs w:val="18"/>
          <w:lang w:eastAsia="en-US"/>
        </w:rPr>
      </w:pPr>
    </w:p>
    <w:p w14:paraId="64258E24" w14:textId="77777777" w:rsidR="00B91B2B" w:rsidRPr="00E01239" w:rsidRDefault="00B91B2B" w:rsidP="00B91B2B">
      <w:pPr>
        <w:spacing w:before="120" w:line="360" w:lineRule="exact"/>
        <w:jc w:val="both"/>
        <w:rPr>
          <w:rFonts w:asciiTheme="minorHAnsi" w:hAnsiTheme="minorHAnsi" w:cstheme="minorHAnsi"/>
          <w:sz w:val="22"/>
          <w:szCs w:val="22"/>
        </w:rPr>
        <w:sectPr w:rsidR="00B91B2B" w:rsidRPr="00E01239" w:rsidSect="008C0C70">
          <w:pgSz w:w="16838" w:h="11906" w:orient="landscape"/>
          <w:pgMar w:top="1418" w:right="1418" w:bottom="1418" w:left="1418" w:header="720" w:footer="720" w:gutter="0"/>
          <w:cols w:space="720"/>
          <w:docGrid w:linePitch="360"/>
        </w:sectPr>
      </w:pPr>
    </w:p>
    <w:p w14:paraId="2C448856" w14:textId="77777777" w:rsidR="00266126" w:rsidRPr="00E01239" w:rsidRDefault="00266126" w:rsidP="007D41DC">
      <w:pPr>
        <w:widowControl w:val="0"/>
        <w:adjustRightInd w:val="0"/>
        <w:jc w:val="both"/>
        <w:textAlignment w:val="baseline"/>
        <w:rPr>
          <w:rFonts w:asciiTheme="minorHAnsi" w:hAnsiTheme="minorHAnsi" w:cstheme="minorHAnsi"/>
          <w:sz w:val="22"/>
          <w:szCs w:val="22"/>
        </w:rPr>
      </w:pPr>
      <w:bookmarkStart w:id="1083" w:name="_Toc86610196"/>
      <w:bookmarkStart w:id="1084" w:name="_Toc86706292"/>
      <w:bookmarkStart w:id="1085" w:name="_Toc86706386"/>
      <w:bookmarkStart w:id="1086" w:name="_Toc86772715"/>
      <w:bookmarkStart w:id="1087" w:name="_Toc86773317"/>
      <w:bookmarkStart w:id="1088" w:name="_Toc86828681"/>
      <w:bookmarkStart w:id="1089" w:name="_Toc86832538"/>
      <w:bookmarkStart w:id="1090" w:name="_Toc87478344"/>
      <w:bookmarkStart w:id="1091" w:name="_Toc89298083"/>
      <w:bookmarkStart w:id="1092" w:name="_Toc93910759"/>
      <w:bookmarkStart w:id="1093" w:name="_Toc128667406"/>
      <w:bookmarkStart w:id="1094" w:name="_Toc128762494"/>
      <w:bookmarkStart w:id="1095" w:name="_Toc130485823"/>
      <w:bookmarkStart w:id="1096" w:name="_Toc130485946"/>
      <w:bookmarkStart w:id="1097" w:name="_Toc130486069"/>
      <w:bookmarkStart w:id="1098" w:name="_Toc130487252"/>
      <w:bookmarkStart w:id="1099" w:name="_Toc130488894"/>
      <w:bookmarkStart w:id="1100" w:name="_Toc130489015"/>
      <w:bookmarkStart w:id="1101" w:name="_Toc130649794"/>
      <w:bookmarkStart w:id="1102" w:name="_Toc130649918"/>
      <w:bookmarkStart w:id="1103" w:name="_Toc130785751"/>
      <w:bookmarkStart w:id="1104" w:name="_Toc130785874"/>
      <w:bookmarkStart w:id="1105" w:name="_Toc131608100"/>
      <w:bookmarkStart w:id="1106" w:name="_Toc131608839"/>
      <w:bookmarkStart w:id="1107" w:name="_Toc132805251"/>
      <w:bookmarkStart w:id="1108" w:name="_Toc142482981"/>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52CABFD4" w14:textId="77777777" w:rsidR="00E525FB" w:rsidRPr="00E01239" w:rsidRDefault="00E525FB" w:rsidP="009E5299">
      <w:pPr>
        <w:pStyle w:val="Titre2"/>
        <w:spacing w:before="120" w:line="280" w:lineRule="exact"/>
        <w:ind w:hanging="502"/>
        <w:rPr>
          <w:rFonts w:asciiTheme="minorHAnsi" w:hAnsiTheme="minorHAnsi" w:cstheme="minorHAnsi"/>
          <w:color w:val="auto"/>
        </w:rPr>
      </w:pPr>
      <w:bookmarkStart w:id="1109" w:name="_Toc9410390"/>
      <w:bookmarkStart w:id="1110" w:name="_Toc18303858"/>
      <w:bookmarkStart w:id="1111" w:name="_Toc18303999"/>
      <w:bookmarkStart w:id="1112" w:name="_Toc18304123"/>
      <w:bookmarkStart w:id="1113" w:name="_Toc18336061"/>
      <w:bookmarkStart w:id="1114" w:name="_Toc18997780"/>
      <w:bookmarkStart w:id="1115" w:name="_Toc19009384"/>
      <w:bookmarkStart w:id="1116" w:name="_Toc19013531"/>
      <w:bookmarkStart w:id="1117" w:name="_Toc19025576"/>
      <w:bookmarkStart w:id="1118" w:name="_Toc19101294"/>
      <w:bookmarkStart w:id="1119" w:name="_Toc19237305"/>
      <w:bookmarkStart w:id="1120" w:name="_Toc19241585"/>
      <w:bookmarkStart w:id="1121" w:name="_Toc19276899"/>
      <w:bookmarkStart w:id="1122" w:name="_Toc19360703"/>
      <w:bookmarkStart w:id="1123" w:name="_Toc19428664"/>
      <w:bookmarkStart w:id="1124" w:name="_Toc9410391"/>
      <w:bookmarkStart w:id="1125" w:name="_Toc18303859"/>
      <w:bookmarkStart w:id="1126" w:name="_Toc18304000"/>
      <w:bookmarkStart w:id="1127" w:name="_Toc18304124"/>
      <w:bookmarkStart w:id="1128" w:name="_Toc18336062"/>
      <w:bookmarkStart w:id="1129" w:name="_Toc18997781"/>
      <w:bookmarkStart w:id="1130" w:name="_Toc19009385"/>
      <w:bookmarkStart w:id="1131" w:name="_Toc19013532"/>
      <w:bookmarkStart w:id="1132" w:name="_Toc19025577"/>
      <w:bookmarkStart w:id="1133" w:name="_Toc19101295"/>
      <w:bookmarkStart w:id="1134" w:name="_Toc19237306"/>
      <w:bookmarkStart w:id="1135" w:name="_Toc19241586"/>
      <w:bookmarkStart w:id="1136" w:name="_Toc19276900"/>
      <w:bookmarkStart w:id="1137" w:name="_Toc19360704"/>
      <w:bookmarkStart w:id="1138" w:name="_Toc19428665"/>
      <w:bookmarkStart w:id="1139" w:name="_Toc9410392"/>
      <w:bookmarkStart w:id="1140" w:name="_Toc18303860"/>
      <w:bookmarkStart w:id="1141" w:name="_Toc18304001"/>
      <w:bookmarkStart w:id="1142" w:name="_Toc18304125"/>
      <w:bookmarkStart w:id="1143" w:name="_Toc18336063"/>
      <w:bookmarkStart w:id="1144" w:name="_Toc18997782"/>
      <w:bookmarkStart w:id="1145" w:name="_Toc19009386"/>
      <w:bookmarkStart w:id="1146" w:name="_Toc19013533"/>
      <w:bookmarkStart w:id="1147" w:name="_Toc19025578"/>
      <w:bookmarkStart w:id="1148" w:name="_Toc19101296"/>
      <w:bookmarkStart w:id="1149" w:name="_Toc19237307"/>
      <w:bookmarkStart w:id="1150" w:name="_Toc19241587"/>
      <w:bookmarkStart w:id="1151" w:name="_Toc19276901"/>
      <w:bookmarkStart w:id="1152" w:name="_Toc19360705"/>
      <w:bookmarkStart w:id="1153" w:name="_Toc19428666"/>
      <w:bookmarkStart w:id="1154" w:name="_Toc9410393"/>
      <w:bookmarkStart w:id="1155" w:name="_Toc18303861"/>
      <w:bookmarkStart w:id="1156" w:name="_Toc18304002"/>
      <w:bookmarkStart w:id="1157" w:name="_Toc18304126"/>
      <w:bookmarkStart w:id="1158" w:name="_Toc18336064"/>
      <w:bookmarkStart w:id="1159" w:name="_Toc18997783"/>
      <w:bookmarkStart w:id="1160" w:name="_Toc19009387"/>
      <w:bookmarkStart w:id="1161" w:name="_Toc19013534"/>
      <w:bookmarkStart w:id="1162" w:name="_Toc19025579"/>
      <w:bookmarkStart w:id="1163" w:name="_Toc19101297"/>
      <w:bookmarkStart w:id="1164" w:name="_Toc19237308"/>
      <w:bookmarkStart w:id="1165" w:name="_Toc19241588"/>
      <w:bookmarkStart w:id="1166" w:name="_Toc19276902"/>
      <w:bookmarkStart w:id="1167" w:name="_Toc19360706"/>
      <w:bookmarkStart w:id="1168" w:name="_Toc19428667"/>
      <w:bookmarkStart w:id="1169" w:name="_Toc9410394"/>
      <w:bookmarkStart w:id="1170" w:name="_Toc18303862"/>
      <w:bookmarkStart w:id="1171" w:name="_Toc18304003"/>
      <w:bookmarkStart w:id="1172" w:name="_Toc18304127"/>
      <w:bookmarkStart w:id="1173" w:name="_Toc18336065"/>
      <w:bookmarkStart w:id="1174" w:name="_Toc18997784"/>
      <w:bookmarkStart w:id="1175" w:name="_Toc19009388"/>
      <w:bookmarkStart w:id="1176" w:name="_Toc19013535"/>
      <w:bookmarkStart w:id="1177" w:name="_Toc19025580"/>
      <w:bookmarkStart w:id="1178" w:name="_Toc19101298"/>
      <w:bookmarkStart w:id="1179" w:name="_Toc19237309"/>
      <w:bookmarkStart w:id="1180" w:name="_Toc19241589"/>
      <w:bookmarkStart w:id="1181" w:name="_Toc19276903"/>
      <w:bookmarkStart w:id="1182" w:name="_Toc19360707"/>
      <w:bookmarkStart w:id="1183" w:name="_Toc19428668"/>
      <w:bookmarkStart w:id="1184" w:name="_Toc89298076"/>
      <w:bookmarkStart w:id="1185" w:name="_Toc93910752"/>
      <w:bookmarkStart w:id="1186" w:name="_Toc128667399"/>
      <w:bookmarkStart w:id="1187" w:name="_Toc128762487"/>
      <w:bookmarkStart w:id="1188" w:name="_Toc130485818"/>
      <w:bookmarkStart w:id="1189" w:name="_Toc130485941"/>
      <w:bookmarkStart w:id="1190" w:name="_Toc130486064"/>
      <w:bookmarkStart w:id="1191" w:name="_Toc130487247"/>
      <w:bookmarkStart w:id="1192" w:name="_Toc130714100"/>
      <w:bookmarkStart w:id="1193" w:name="_Toc142378210"/>
      <w:bookmarkStart w:id="1194" w:name="_Toc144654158"/>
      <w:bookmarkStart w:id="1195" w:name="_Toc26505017"/>
      <w:bookmarkStart w:id="1196" w:name="_Toc70002970"/>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Pr="00E01239">
        <w:rPr>
          <w:rFonts w:asciiTheme="minorHAnsi" w:hAnsiTheme="minorHAnsi" w:cstheme="minorHAnsi"/>
          <w:color w:val="auto"/>
        </w:rPr>
        <w:t>PROGRAMME DE SURVEILLANCE ET DE SUIVI ENVIRONNEMENTAL ET SOCIA</w:t>
      </w:r>
      <w:bookmarkStart w:id="1197" w:name="_Toc286525978"/>
      <w:bookmarkStart w:id="1198" w:name="_Toc286603667"/>
      <w:bookmarkStart w:id="1199" w:name="_Toc286606255"/>
      <w:bookmarkStart w:id="1200" w:name="_Toc289721959"/>
      <w:bookmarkStart w:id="1201" w:name="_Toc291144431"/>
      <w:bookmarkStart w:id="1202" w:name="_Toc292563306"/>
      <w:bookmarkStart w:id="1203" w:name="_Toc292563422"/>
      <w:bookmarkStart w:id="1204" w:name="_Toc292563537"/>
      <w:bookmarkStart w:id="1205" w:name="_Toc316435789"/>
      <w:bookmarkStart w:id="1206" w:name="_Toc317413674"/>
      <w:bookmarkStart w:id="1207" w:name="_Toc317413975"/>
      <w:bookmarkStart w:id="1208" w:name="_Toc317414795"/>
      <w:bookmarkStart w:id="1209" w:name="_Toc317416168"/>
      <w:bookmarkStart w:id="1210" w:name="_Toc317427883"/>
      <w:bookmarkStart w:id="1211" w:name="_Toc320920594"/>
      <w:bookmarkStart w:id="1212" w:name="_Toc320924271"/>
      <w:bookmarkStart w:id="1213" w:name="_Toc322715100"/>
      <w:bookmarkStart w:id="1214" w:name="_Toc329708232"/>
      <w:bookmarkStart w:id="1215" w:name="_Toc329708387"/>
      <w:bookmarkStart w:id="1216" w:name="_Toc329708537"/>
      <w:bookmarkStart w:id="1217" w:name="_Toc329858276"/>
      <w:bookmarkStart w:id="1218" w:name="_Toc329888722"/>
      <w:bookmarkStart w:id="1219" w:name="_Toc329899642"/>
      <w:bookmarkStart w:id="1220" w:name="_Toc329972557"/>
      <w:bookmarkStart w:id="1221" w:name="_Toc329980557"/>
      <w:bookmarkStart w:id="1222" w:name="_Toc330042004"/>
      <w:bookmarkStart w:id="1223" w:name="_Toc330042166"/>
      <w:bookmarkStart w:id="1224" w:name="_Toc330092241"/>
      <w:bookmarkStart w:id="1225" w:name="_Toc330092411"/>
      <w:bookmarkStart w:id="1226" w:name="_Toc330141966"/>
      <w:bookmarkStart w:id="1227" w:name="_Toc330143995"/>
      <w:bookmarkStart w:id="1228" w:name="_Toc330156397"/>
      <w:bookmarkStart w:id="1229" w:name="_Toc331867386"/>
      <w:bookmarkStart w:id="1230" w:name="_Toc331867903"/>
      <w:bookmarkStart w:id="1231" w:name="_Toc332208439"/>
      <w:bookmarkStart w:id="1232" w:name="_Toc332270192"/>
      <w:bookmarkStart w:id="1233" w:name="_Toc369965731"/>
      <w:bookmarkStart w:id="1234" w:name="_Toc370155748"/>
      <w:bookmarkStart w:id="1235" w:name="_Toc370157979"/>
      <w:bookmarkStart w:id="1236" w:name="_Toc375543346"/>
      <w:bookmarkStart w:id="1237" w:name="_Toc376076343"/>
      <w:bookmarkStart w:id="1238" w:name="_Toc376174652"/>
      <w:bookmarkStart w:id="1239" w:name="_Toc376364270"/>
      <w:bookmarkStart w:id="1240" w:name="_Toc376367529"/>
      <w:bookmarkStart w:id="1241" w:name="_Toc376540614"/>
      <w:bookmarkStart w:id="1242" w:name="_Toc376642259"/>
      <w:bookmarkStart w:id="1243" w:name="_Toc376702487"/>
      <w:bookmarkStart w:id="1244" w:name="_Toc376704852"/>
      <w:bookmarkStart w:id="1245" w:name="_Toc376705020"/>
      <w:bookmarkStart w:id="1246" w:name="_Toc376730305"/>
      <w:bookmarkStart w:id="1247" w:name="_Toc376731908"/>
      <w:bookmarkStart w:id="1248" w:name="_Toc377326076"/>
      <w:bookmarkStart w:id="1249" w:name="_Toc377333874"/>
      <w:bookmarkStart w:id="1250" w:name="_Toc380145508"/>
      <w:bookmarkStart w:id="1251" w:name="_Toc380160395"/>
      <w:bookmarkStart w:id="1252" w:name="_Toc380160597"/>
      <w:bookmarkStart w:id="1253" w:name="_Toc380161019"/>
      <w:bookmarkStart w:id="1254" w:name="_Toc380161333"/>
      <w:bookmarkStart w:id="1255" w:name="_Toc380161520"/>
      <w:bookmarkStart w:id="1256" w:name="_Toc380530755"/>
      <w:bookmarkStart w:id="1257" w:name="_Toc380603355"/>
      <w:bookmarkStart w:id="1258" w:name="_Toc380604878"/>
      <w:bookmarkStart w:id="1259" w:name="_Toc380610511"/>
      <w:bookmarkStart w:id="1260" w:name="_Toc380610718"/>
      <w:bookmarkStart w:id="1261" w:name="_Toc380610925"/>
      <w:bookmarkStart w:id="1262" w:name="_Toc380621487"/>
      <w:bookmarkStart w:id="1263" w:name="_Toc381219457"/>
      <w:bookmarkStart w:id="1264" w:name="_Toc381224931"/>
      <w:bookmarkStart w:id="1265" w:name="_Toc381802202"/>
      <w:bookmarkStart w:id="1266" w:name="_Toc233465133"/>
      <w:bookmarkStart w:id="1267" w:name="_Toc241846064"/>
      <w:bookmarkStart w:id="1268" w:name="_Toc243869071"/>
      <w:bookmarkStart w:id="1269" w:name="_Toc244267222"/>
      <w:bookmarkStart w:id="1270" w:name="_Toc284240661"/>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E01239">
        <w:rPr>
          <w:rFonts w:asciiTheme="minorHAnsi" w:hAnsiTheme="minorHAnsi" w:cstheme="minorHAnsi"/>
          <w:color w:val="auto"/>
        </w:rPr>
        <w:t>L</w:t>
      </w:r>
      <w:bookmarkEnd w:id="1192"/>
      <w:bookmarkEnd w:id="1193"/>
      <w:bookmarkEnd w:id="1194"/>
    </w:p>
    <w:bookmarkEnd w:id="1266"/>
    <w:bookmarkEnd w:id="1267"/>
    <w:bookmarkEnd w:id="1268"/>
    <w:bookmarkEnd w:id="1269"/>
    <w:bookmarkEnd w:id="1270"/>
    <w:p w14:paraId="265E535B" w14:textId="2CD9E3A5" w:rsidR="00804B5E" w:rsidRPr="00E01239" w:rsidRDefault="00804B5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 présent plan de suivi et de surveillance environnementale</w:t>
      </w:r>
      <w:r w:rsidR="00D47E79" w:rsidRPr="00E01239">
        <w:rPr>
          <w:rFonts w:asciiTheme="minorHAnsi" w:hAnsiTheme="minorHAnsi" w:cstheme="minorHAnsi"/>
          <w:sz w:val="22"/>
          <w:szCs w:val="22"/>
        </w:rPr>
        <w:t xml:space="preserve"> et sociale</w:t>
      </w:r>
      <w:r w:rsidRPr="00E01239">
        <w:rPr>
          <w:rFonts w:asciiTheme="minorHAnsi" w:hAnsiTheme="minorHAnsi" w:cstheme="minorHAnsi"/>
          <w:sz w:val="22"/>
          <w:szCs w:val="22"/>
        </w:rPr>
        <w:t xml:space="preserve"> vise à fournir à </w:t>
      </w:r>
      <w:r w:rsidR="00911EB8" w:rsidRPr="00E01239">
        <w:rPr>
          <w:rFonts w:asciiTheme="minorHAnsi" w:hAnsiTheme="minorHAnsi" w:cstheme="minorHAnsi"/>
          <w:bCs/>
          <w:sz w:val="22"/>
          <w:szCs w:val="22"/>
        </w:rPr>
        <w:t>l’UCP</w:t>
      </w:r>
      <w:r w:rsidR="00394A82" w:rsidRPr="00E01239">
        <w:rPr>
          <w:rFonts w:asciiTheme="minorHAnsi" w:hAnsiTheme="minorHAnsi" w:cstheme="minorHAnsi"/>
          <w:bCs/>
          <w:sz w:val="22"/>
          <w:szCs w:val="22"/>
        </w:rPr>
        <w:t xml:space="preserve"> </w:t>
      </w:r>
      <w:r w:rsidR="00911EB8" w:rsidRPr="00E01239">
        <w:rPr>
          <w:rFonts w:asciiTheme="minorHAnsi" w:hAnsiTheme="minorHAnsi" w:cstheme="minorHAnsi"/>
          <w:bCs/>
          <w:sz w:val="22"/>
          <w:szCs w:val="22"/>
        </w:rPr>
        <w:t>FSRP/MEPA et à l’UCP</w:t>
      </w:r>
      <w:r w:rsidR="00394A82" w:rsidRPr="00E01239">
        <w:rPr>
          <w:rFonts w:asciiTheme="minorHAnsi" w:hAnsiTheme="minorHAnsi" w:cstheme="minorHAnsi"/>
          <w:bCs/>
          <w:sz w:val="22"/>
          <w:szCs w:val="22"/>
        </w:rPr>
        <w:t xml:space="preserve"> </w:t>
      </w:r>
      <w:r w:rsidR="00911EB8" w:rsidRPr="00E01239">
        <w:rPr>
          <w:rFonts w:asciiTheme="minorHAnsi" w:hAnsiTheme="minorHAnsi" w:cstheme="minorHAnsi"/>
          <w:bCs/>
          <w:sz w:val="22"/>
          <w:szCs w:val="22"/>
        </w:rPr>
        <w:t xml:space="preserve">FSRP/MAERSA </w:t>
      </w:r>
      <w:r w:rsidRPr="00E01239">
        <w:rPr>
          <w:rFonts w:asciiTheme="minorHAnsi" w:hAnsiTheme="minorHAnsi" w:cstheme="minorHAnsi"/>
          <w:sz w:val="22"/>
          <w:szCs w:val="22"/>
        </w:rPr>
        <w:t xml:space="preserve">les outils et moyens pour d’une part, vérifier la mise en œuvre des mesures environnementales </w:t>
      </w:r>
      <w:r w:rsidR="004709A7" w:rsidRPr="00E01239">
        <w:rPr>
          <w:rFonts w:asciiTheme="minorHAnsi" w:hAnsiTheme="minorHAnsi" w:cstheme="minorHAnsi"/>
          <w:sz w:val="22"/>
          <w:szCs w:val="22"/>
        </w:rPr>
        <w:t xml:space="preserve">et sociales </w:t>
      </w:r>
      <w:r w:rsidRPr="00E01239">
        <w:rPr>
          <w:rFonts w:asciiTheme="minorHAnsi" w:hAnsiTheme="minorHAnsi" w:cstheme="minorHAnsi"/>
          <w:sz w:val="22"/>
          <w:szCs w:val="22"/>
        </w:rPr>
        <w:t>dans les différentes phases d’exécution du projet (planification et conception, construction et exploitation) et d’autre part, vérifier, par l’expérience sur le terrain, la justesse de l’évaluation de certains impacts et l’efficacité de certaines mesures d’atténuation ou d’évitement prévues, et pour lesquelles persisteraient des incertitudes.</w:t>
      </w:r>
    </w:p>
    <w:p w14:paraId="0BB082B5" w14:textId="77777777" w:rsidR="00804B5E" w:rsidRPr="00E01239" w:rsidRDefault="00804B5E" w:rsidP="00263B8A">
      <w:pPr>
        <w:spacing w:before="120" w:line="280" w:lineRule="exact"/>
        <w:jc w:val="both"/>
        <w:rPr>
          <w:rFonts w:asciiTheme="minorHAnsi" w:hAnsiTheme="minorHAnsi" w:cstheme="minorHAnsi"/>
          <w:sz w:val="22"/>
          <w:szCs w:val="22"/>
        </w:rPr>
      </w:pPr>
    </w:p>
    <w:p w14:paraId="0D931985" w14:textId="38BF95CE" w:rsidR="00804B5E" w:rsidRPr="00E01239" w:rsidRDefault="00804B5E" w:rsidP="009E5299">
      <w:pPr>
        <w:pStyle w:val="Titre3"/>
        <w:ind w:left="1418"/>
        <w:rPr>
          <w:rFonts w:asciiTheme="minorHAnsi" w:hAnsiTheme="minorHAnsi" w:cstheme="minorHAnsi"/>
        </w:rPr>
      </w:pPr>
      <w:bookmarkStart w:id="1271" w:name="_Toc58790896"/>
      <w:bookmarkStart w:id="1272" w:name="_Toc43107461"/>
      <w:bookmarkStart w:id="1273" w:name="_Toc63285598"/>
      <w:bookmarkStart w:id="1274" w:name="_Toc116408769"/>
      <w:bookmarkStart w:id="1275" w:name="_Toc144654159"/>
      <w:bookmarkEnd w:id="1271"/>
      <w:r w:rsidRPr="00E01239">
        <w:rPr>
          <w:rFonts w:asciiTheme="minorHAnsi" w:hAnsiTheme="minorHAnsi" w:cstheme="minorHAnsi"/>
        </w:rPr>
        <w:t>Dispositif de Surveillance et Supervision environnementale</w:t>
      </w:r>
      <w:bookmarkEnd w:id="1272"/>
      <w:bookmarkEnd w:id="1273"/>
      <w:bookmarkEnd w:id="1274"/>
      <w:r w:rsidR="00D47E79" w:rsidRPr="00E01239">
        <w:rPr>
          <w:rFonts w:asciiTheme="minorHAnsi" w:hAnsiTheme="minorHAnsi" w:cstheme="minorHAnsi"/>
        </w:rPr>
        <w:t xml:space="preserve"> et sociale</w:t>
      </w:r>
      <w:bookmarkEnd w:id="1275"/>
      <w:r w:rsidR="00D47E79" w:rsidRPr="00E01239">
        <w:rPr>
          <w:rFonts w:asciiTheme="minorHAnsi" w:hAnsiTheme="minorHAnsi" w:cstheme="minorHAnsi"/>
        </w:rPr>
        <w:t xml:space="preserve"> </w:t>
      </w:r>
    </w:p>
    <w:p w14:paraId="5F46CCE5" w14:textId="77777777" w:rsidR="00804B5E" w:rsidRPr="00E01239" w:rsidRDefault="00804B5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Par surveillance environnementale, il faut entendre toutes les activités d’inspection, de contrôle et d’intervention visant à vérifier que :</w:t>
      </w:r>
    </w:p>
    <w:p w14:paraId="3A2F5544" w14:textId="6034C4B3" w:rsidR="00804B5E" w:rsidRPr="00E01239" w:rsidRDefault="00934F77" w:rsidP="00027669">
      <w:pPr>
        <w:pStyle w:val="Paragraphedeliste"/>
        <w:numPr>
          <w:ilvl w:val="0"/>
          <w:numId w:val="139"/>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Toutes</w:t>
      </w:r>
      <w:r w:rsidR="00804B5E" w:rsidRPr="00E01239">
        <w:rPr>
          <w:rFonts w:asciiTheme="minorHAnsi" w:hAnsiTheme="minorHAnsi" w:cstheme="minorHAnsi"/>
          <w:sz w:val="22"/>
          <w:szCs w:val="22"/>
        </w:rPr>
        <w:t xml:space="preserve"> les exigences et conditions en matière de protection d</w:t>
      </w:r>
      <w:r w:rsidR="00EE5921" w:rsidRPr="00E01239">
        <w:rPr>
          <w:rFonts w:asciiTheme="minorHAnsi" w:hAnsiTheme="minorHAnsi" w:cstheme="minorHAnsi"/>
          <w:sz w:val="22"/>
          <w:szCs w:val="22"/>
        </w:rPr>
        <w:t>e l</w:t>
      </w:r>
      <w:r w:rsidR="00804B5E" w:rsidRPr="00E01239">
        <w:rPr>
          <w:rFonts w:asciiTheme="minorHAnsi" w:hAnsiTheme="minorHAnsi" w:cstheme="minorHAnsi"/>
          <w:sz w:val="22"/>
          <w:szCs w:val="22"/>
        </w:rPr>
        <w:t xml:space="preserve">’environnement </w:t>
      </w:r>
      <w:r w:rsidR="00BF4151" w:rsidRPr="00E01239">
        <w:rPr>
          <w:rFonts w:asciiTheme="minorHAnsi" w:hAnsiTheme="minorHAnsi" w:cstheme="minorHAnsi"/>
          <w:sz w:val="22"/>
          <w:szCs w:val="22"/>
        </w:rPr>
        <w:t xml:space="preserve">biophysique et </w:t>
      </w:r>
      <w:r w:rsidR="00DE081B" w:rsidRPr="00E01239">
        <w:rPr>
          <w:rFonts w:asciiTheme="minorHAnsi" w:hAnsiTheme="minorHAnsi" w:cstheme="minorHAnsi"/>
          <w:sz w:val="22"/>
          <w:szCs w:val="22"/>
        </w:rPr>
        <w:t>socio-économique</w:t>
      </w:r>
      <w:r w:rsidR="00BF4151" w:rsidRPr="00E01239">
        <w:rPr>
          <w:rFonts w:asciiTheme="minorHAnsi" w:hAnsiTheme="minorHAnsi" w:cstheme="minorHAnsi"/>
          <w:sz w:val="22"/>
          <w:szCs w:val="22"/>
        </w:rPr>
        <w:t xml:space="preserve"> </w:t>
      </w:r>
      <w:r w:rsidR="00804B5E" w:rsidRPr="00E01239">
        <w:rPr>
          <w:rFonts w:asciiTheme="minorHAnsi" w:hAnsiTheme="minorHAnsi" w:cstheme="minorHAnsi"/>
          <w:sz w:val="22"/>
          <w:szCs w:val="22"/>
        </w:rPr>
        <w:t xml:space="preserve">soient effectivement respectées durant les différentes phases d’exécution du projet ; </w:t>
      </w:r>
    </w:p>
    <w:p w14:paraId="44E6F702" w14:textId="636AFF83" w:rsidR="00804B5E" w:rsidRPr="00E01239" w:rsidRDefault="00934F77" w:rsidP="00027669">
      <w:pPr>
        <w:pStyle w:val="Paragraphedeliste"/>
        <w:numPr>
          <w:ilvl w:val="0"/>
          <w:numId w:val="139"/>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Les</w:t>
      </w:r>
      <w:r w:rsidR="00804B5E" w:rsidRPr="00E01239">
        <w:rPr>
          <w:rFonts w:asciiTheme="minorHAnsi" w:hAnsiTheme="minorHAnsi" w:cstheme="minorHAnsi"/>
          <w:sz w:val="22"/>
          <w:szCs w:val="22"/>
        </w:rPr>
        <w:t xml:space="preserve"> mesures de protection de l’environnement </w:t>
      </w:r>
      <w:r w:rsidR="00710F9C" w:rsidRPr="00E01239">
        <w:rPr>
          <w:rFonts w:asciiTheme="minorHAnsi" w:hAnsiTheme="minorHAnsi" w:cstheme="minorHAnsi"/>
          <w:sz w:val="22"/>
          <w:szCs w:val="22"/>
        </w:rPr>
        <w:t xml:space="preserve">biophysique et socio-économique </w:t>
      </w:r>
      <w:r w:rsidR="00804B5E" w:rsidRPr="00E01239">
        <w:rPr>
          <w:rFonts w:asciiTheme="minorHAnsi" w:hAnsiTheme="minorHAnsi" w:cstheme="minorHAnsi"/>
          <w:sz w:val="22"/>
          <w:szCs w:val="22"/>
        </w:rPr>
        <w:t xml:space="preserve">prescrites ou prévues soient mises en place et permettent d’atteindre les objectifs fixés ; </w:t>
      </w:r>
    </w:p>
    <w:p w14:paraId="6B9ED161" w14:textId="16E42E76" w:rsidR="00804B5E" w:rsidRPr="00E01239" w:rsidRDefault="00934F77" w:rsidP="00027669">
      <w:pPr>
        <w:pStyle w:val="Paragraphedeliste"/>
        <w:numPr>
          <w:ilvl w:val="0"/>
          <w:numId w:val="139"/>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Les</w:t>
      </w:r>
      <w:r w:rsidR="00804B5E" w:rsidRPr="00E01239">
        <w:rPr>
          <w:rFonts w:asciiTheme="minorHAnsi" w:hAnsiTheme="minorHAnsi" w:cstheme="minorHAnsi"/>
          <w:sz w:val="22"/>
          <w:szCs w:val="22"/>
        </w:rPr>
        <w:t xml:space="preserve"> risques et incertitudes puissent être gérés et corrigés à temps opportun. </w:t>
      </w:r>
    </w:p>
    <w:p w14:paraId="46D36548" w14:textId="6BC2DE4B" w:rsidR="00804B5E" w:rsidRPr="00E01239" w:rsidRDefault="00804B5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Responsables Sauvegarde Environnementale et </w:t>
      </w:r>
      <w:r w:rsidR="00DE5094">
        <w:rPr>
          <w:rFonts w:asciiTheme="minorHAnsi" w:hAnsiTheme="minorHAnsi" w:cstheme="minorHAnsi"/>
          <w:sz w:val="22"/>
          <w:szCs w:val="22"/>
        </w:rPr>
        <w:t xml:space="preserve">Développement </w:t>
      </w:r>
      <w:r w:rsidRPr="00E01239">
        <w:rPr>
          <w:rFonts w:asciiTheme="minorHAnsi" w:hAnsiTheme="minorHAnsi" w:cstheme="minorHAnsi"/>
          <w:sz w:val="22"/>
          <w:szCs w:val="22"/>
        </w:rPr>
        <w:t xml:space="preserve">Social de </w:t>
      </w:r>
      <w:r w:rsidR="00911EB8" w:rsidRPr="00E01239">
        <w:rPr>
          <w:rFonts w:asciiTheme="minorHAnsi" w:hAnsiTheme="minorHAnsi" w:cstheme="minorHAnsi"/>
          <w:bCs/>
          <w:sz w:val="22"/>
          <w:szCs w:val="22"/>
        </w:rPr>
        <w:t>l’UCP</w:t>
      </w:r>
      <w:r w:rsidR="00394A82" w:rsidRPr="00E01239">
        <w:rPr>
          <w:rFonts w:asciiTheme="minorHAnsi" w:hAnsiTheme="minorHAnsi" w:cstheme="minorHAnsi"/>
          <w:bCs/>
          <w:sz w:val="22"/>
          <w:szCs w:val="22"/>
        </w:rPr>
        <w:t xml:space="preserve"> </w:t>
      </w:r>
      <w:r w:rsidR="00911EB8" w:rsidRPr="00E01239">
        <w:rPr>
          <w:rFonts w:asciiTheme="minorHAnsi" w:hAnsiTheme="minorHAnsi" w:cstheme="minorHAnsi"/>
          <w:bCs/>
          <w:sz w:val="22"/>
          <w:szCs w:val="22"/>
        </w:rPr>
        <w:t>FSRP/MEPA et de l’UCP</w:t>
      </w:r>
      <w:r w:rsidR="00394A82" w:rsidRPr="00E01239">
        <w:rPr>
          <w:rFonts w:asciiTheme="minorHAnsi" w:hAnsiTheme="minorHAnsi" w:cstheme="minorHAnsi"/>
          <w:bCs/>
          <w:sz w:val="22"/>
          <w:szCs w:val="22"/>
        </w:rPr>
        <w:t xml:space="preserve"> </w:t>
      </w:r>
      <w:r w:rsidR="00911EB8" w:rsidRPr="00E01239">
        <w:rPr>
          <w:rFonts w:asciiTheme="minorHAnsi" w:hAnsiTheme="minorHAnsi" w:cstheme="minorHAnsi"/>
          <w:bCs/>
          <w:sz w:val="22"/>
          <w:szCs w:val="22"/>
        </w:rPr>
        <w:t xml:space="preserve">FSRP/MAERSA </w:t>
      </w:r>
      <w:r w:rsidRPr="00E01239">
        <w:rPr>
          <w:rFonts w:asciiTheme="minorHAnsi" w:hAnsiTheme="minorHAnsi" w:cstheme="minorHAnsi"/>
          <w:sz w:val="22"/>
          <w:szCs w:val="22"/>
        </w:rPr>
        <w:t xml:space="preserve">auront comme principales missions de : </w:t>
      </w:r>
    </w:p>
    <w:p w14:paraId="36E15C7D" w14:textId="2DD6E1E0" w:rsidR="00804B5E" w:rsidRPr="00E01239" w:rsidRDefault="00934F77" w:rsidP="00027669">
      <w:pPr>
        <w:pStyle w:val="Paragraphedeliste"/>
        <w:numPr>
          <w:ilvl w:val="0"/>
          <w:numId w:val="136"/>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Faire</w:t>
      </w:r>
      <w:r w:rsidR="00804B5E" w:rsidRPr="00E01239">
        <w:rPr>
          <w:rFonts w:asciiTheme="minorHAnsi" w:hAnsiTheme="minorHAnsi" w:cstheme="minorHAnsi"/>
          <w:sz w:val="22"/>
          <w:szCs w:val="22"/>
        </w:rPr>
        <w:t xml:space="preserve"> respecter toutes les mesures d’atténuation courantes et particulières du projet</w:t>
      </w:r>
      <w:r w:rsidRPr="00E01239">
        <w:rPr>
          <w:rFonts w:asciiTheme="minorHAnsi" w:hAnsiTheme="minorHAnsi" w:cstheme="minorHAnsi"/>
          <w:sz w:val="22"/>
          <w:szCs w:val="22"/>
        </w:rPr>
        <w:t xml:space="preserve"> </w:t>
      </w:r>
      <w:r w:rsidR="00804B5E" w:rsidRPr="00E01239">
        <w:rPr>
          <w:rFonts w:asciiTheme="minorHAnsi" w:hAnsiTheme="minorHAnsi" w:cstheme="minorHAnsi"/>
          <w:sz w:val="22"/>
          <w:szCs w:val="22"/>
        </w:rPr>
        <w:t>;</w:t>
      </w:r>
    </w:p>
    <w:p w14:paraId="7EA5FF5F" w14:textId="3CC74BDC" w:rsidR="00804B5E" w:rsidRPr="00E01239" w:rsidRDefault="00934F77" w:rsidP="00027669">
      <w:pPr>
        <w:pStyle w:val="Paragraphedeliste"/>
        <w:numPr>
          <w:ilvl w:val="0"/>
          <w:numId w:val="136"/>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Rappeler</w:t>
      </w:r>
      <w:r w:rsidR="00804B5E" w:rsidRPr="00E01239">
        <w:rPr>
          <w:rFonts w:asciiTheme="minorHAnsi" w:hAnsiTheme="minorHAnsi" w:cstheme="minorHAnsi"/>
          <w:sz w:val="22"/>
          <w:szCs w:val="22"/>
        </w:rPr>
        <w:t xml:space="preserve"> aux parties prenantes leurs obligations en matière environnementale</w:t>
      </w:r>
      <w:r w:rsidR="004512AC" w:rsidRPr="00E01239">
        <w:rPr>
          <w:rFonts w:asciiTheme="minorHAnsi" w:hAnsiTheme="minorHAnsi" w:cstheme="minorHAnsi"/>
          <w:sz w:val="22"/>
          <w:szCs w:val="22"/>
        </w:rPr>
        <w:t xml:space="preserve"> et sociale</w:t>
      </w:r>
      <w:r w:rsidR="00804B5E" w:rsidRPr="00E01239">
        <w:rPr>
          <w:rFonts w:asciiTheme="minorHAnsi" w:hAnsiTheme="minorHAnsi" w:cstheme="minorHAnsi"/>
          <w:sz w:val="22"/>
          <w:szCs w:val="22"/>
        </w:rPr>
        <w:t xml:space="preserve"> et s’assurer que celles-ci sont respectées lors de la période de construction</w:t>
      </w:r>
      <w:r w:rsidRPr="00E01239">
        <w:rPr>
          <w:rFonts w:asciiTheme="minorHAnsi" w:hAnsiTheme="minorHAnsi" w:cstheme="minorHAnsi"/>
          <w:sz w:val="22"/>
          <w:szCs w:val="22"/>
        </w:rPr>
        <w:t xml:space="preserve"> </w:t>
      </w:r>
      <w:r w:rsidR="00804B5E" w:rsidRPr="00E01239">
        <w:rPr>
          <w:rFonts w:asciiTheme="minorHAnsi" w:hAnsiTheme="minorHAnsi" w:cstheme="minorHAnsi"/>
          <w:sz w:val="22"/>
          <w:szCs w:val="22"/>
        </w:rPr>
        <w:t>;</w:t>
      </w:r>
    </w:p>
    <w:p w14:paraId="4142E928" w14:textId="44B60F43" w:rsidR="00804B5E" w:rsidRPr="00E01239" w:rsidRDefault="00934F77" w:rsidP="00027669">
      <w:pPr>
        <w:pStyle w:val="Paragraphedeliste"/>
        <w:numPr>
          <w:ilvl w:val="0"/>
          <w:numId w:val="136"/>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Rédiger</w:t>
      </w:r>
      <w:r w:rsidR="00804B5E" w:rsidRPr="00E01239">
        <w:rPr>
          <w:rFonts w:asciiTheme="minorHAnsi" w:hAnsiTheme="minorHAnsi" w:cstheme="minorHAnsi"/>
          <w:sz w:val="22"/>
          <w:szCs w:val="22"/>
        </w:rPr>
        <w:t xml:space="preserve"> ou faire rédiger des rapports de surveillance environnementale</w:t>
      </w:r>
      <w:r w:rsidR="004512AC" w:rsidRPr="00E01239">
        <w:rPr>
          <w:rFonts w:asciiTheme="minorHAnsi" w:hAnsiTheme="minorHAnsi" w:cstheme="minorHAnsi"/>
          <w:sz w:val="22"/>
          <w:szCs w:val="22"/>
        </w:rPr>
        <w:t xml:space="preserve"> et sociale</w:t>
      </w:r>
      <w:r w:rsidR="00804B5E" w:rsidRPr="00E01239">
        <w:rPr>
          <w:rFonts w:asciiTheme="minorHAnsi" w:hAnsiTheme="minorHAnsi" w:cstheme="minorHAnsi"/>
          <w:sz w:val="22"/>
          <w:szCs w:val="22"/>
        </w:rPr>
        <w:t xml:space="preserve"> tout au long des travaux</w:t>
      </w:r>
      <w:r w:rsidRPr="00E01239">
        <w:rPr>
          <w:rFonts w:asciiTheme="minorHAnsi" w:hAnsiTheme="minorHAnsi" w:cstheme="minorHAnsi"/>
          <w:sz w:val="22"/>
          <w:szCs w:val="22"/>
        </w:rPr>
        <w:t xml:space="preserve"> </w:t>
      </w:r>
      <w:r w:rsidR="00804B5E" w:rsidRPr="00E01239">
        <w:rPr>
          <w:rFonts w:asciiTheme="minorHAnsi" w:hAnsiTheme="minorHAnsi" w:cstheme="minorHAnsi"/>
          <w:sz w:val="22"/>
          <w:szCs w:val="22"/>
        </w:rPr>
        <w:t>;</w:t>
      </w:r>
    </w:p>
    <w:p w14:paraId="3EF770EF" w14:textId="17745D1A" w:rsidR="00804B5E" w:rsidRPr="00E01239" w:rsidRDefault="00934F77" w:rsidP="00027669">
      <w:pPr>
        <w:pStyle w:val="Paragraphedeliste"/>
        <w:numPr>
          <w:ilvl w:val="0"/>
          <w:numId w:val="136"/>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Inspecter</w:t>
      </w:r>
      <w:r w:rsidR="00804B5E" w:rsidRPr="00E01239">
        <w:rPr>
          <w:rFonts w:asciiTheme="minorHAnsi" w:hAnsiTheme="minorHAnsi" w:cstheme="minorHAnsi"/>
          <w:sz w:val="22"/>
          <w:szCs w:val="22"/>
        </w:rPr>
        <w:t xml:space="preserve"> les travaux et demander les correctifs appropriés le cas échéant</w:t>
      </w:r>
      <w:r w:rsidRPr="00E01239">
        <w:rPr>
          <w:rFonts w:asciiTheme="minorHAnsi" w:hAnsiTheme="minorHAnsi" w:cstheme="minorHAnsi"/>
          <w:sz w:val="22"/>
          <w:szCs w:val="22"/>
        </w:rPr>
        <w:t xml:space="preserve"> </w:t>
      </w:r>
      <w:r w:rsidR="00804B5E" w:rsidRPr="00E01239">
        <w:rPr>
          <w:rFonts w:asciiTheme="minorHAnsi" w:hAnsiTheme="minorHAnsi" w:cstheme="minorHAnsi"/>
          <w:sz w:val="22"/>
          <w:szCs w:val="22"/>
        </w:rPr>
        <w:t>;</w:t>
      </w:r>
    </w:p>
    <w:p w14:paraId="38F99070" w14:textId="6624672A" w:rsidR="00AC178B" w:rsidRPr="00E01239" w:rsidRDefault="00934F77" w:rsidP="00027669">
      <w:pPr>
        <w:pStyle w:val="Paragraphedeliste"/>
        <w:numPr>
          <w:ilvl w:val="0"/>
          <w:numId w:val="136"/>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Rédiger</w:t>
      </w:r>
      <w:r w:rsidR="00804B5E" w:rsidRPr="00E01239">
        <w:rPr>
          <w:rFonts w:asciiTheme="minorHAnsi" w:hAnsiTheme="minorHAnsi" w:cstheme="minorHAnsi"/>
          <w:sz w:val="22"/>
          <w:szCs w:val="22"/>
        </w:rPr>
        <w:t xml:space="preserve"> le compte-rendu final du programme de surveillance environnementale </w:t>
      </w:r>
      <w:r w:rsidR="004512AC" w:rsidRPr="00E01239">
        <w:rPr>
          <w:rFonts w:asciiTheme="minorHAnsi" w:hAnsiTheme="minorHAnsi" w:cstheme="minorHAnsi"/>
          <w:sz w:val="22"/>
          <w:szCs w:val="22"/>
        </w:rPr>
        <w:t>et sociale</w:t>
      </w:r>
      <w:r w:rsidR="002F21E2" w:rsidRPr="00E01239">
        <w:rPr>
          <w:rFonts w:asciiTheme="minorHAnsi" w:hAnsiTheme="minorHAnsi" w:cstheme="minorHAnsi"/>
          <w:sz w:val="22"/>
          <w:szCs w:val="22"/>
        </w:rPr>
        <w:t xml:space="preserve"> </w:t>
      </w:r>
      <w:r w:rsidR="00804B5E" w:rsidRPr="00E01239">
        <w:rPr>
          <w:rFonts w:asciiTheme="minorHAnsi" w:hAnsiTheme="minorHAnsi" w:cstheme="minorHAnsi"/>
          <w:sz w:val="22"/>
          <w:szCs w:val="22"/>
        </w:rPr>
        <w:t>en période</w:t>
      </w:r>
      <w:r w:rsidR="00AC178B" w:rsidRPr="00E01239">
        <w:rPr>
          <w:rFonts w:asciiTheme="minorHAnsi" w:hAnsiTheme="minorHAnsi" w:cstheme="minorHAnsi"/>
          <w:sz w:val="22"/>
          <w:szCs w:val="22"/>
        </w:rPr>
        <w:t> :</w:t>
      </w:r>
    </w:p>
    <w:p w14:paraId="7355BDDC" w14:textId="574FF59D" w:rsidR="00AC178B" w:rsidRPr="00E01239" w:rsidRDefault="00AC178B" w:rsidP="00AC178B">
      <w:pPr>
        <w:pStyle w:val="Paragraphedeliste"/>
        <w:numPr>
          <w:ilvl w:val="0"/>
          <w:numId w:val="136"/>
        </w:num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Elaborer les différents rapports et notes périodiques relatives aux activités E&amp;S ;</w:t>
      </w:r>
    </w:p>
    <w:p w14:paraId="35B44CA7" w14:textId="1D96A35B" w:rsidR="00804B5E" w:rsidRPr="00E01239" w:rsidRDefault="0D20C71A" w:rsidP="00AC178B">
      <w:pPr>
        <w:pStyle w:val="Paragraphedeliste"/>
        <w:numPr>
          <w:ilvl w:val="0"/>
          <w:numId w:val="136"/>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Bidi"/>
          <w:sz w:val="22"/>
          <w:szCs w:val="22"/>
        </w:rPr>
        <w:t>Assurer le suivi et l’évaluation de la mise en œuvre des activités E&amp;S…</w:t>
      </w:r>
    </w:p>
    <w:p w14:paraId="60ED759D" w14:textId="77777777" w:rsidR="00804B5E" w:rsidRPr="00E01239" w:rsidRDefault="00804B5E" w:rsidP="00804B5E">
      <w:pPr>
        <w:spacing w:after="160" w:line="259" w:lineRule="auto"/>
        <w:rPr>
          <w:rFonts w:asciiTheme="minorHAnsi" w:hAnsiTheme="minorHAnsi" w:cstheme="minorHAnsi"/>
          <w:b/>
          <w:sz w:val="22"/>
        </w:rPr>
      </w:pPr>
      <w:bookmarkStart w:id="1276" w:name="_Toc504857729"/>
      <w:bookmarkStart w:id="1277" w:name="_Toc523751154"/>
      <w:bookmarkStart w:id="1278" w:name="_Toc523915065"/>
      <w:bookmarkStart w:id="1279" w:name="_Toc15489891"/>
    </w:p>
    <w:p w14:paraId="10C5E4CD" w14:textId="77777777" w:rsidR="00804B5E" w:rsidRPr="00E01239" w:rsidRDefault="00804B5E" w:rsidP="00804B5E">
      <w:pPr>
        <w:pStyle w:val="LgendeTab"/>
        <w:spacing w:before="0" w:after="0" w:line="240" w:lineRule="auto"/>
        <w:jc w:val="center"/>
        <w:rPr>
          <w:rFonts w:asciiTheme="minorHAnsi" w:hAnsiTheme="minorHAnsi" w:cstheme="minorHAnsi"/>
        </w:rPr>
        <w:sectPr w:rsidR="00804B5E" w:rsidRPr="00E01239" w:rsidSect="008C0C70">
          <w:pgSz w:w="11907" w:h="16840" w:code="9"/>
          <w:pgMar w:top="1460" w:right="1134" w:bottom="851" w:left="1134" w:header="709" w:footer="781" w:gutter="0"/>
          <w:pgBorders w:offsetFrom="page">
            <w:top w:val="none" w:sz="0" w:space="14" w:color="000000" w:shadow="1"/>
            <w:left w:val="none" w:sz="55" w:space="20" w:color="000030" w:shadow="1" w:frame="1"/>
            <w:bottom w:val="none" w:sz="55" w:space="13" w:color="000030" w:shadow="1" w:frame="1"/>
            <w:right w:val="none" w:sz="0" w:space="14" w:color="0000B4" w:shadow="1"/>
          </w:pgBorders>
          <w:cols w:space="708"/>
          <w:docGrid w:linePitch="360"/>
        </w:sectPr>
      </w:pPr>
      <w:bookmarkStart w:id="1280" w:name="_Toc43107530"/>
      <w:bookmarkStart w:id="1281" w:name="_Toc63281796"/>
    </w:p>
    <w:p w14:paraId="12E73B02" w14:textId="27A42751" w:rsidR="00804B5E" w:rsidRPr="00E01239" w:rsidRDefault="00804B5E" w:rsidP="00804B5E">
      <w:pPr>
        <w:pStyle w:val="LgendeTab"/>
        <w:spacing w:before="0" w:after="0" w:line="240" w:lineRule="auto"/>
        <w:jc w:val="center"/>
        <w:rPr>
          <w:rFonts w:asciiTheme="minorHAnsi" w:hAnsiTheme="minorHAnsi" w:cstheme="minorHAnsi"/>
        </w:rPr>
      </w:pPr>
      <w:bookmarkStart w:id="1282" w:name="_Toc116408811"/>
      <w:bookmarkStart w:id="1283" w:name="_Toc144654215"/>
      <w:r w:rsidRPr="00E01239">
        <w:rPr>
          <w:rFonts w:asciiTheme="minorHAnsi" w:hAnsiTheme="minorHAnsi" w:cstheme="minorHAnsi"/>
        </w:rPr>
        <w:lastRenderedPageBreak/>
        <w:t xml:space="preserve">Tableau </w:t>
      </w:r>
      <w:r w:rsidRPr="00E01239">
        <w:rPr>
          <w:rFonts w:asciiTheme="minorHAnsi" w:hAnsiTheme="minorHAnsi" w:cstheme="minorHAnsi"/>
          <w:noProof/>
        </w:rPr>
        <w:fldChar w:fldCharType="begin"/>
      </w:r>
      <w:r w:rsidRPr="00E01239">
        <w:rPr>
          <w:rFonts w:asciiTheme="minorHAnsi" w:hAnsiTheme="minorHAnsi" w:cstheme="minorHAnsi"/>
          <w:noProof/>
        </w:rPr>
        <w:instrText xml:space="preserve"> SEQ Tableau \* ARABIC </w:instrText>
      </w:r>
      <w:r w:rsidRPr="00E01239">
        <w:rPr>
          <w:rFonts w:asciiTheme="minorHAnsi" w:hAnsiTheme="minorHAnsi" w:cstheme="minorHAnsi"/>
          <w:noProof/>
        </w:rPr>
        <w:fldChar w:fldCharType="separate"/>
      </w:r>
      <w:r w:rsidR="005C3166">
        <w:rPr>
          <w:rFonts w:asciiTheme="minorHAnsi" w:hAnsiTheme="minorHAnsi" w:cstheme="minorHAnsi"/>
          <w:noProof/>
        </w:rPr>
        <w:t>21</w:t>
      </w:r>
      <w:r w:rsidRPr="00E01239">
        <w:rPr>
          <w:rFonts w:asciiTheme="minorHAnsi" w:hAnsiTheme="minorHAnsi" w:cstheme="minorHAnsi"/>
          <w:noProof/>
        </w:rPr>
        <w:fldChar w:fldCharType="end"/>
      </w:r>
      <w:r w:rsidRPr="00E01239">
        <w:rPr>
          <w:rFonts w:asciiTheme="minorHAnsi" w:hAnsiTheme="minorHAnsi" w:cstheme="minorHAnsi"/>
        </w:rPr>
        <w:t xml:space="preserve"> : </w:t>
      </w:r>
      <w:r w:rsidRPr="00E01239">
        <w:rPr>
          <w:rFonts w:asciiTheme="minorHAnsi" w:hAnsiTheme="minorHAnsi" w:cstheme="minorHAnsi"/>
          <w:b w:val="0"/>
          <w:bCs/>
        </w:rPr>
        <w:t>Programme de surveillance environnementale</w:t>
      </w:r>
      <w:bookmarkEnd w:id="1276"/>
      <w:bookmarkEnd w:id="1277"/>
      <w:bookmarkEnd w:id="1278"/>
      <w:bookmarkEnd w:id="1279"/>
      <w:bookmarkEnd w:id="1280"/>
      <w:bookmarkEnd w:id="1281"/>
      <w:bookmarkEnd w:id="1282"/>
      <w:r w:rsidR="005D229F" w:rsidRPr="00E01239">
        <w:rPr>
          <w:rFonts w:asciiTheme="minorHAnsi" w:hAnsiTheme="minorHAnsi" w:cstheme="minorHAnsi"/>
          <w:b w:val="0"/>
          <w:bCs/>
        </w:rPr>
        <w:t xml:space="preserve"> et sociale</w:t>
      </w:r>
      <w:bookmarkEnd w:id="1283"/>
      <w:r w:rsidR="005D229F" w:rsidRPr="00E01239">
        <w:rPr>
          <w:rFonts w:asciiTheme="minorHAnsi" w:hAnsiTheme="minorHAnsi" w:cstheme="minorHAnsi"/>
          <w:b w:val="0"/>
          <w:bCs/>
        </w:rPr>
        <w:t xml:space="preserve">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89"/>
        <w:gridCol w:w="3686"/>
        <w:gridCol w:w="2948"/>
        <w:gridCol w:w="2742"/>
        <w:gridCol w:w="3357"/>
      </w:tblGrid>
      <w:tr w:rsidR="00804B5E" w:rsidRPr="00E01239" w14:paraId="66D00090" w14:textId="77777777" w:rsidTr="00263B8A">
        <w:trPr>
          <w:trHeight w:val="113"/>
          <w:tblHeader/>
          <w:jc w:val="center"/>
        </w:trPr>
        <w:tc>
          <w:tcPr>
            <w:tcW w:w="616" w:type="pct"/>
            <w:shd w:val="clear" w:color="auto" w:fill="1F3864" w:themeFill="accent5" w:themeFillShade="80"/>
            <w:vAlign w:val="center"/>
          </w:tcPr>
          <w:p w14:paraId="4BCF677C" w14:textId="77777777" w:rsidR="00804B5E" w:rsidRPr="00E01239" w:rsidRDefault="00804B5E" w:rsidP="00814C48">
            <w:pPr>
              <w:jc w:val="center"/>
              <w:rPr>
                <w:rFonts w:asciiTheme="minorHAnsi" w:hAnsiTheme="minorHAnsi" w:cstheme="minorHAnsi"/>
                <w:sz w:val="22"/>
                <w:szCs w:val="22"/>
              </w:rPr>
            </w:pPr>
            <w:r w:rsidRPr="00E01239">
              <w:rPr>
                <w:rFonts w:asciiTheme="minorHAnsi" w:hAnsiTheme="minorHAnsi" w:cstheme="minorHAnsi"/>
                <w:sz w:val="22"/>
                <w:szCs w:val="22"/>
              </w:rPr>
              <w:t>Phase du programme</w:t>
            </w:r>
          </w:p>
        </w:tc>
        <w:tc>
          <w:tcPr>
            <w:tcW w:w="1269" w:type="pct"/>
            <w:shd w:val="clear" w:color="auto" w:fill="1F3864" w:themeFill="accent5" w:themeFillShade="80"/>
            <w:vAlign w:val="center"/>
          </w:tcPr>
          <w:p w14:paraId="6EC1DCE1" w14:textId="77777777" w:rsidR="00804B5E" w:rsidRPr="00E01239" w:rsidRDefault="00804B5E" w:rsidP="00814C48">
            <w:pPr>
              <w:jc w:val="center"/>
              <w:rPr>
                <w:rFonts w:asciiTheme="minorHAnsi" w:hAnsiTheme="minorHAnsi" w:cstheme="minorHAnsi"/>
                <w:sz w:val="22"/>
                <w:szCs w:val="22"/>
              </w:rPr>
            </w:pPr>
            <w:r w:rsidRPr="00E01239">
              <w:rPr>
                <w:rFonts w:asciiTheme="minorHAnsi" w:hAnsiTheme="minorHAnsi" w:cstheme="minorHAnsi"/>
                <w:sz w:val="22"/>
                <w:szCs w:val="22"/>
              </w:rPr>
              <w:t>Nature des tâches</w:t>
            </w:r>
          </w:p>
        </w:tc>
        <w:tc>
          <w:tcPr>
            <w:tcW w:w="1015" w:type="pct"/>
            <w:shd w:val="clear" w:color="auto" w:fill="1F3864" w:themeFill="accent5" w:themeFillShade="80"/>
            <w:vAlign w:val="center"/>
          </w:tcPr>
          <w:p w14:paraId="1E43A5F7" w14:textId="77777777" w:rsidR="00804B5E" w:rsidRPr="00E01239" w:rsidRDefault="00804B5E" w:rsidP="00263B8A">
            <w:pPr>
              <w:jc w:val="center"/>
              <w:rPr>
                <w:rFonts w:asciiTheme="minorHAnsi" w:hAnsiTheme="minorHAnsi" w:cstheme="minorHAnsi"/>
                <w:sz w:val="22"/>
                <w:szCs w:val="22"/>
              </w:rPr>
            </w:pPr>
            <w:r w:rsidRPr="00E01239">
              <w:rPr>
                <w:rFonts w:asciiTheme="minorHAnsi" w:hAnsiTheme="minorHAnsi" w:cstheme="minorHAnsi"/>
                <w:sz w:val="22"/>
                <w:szCs w:val="22"/>
              </w:rPr>
              <w:t>Responsable surveillance</w:t>
            </w:r>
          </w:p>
        </w:tc>
        <w:tc>
          <w:tcPr>
            <w:tcW w:w="944" w:type="pct"/>
            <w:shd w:val="clear" w:color="auto" w:fill="1F3864" w:themeFill="accent5" w:themeFillShade="80"/>
            <w:vAlign w:val="center"/>
          </w:tcPr>
          <w:p w14:paraId="2442C2E2" w14:textId="77777777" w:rsidR="00804B5E" w:rsidRPr="00E01239" w:rsidRDefault="00804B5E" w:rsidP="00263B8A">
            <w:pPr>
              <w:jc w:val="center"/>
              <w:rPr>
                <w:rFonts w:asciiTheme="minorHAnsi" w:hAnsiTheme="minorHAnsi" w:cstheme="minorHAnsi"/>
                <w:sz w:val="22"/>
                <w:szCs w:val="22"/>
              </w:rPr>
            </w:pPr>
            <w:r w:rsidRPr="00E01239">
              <w:rPr>
                <w:rFonts w:asciiTheme="minorHAnsi" w:hAnsiTheme="minorHAnsi" w:cstheme="minorHAnsi"/>
                <w:sz w:val="22"/>
                <w:szCs w:val="22"/>
              </w:rPr>
              <w:t>Responsable supervision</w:t>
            </w:r>
          </w:p>
        </w:tc>
        <w:tc>
          <w:tcPr>
            <w:tcW w:w="1156" w:type="pct"/>
            <w:shd w:val="clear" w:color="auto" w:fill="1F3864" w:themeFill="accent5" w:themeFillShade="80"/>
            <w:vAlign w:val="center"/>
          </w:tcPr>
          <w:p w14:paraId="303B1CE3" w14:textId="77777777" w:rsidR="00804B5E" w:rsidRPr="00E01239" w:rsidRDefault="00804B5E" w:rsidP="00263B8A">
            <w:pPr>
              <w:jc w:val="center"/>
              <w:rPr>
                <w:rFonts w:asciiTheme="minorHAnsi" w:hAnsiTheme="minorHAnsi" w:cstheme="minorHAnsi"/>
                <w:sz w:val="22"/>
                <w:szCs w:val="22"/>
              </w:rPr>
            </w:pPr>
            <w:r w:rsidRPr="00E01239">
              <w:rPr>
                <w:rFonts w:asciiTheme="minorHAnsi" w:hAnsiTheme="minorHAnsi" w:cstheme="minorHAnsi"/>
                <w:sz w:val="22"/>
                <w:szCs w:val="22"/>
              </w:rPr>
              <w:t>Coût de la surveillance</w:t>
            </w:r>
          </w:p>
        </w:tc>
      </w:tr>
      <w:tr w:rsidR="00804B5E" w:rsidRPr="00E01239" w14:paraId="407FD5C9" w14:textId="77777777" w:rsidTr="008C0C70">
        <w:trPr>
          <w:trHeight w:val="1361"/>
          <w:jc w:val="center"/>
        </w:trPr>
        <w:tc>
          <w:tcPr>
            <w:tcW w:w="616" w:type="pct"/>
            <w:vMerge w:val="restart"/>
            <w:vAlign w:val="center"/>
          </w:tcPr>
          <w:p w14:paraId="54B274D2" w14:textId="77777777" w:rsidR="00804B5E" w:rsidRPr="00E01239" w:rsidRDefault="00804B5E" w:rsidP="00814C48">
            <w:pPr>
              <w:rPr>
                <w:rFonts w:asciiTheme="minorHAnsi" w:hAnsiTheme="minorHAnsi" w:cstheme="minorHAnsi"/>
                <w:sz w:val="22"/>
                <w:szCs w:val="22"/>
              </w:rPr>
            </w:pPr>
            <w:r w:rsidRPr="00E01239">
              <w:rPr>
                <w:rFonts w:asciiTheme="minorHAnsi" w:hAnsiTheme="minorHAnsi" w:cstheme="minorHAnsi"/>
                <w:sz w:val="22"/>
                <w:szCs w:val="22"/>
              </w:rPr>
              <w:t>Planification et Conception</w:t>
            </w:r>
          </w:p>
        </w:tc>
        <w:tc>
          <w:tcPr>
            <w:tcW w:w="1269" w:type="pct"/>
            <w:vAlign w:val="center"/>
          </w:tcPr>
          <w:p w14:paraId="5D387454" w14:textId="77777777" w:rsidR="00804B5E" w:rsidRPr="00E01239" w:rsidRDefault="00804B5E" w:rsidP="00263B8A">
            <w:pPr>
              <w:jc w:val="both"/>
              <w:rPr>
                <w:rFonts w:asciiTheme="minorHAnsi" w:hAnsiTheme="minorHAnsi" w:cstheme="minorHAnsi"/>
                <w:sz w:val="22"/>
                <w:szCs w:val="22"/>
              </w:rPr>
            </w:pPr>
            <w:r w:rsidRPr="00E01239">
              <w:rPr>
                <w:rFonts w:asciiTheme="minorHAnsi" w:hAnsiTheme="minorHAnsi" w:cstheme="minorHAnsi"/>
                <w:sz w:val="22"/>
                <w:szCs w:val="22"/>
              </w:rPr>
              <w:t>Intégration des mesures dans les études de planification des investissements et de conception des infrastructures</w:t>
            </w:r>
          </w:p>
        </w:tc>
        <w:tc>
          <w:tcPr>
            <w:tcW w:w="1015" w:type="pct"/>
            <w:vAlign w:val="center"/>
          </w:tcPr>
          <w:p w14:paraId="59D3A4C3"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 xml:space="preserve">Ingénieur-Conseil </w:t>
            </w:r>
          </w:p>
        </w:tc>
        <w:tc>
          <w:tcPr>
            <w:tcW w:w="944" w:type="pct"/>
            <w:vAlign w:val="center"/>
          </w:tcPr>
          <w:p w14:paraId="2B71383A" w14:textId="77777777" w:rsidR="00394A82"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FSRP/MEPA</w:t>
            </w:r>
          </w:p>
          <w:p w14:paraId="2764BC69" w14:textId="54CEDA25" w:rsidR="00804B5E"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FSRP/MAERSA</w:t>
            </w:r>
          </w:p>
        </w:tc>
        <w:tc>
          <w:tcPr>
            <w:tcW w:w="1156" w:type="pct"/>
            <w:vAlign w:val="center"/>
          </w:tcPr>
          <w:p w14:paraId="5E9CCD60" w14:textId="77777777" w:rsidR="00804B5E" w:rsidRPr="00E01239" w:rsidRDefault="00804B5E" w:rsidP="00263B8A">
            <w:pPr>
              <w:rPr>
                <w:rFonts w:asciiTheme="minorHAnsi" w:hAnsiTheme="minorHAnsi" w:cstheme="minorHAnsi"/>
                <w:sz w:val="22"/>
                <w:szCs w:val="22"/>
              </w:rPr>
            </w:pPr>
            <w:r w:rsidRPr="00E01239">
              <w:rPr>
                <w:rFonts w:asciiTheme="minorHAnsi" w:hAnsiTheme="minorHAnsi" w:cstheme="minorHAnsi"/>
                <w:sz w:val="22"/>
                <w:szCs w:val="22"/>
              </w:rPr>
              <w:t>Coût pris en compte dans l’évaluation du programme</w:t>
            </w:r>
            <w:r w:rsidRPr="00E01239">
              <w:rPr>
                <w:rStyle w:val="apple-converted-space"/>
                <w:rFonts w:asciiTheme="minorHAnsi" w:hAnsiTheme="minorHAnsi" w:cstheme="minorHAnsi"/>
                <w:sz w:val="22"/>
                <w:szCs w:val="22"/>
              </w:rPr>
              <w:t> </w:t>
            </w:r>
          </w:p>
        </w:tc>
      </w:tr>
      <w:tr w:rsidR="00804B5E" w:rsidRPr="00E01239" w14:paraId="7D25B5BB" w14:textId="77777777" w:rsidTr="008C0C70">
        <w:trPr>
          <w:trHeight w:val="968"/>
          <w:jc w:val="center"/>
        </w:trPr>
        <w:tc>
          <w:tcPr>
            <w:tcW w:w="616" w:type="pct"/>
            <w:vMerge/>
            <w:vAlign w:val="center"/>
          </w:tcPr>
          <w:p w14:paraId="033947CE" w14:textId="77777777" w:rsidR="00804B5E" w:rsidRPr="00E01239" w:rsidRDefault="00804B5E" w:rsidP="00263B8A">
            <w:pPr>
              <w:rPr>
                <w:rFonts w:asciiTheme="minorHAnsi" w:hAnsiTheme="minorHAnsi" w:cstheme="minorHAnsi"/>
                <w:sz w:val="22"/>
                <w:szCs w:val="22"/>
              </w:rPr>
            </w:pPr>
          </w:p>
        </w:tc>
        <w:tc>
          <w:tcPr>
            <w:tcW w:w="1269" w:type="pct"/>
            <w:vAlign w:val="center"/>
          </w:tcPr>
          <w:p w14:paraId="47845DC3" w14:textId="77777777" w:rsidR="00804B5E" w:rsidRPr="00E01239" w:rsidRDefault="00804B5E" w:rsidP="00263B8A">
            <w:pPr>
              <w:jc w:val="both"/>
              <w:rPr>
                <w:rFonts w:asciiTheme="minorHAnsi" w:hAnsiTheme="minorHAnsi" w:cstheme="minorHAnsi"/>
                <w:sz w:val="22"/>
                <w:szCs w:val="22"/>
              </w:rPr>
            </w:pPr>
            <w:r w:rsidRPr="00E01239">
              <w:rPr>
                <w:rFonts w:asciiTheme="minorHAnsi" w:hAnsiTheme="minorHAnsi" w:cstheme="minorHAnsi"/>
                <w:sz w:val="22"/>
                <w:szCs w:val="22"/>
              </w:rPr>
              <w:t>Etudes/planification mesures sociales (réinstallation, conception IEC, …)</w:t>
            </w:r>
            <w:r w:rsidRPr="00E01239">
              <w:rPr>
                <w:rStyle w:val="apple-converted-space"/>
                <w:rFonts w:asciiTheme="minorHAnsi" w:hAnsiTheme="minorHAnsi" w:cstheme="minorHAnsi"/>
                <w:sz w:val="22"/>
                <w:szCs w:val="22"/>
              </w:rPr>
              <w:t> </w:t>
            </w:r>
          </w:p>
        </w:tc>
        <w:tc>
          <w:tcPr>
            <w:tcW w:w="1015" w:type="pct"/>
            <w:vAlign w:val="center"/>
          </w:tcPr>
          <w:p w14:paraId="3C0DD6F6"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Ingénieur-Conseil</w:t>
            </w:r>
          </w:p>
        </w:tc>
        <w:tc>
          <w:tcPr>
            <w:tcW w:w="944" w:type="pct"/>
            <w:vAlign w:val="center"/>
          </w:tcPr>
          <w:p w14:paraId="6757E11E" w14:textId="2294CEFF" w:rsidR="00911EB8" w:rsidRPr="00E01239" w:rsidRDefault="00911EB8"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w:t>
            </w:r>
            <w:r w:rsidR="00394A82" w:rsidRPr="00E01239">
              <w:rPr>
                <w:rFonts w:asciiTheme="minorHAnsi" w:hAnsiTheme="minorHAnsi" w:cstheme="minorHAnsi"/>
                <w:sz w:val="22"/>
                <w:szCs w:val="22"/>
              </w:rPr>
              <w:t xml:space="preserve"> </w:t>
            </w:r>
            <w:r w:rsidRPr="00E01239">
              <w:rPr>
                <w:rFonts w:asciiTheme="minorHAnsi" w:hAnsiTheme="minorHAnsi" w:cstheme="minorHAnsi"/>
                <w:sz w:val="22"/>
                <w:szCs w:val="22"/>
              </w:rPr>
              <w:t>FSRP/MEPA</w:t>
            </w:r>
          </w:p>
          <w:p w14:paraId="79FC7308" w14:textId="4567EE75" w:rsidR="00804B5E" w:rsidRPr="00E01239" w:rsidRDefault="00911EB8"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w:t>
            </w:r>
            <w:r w:rsidR="00394A82" w:rsidRPr="00E01239">
              <w:rPr>
                <w:rFonts w:asciiTheme="minorHAnsi" w:hAnsiTheme="minorHAnsi" w:cstheme="minorHAnsi"/>
                <w:sz w:val="22"/>
                <w:szCs w:val="22"/>
              </w:rPr>
              <w:t xml:space="preserve"> </w:t>
            </w:r>
            <w:r w:rsidRPr="00E01239">
              <w:rPr>
                <w:rFonts w:asciiTheme="minorHAnsi" w:hAnsiTheme="minorHAnsi" w:cstheme="minorHAnsi"/>
                <w:sz w:val="22"/>
                <w:szCs w:val="22"/>
              </w:rPr>
              <w:t>FSRP/MAERSA</w:t>
            </w:r>
          </w:p>
        </w:tc>
        <w:tc>
          <w:tcPr>
            <w:tcW w:w="1156" w:type="pct"/>
            <w:vAlign w:val="center"/>
          </w:tcPr>
          <w:p w14:paraId="64D5E7AD" w14:textId="77777777" w:rsidR="00804B5E" w:rsidRPr="00E01239" w:rsidRDefault="00804B5E" w:rsidP="00263B8A">
            <w:pPr>
              <w:rPr>
                <w:rFonts w:asciiTheme="minorHAnsi" w:hAnsiTheme="minorHAnsi" w:cstheme="minorHAnsi"/>
                <w:sz w:val="22"/>
                <w:szCs w:val="22"/>
              </w:rPr>
            </w:pPr>
            <w:r w:rsidRPr="00E01239">
              <w:rPr>
                <w:rFonts w:asciiTheme="minorHAnsi" w:hAnsiTheme="minorHAnsi" w:cstheme="minorHAnsi"/>
                <w:sz w:val="22"/>
                <w:szCs w:val="22"/>
              </w:rPr>
              <w:t>Coût pris en compte dans l’évaluation du programme</w:t>
            </w:r>
            <w:r w:rsidRPr="00E01239">
              <w:rPr>
                <w:rStyle w:val="apple-converted-space"/>
                <w:rFonts w:asciiTheme="minorHAnsi" w:hAnsiTheme="minorHAnsi" w:cstheme="minorHAnsi"/>
                <w:sz w:val="22"/>
                <w:szCs w:val="22"/>
              </w:rPr>
              <w:t> </w:t>
            </w:r>
          </w:p>
        </w:tc>
      </w:tr>
      <w:tr w:rsidR="00804B5E" w:rsidRPr="00E01239" w14:paraId="2A747D32" w14:textId="77777777" w:rsidTr="008C0C70">
        <w:trPr>
          <w:trHeight w:val="113"/>
          <w:jc w:val="center"/>
        </w:trPr>
        <w:tc>
          <w:tcPr>
            <w:tcW w:w="616" w:type="pct"/>
            <w:vMerge/>
            <w:vAlign w:val="center"/>
          </w:tcPr>
          <w:p w14:paraId="2AB9B7A1" w14:textId="77777777" w:rsidR="00804B5E" w:rsidRPr="00E01239" w:rsidRDefault="00804B5E" w:rsidP="00263B8A">
            <w:pPr>
              <w:rPr>
                <w:rFonts w:asciiTheme="minorHAnsi" w:hAnsiTheme="minorHAnsi" w:cstheme="minorHAnsi"/>
                <w:sz w:val="22"/>
                <w:szCs w:val="22"/>
              </w:rPr>
            </w:pPr>
          </w:p>
        </w:tc>
        <w:tc>
          <w:tcPr>
            <w:tcW w:w="1269" w:type="pct"/>
            <w:vAlign w:val="center"/>
          </w:tcPr>
          <w:p w14:paraId="31C65629" w14:textId="77777777" w:rsidR="00804B5E" w:rsidRPr="00E01239" w:rsidRDefault="00804B5E" w:rsidP="00263B8A">
            <w:pPr>
              <w:jc w:val="both"/>
              <w:rPr>
                <w:rFonts w:asciiTheme="minorHAnsi" w:hAnsiTheme="minorHAnsi" w:cstheme="minorHAnsi"/>
                <w:sz w:val="22"/>
                <w:szCs w:val="22"/>
              </w:rPr>
            </w:pPr>
            <w:r w:rsidRPr="00E01239">
              <w:rPr>
                <w:rFonts w:asciiTheme="minorHAnsi" w:hAnsiTheme="minorHAnsi" w:cstheme="minorHAnsi"/>
                <w:sz w:val="22"/>
                <w:szCs w:val="22"/>
              </w:rPr>
              <w:t>Screening des sous-projets</w:t>
            </w:r>
          </w:p>
        </w:tc>
        <w:tc>
          <w:tcPr>
            <w:tcW w:w="1015" w:type="pct"/>
            <w:vAlign w:val="center"/>
          </w:tcPr>
          <w:p w14:paraId="7D83AD0B" w14:textId="77777777" w:rsidR="00394A82"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FSRP/MEPA</w:t>
            </w:r>
          </w:p>
          <w:p w14:paraId="20E41EFD" w14:textId="20867DDA" w:rsidR="00804B5E"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FSRP/MAERSA</w:t>
            </w:r>
          </w:p>
        </w:tc>
        <w:tc>
          <w:tcPr>
            <w:tcW w:w="944" w:type="pct"/>
            <w:vAlign w:val="center"/>
          </w:tcPr>
          <w:p w14:paraId="6A859D4F"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DREEC</w:t>
            </w:r>
          </w:p>
          <w:p w14:paraId="22F0D1E4"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DEEC</w:t>
            </w:r>
          </w:p>
          <w:p w14:paraId="0BB0EAC7"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CRSE</w:t>
            </w:r>
          </w:p>
        </w:tc>
        <w:tc>
          <w:tcPr>
            <w:tcW w:w="1156" w:type="pct"/>
            <w:vAlign w:val="center"/>
          </w:tcPr>
          <w:p w14:paraId="1D2B8AB2" w14:textId="77777777" w:rsidR="00804B5E" w:rsidRPr="00E01239" w:rsidRDefault="00804B5E" w:rsidP="00263B8A">
            <w:pPr>
              <w:rPr>
                <w:rFonts w:asciiTheme="minorHAnsi" w:hAnsiTheme="minorHAnsi" w:cstheme="minorHAnsi"/>
                <w:sz w:val="22"/>
                <w:szCs w:val="22"/>
              </w:rPr>
            </w:pPr>
            <w:r w:rsidRPr="00E01239">
              <w:rPr>
                <w:rFonts w:asciiTheme="minorHAnsi" w:hAnsiTheme="minorHAnsi" w:cstheme="minorHAnsi"/>
                <w:sz w:val="22"/>
                <w:szCs w:val="22"/>
              </w:rPr>
              <w:t>Coût pris en compte dans l’évaluation du programme</w:t>
            </w:r>
            <w:r w:rsidRPr="00E01239">
              <w:rPr>
                <w:rStyle w:val="apple-converted-space"/>
                <w:rFonts w:asciiTheme="minorHAnsi" w:hAnsiTheme="minorHAnsi" w:cstheme="minorHAnsi"/>
                <w:sz w:val="22"/>
                <w:szCs w:val="22"/>
              </w:rPr>
              <w:t> </w:t>
            </w:r>
          </w:p>
        </w:tc>
      </w:tr>
      <w:tr w:rsidR="00804B5E" w:rsidRPr="00E01239" w14:paraId="41AFBE69" w14:textId="77777777" w:rsidTr="008C0C70">
        <w:trPr>
          <w:trHeight w:val="1531"/>
          <w:jc w:val="center"/>
        </w:trPr>
        <w:tc>
          <w:tcPr>
            <w:tcW w:w="616" w:type="pct"/>
            <w:vMerge/>
            <w:vAlign w:val="center"/>
          </w:tcPr>
          <w:p w14:paraId="51F3B949" w14:textId="77777777" w:rsidR="00804B5E" w:rsidRPr="00E01239" w:rsidRDefault="00804B5E" w:rsidP="00263B8A">
            <w:pPr>
              <w:rPr>
                <w:rFonts w:asciiTheme="minorHAnsi" w:hAnsiTheme="minorHAnsi" w:cstheme="minorHAnsi"/>
                <w:sz w:val="22"/>
                <w:szCs w:val="22"/>
              </w:rPr>
            </w:pPr>
          </w:p>
        </w:tc>
        <w:tc>
          <w:tcPr>
            <w:tcW w:w="1269" w:type="pct"/>
            <w:vAlign w:val="center"/>
          </w:tcPr>
          <w:p w14:paraId="0E18025C" w14:textId="0A42C57C" w:rsidR="00804B5E" w:rsidRPr="00E01239" w:rsidRDefault="00804B5E" w:rsidP="00263B8A">
            <w:pPr>
              <w:jc w:val="both"/>
              <w:rPr>
                <w:rFonts w:asciiTheme="minorHAnsi" w:hAnsiTheme="minorHAnsi" w:cstheme="minorHAnsi"/>
                <w:sz w:val="22"/>
                <w:szCs w:val="22"/>
              </w:rPr>
            </w:pPr>
            <w:r w:rsidRPr="00E01239">
              <w:rPr>
                <w:rFonts w:asciiTheme="minorHAnsi" w:hAnsiTheme="minorHAnsi" w:cstheme="minorHAnsi"/>
                <w:sz w:val="22"/>
                <w:szCs w:val="22"/>
              </w:rPr>
              <w:t>Etudes technico-économique</w:t>
            </w:r>
            <w:r w:rsidR="002060B7">
              <w:rPr>
                <w:rFonts w:asciiTheme="minorHAnsi" w:hAnsiTheme="minorHAnsi" w:cstheme="minorHAnsi"/>
                <w:sz w:val="22"/>
                <w:szCs w:val="22"/>
              </w:rPr>
              <w:t>s</w:t>
            </w:r>
            <w:r w:rsidRPr="00E01239">
              <w:rPr>
                <w:rFonts w:asciiTheme="minorHAnsi" w:hAnsiTheme="minorHAnsi" w:cstheme="minorHAnsi"/>
                <w:sz w:val="22"/>
                <w:szCs w:val="22"/>
              </w:rPr>
              <w:t xml:space="preserve"> et environnementales (élaboration des directives environnementales des sous-projets)</w:t>
            </w:r>
            <w:r w:rsidRPr="00E01239">
              <w:rPr>
                <w:rStyle w:val="apple-converted-space"/>
                <w:rFonts w:asciiTheme="minorHAnsi" w:hAnsiTheme="minorHAnsi" w:cstheme="minorHAnsi"/>
                <w:sz w:val="22"/>
                <w:szCs w:val="22"/>
              </w:rPr>
              <w:t> </w:t>
            </w:r>
          </w:p>
        </w:tc>
        <w:tc>
          <w:tcPr>
            <w:tcW w:w="1015" w:type="pct"/>
            <w:vAlign w:val="center"/>
          </w:tcPr>
          <w:p w14:paraId="32036597" w14:textId="77777777" w:rsidR="00394A82"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FSRP/MEPA</w:t>
            </w:r>
          </w:p>
          <w:p w14:paraId="4A1F38EC" w14:textId="608BF542" w:rsidR="00804B5E"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FSRP/MAERSA</w:t>
            </w:r>
          </w:p>
        </w:tc>
        <w:tc>
          <w:tcPr>
            <w:tcW w:w="944" w:type="pct"/>
            <w:vAlign w:val="center"/>
          </w:tcPr>
          <w:p w14:paraId="2AD783BD"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DREEC</w:t>
            </w:r>
          </w:p>
          <w:p w14:paraId="28E5A082"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DEEC</w:t>
            </w:r>
          </w:p>
          <w:p w14:paraId="0C4B7392"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CRSE</w:t>
            </w:r>
          </w:p>
        </w:tc>
        <w:tc>
          <w:tcPr>
            <w:tcW w:w="1156" w:type="pct"/>
            <w:vAlign w:val="center"/>
          </w:tcPr>
          <w:p w14:paraId="459D616F" w14:textId="77777777" w:rsidR="00804B5E" w:rsidRPr="00E01239" w:rsidRDefault="00804B5E" w:rsidP="00263B8A">
            <w:pPr>
              <w:rPr>
                <w:rFonts w:asciiTheme="minorHAnsi" w:hAnsiTheme="minorHAnsi" w:cstheme="minorHAnsi"/>
                <w:sz w:val="22"/>
                <w:szCs w:val="22"/>
              </w:rPr>
            </w:pPr>
            <w:r w:rsidRPr="00E01239">
              <w:rPr>
                <w:rFonts w:asciiTheme="minorHAnsi" w:hAnsiTheme="minorHAnsi" w:cstheme="minorHAnsi"/>
                <w:sz w:val="22"/>
                <w:szCs w:val="22"/>
              </w:rPr>
              <w:t>Coût pris en compte dans l’évaluation du programme</w:t>
            </w:r>
            <w:r w:rsidRPr="00E01239">
              <w:rPr>
                <w:rStyle w:val="apple-converted-space"/>
                <w:rFonts w:asciiTheme="minorHAnsi" w:hAnsiTheme="minorHAnsi" w:cstheme="minorHAnsi"/>
                <w:sz w:val="22"/>
                <w:szCs w:val="22"/>
              </w:rPr>
              <w:t> </w:t>
            </w:r>
          </w:p>
        </w:tc>
      </w:tr>
      <w:tr w:rsidR="00804B5E" w:rsidRPr="00E01239" w14:paraId="4973717E" w14:textId="77777777" w:rsidTr="008C0C70">
        <w:trPr>
          <w:trHeight w:val="1539"/>
          <w:jc w:val="center"/>
        </w:trPr>
        <w:tc>
          <w:tcPr>
            <w:tcW w:w="616" w:type="pct"/>
            <w:vMerge w:val="restart"/>
            <w:vAlign w:val="center"/>
          </w:tcPr>
          <w:p w14:paraId="0E2888E1" w14:textId="77777777" w:rsidR="00804B5E" w:rsidRPr="00E01239" w:rsidRDefault="00804B5E" w:rsidP="00814C48">
            <w:pPr>
              <w:rPr>
                <w:rFonts w:asciiTheme="minorHAnsi" w:hAnsiTheme="minorHAnsi" w:cstheme="minorHAnsi"/>
                <w:sz w:val="22"/>
                <w:szCs w:val="22"/>
              </w:rPr>
            </w:pPr>
            <w:r w:rsidRPr="00E01239">
              <w:rPr>
                <w:rFonts w:asciiTheme="minorHAnsi" w:hAnsiTheme="minorHAnsi" w:cstheme="minorHAnsi"/>
                <w:sz w:val="22"/>
                <w:szCs w:val="22"/>
              </w:rPr>
              <w:t>Travaux </w:t>
            </w:r>
          </w:p>
        </w:tc>
        <w:tc>
          <w:tcPr>
            <w:tcW w:w="1269" w:type="pct"/>
            <w:vAlign w:val="center"/>
          </w:tcPr>
          <w:p w14:paraId="4417E532" w14:textId="77777777" w:rsidR="00804B5E" w:rsidRPr="00E01239" w:rsidRDefault="00804B5E" w:rsidP="00263B8A">
            <w:pPr>
              <w:jc w:val="both"/>
              <w:rPr>
                <w:rFonts w:asciiTheme="minorHAnsi" w:hAnsiTheme="minorHAnsi" w:cstheme="minorHAnsi"/>
                <w:sz w:val="22"/>
                <w:szCs w:val="22"/>
              </w:rPr>
            </w:pPr>
            <w:r w:rsidRPr="00E01239">
              <w:rPr>
                <w:rFonts w:asciiTheme="minorHAnsi" w:hAnsiTheme="minorHAnsi" w:cstheme="minorHAnsi"/>
                <w:sz w:val="22"/>
                <w:szCs w:val="22"/>
              </w:rPr>
              <w:t>Autorisations administratives (certificat de construire, certificat de conformité environnementale, abattage d’arbres, ICPE chantier…) </w:t>
            </w:r>
          </w:p>
        </w:tc>
        <w:tc>
          <w:tcPr>
            <w:tcW w:w="1015" w:type="pct"/>
            <w:vAlign w:val="center"/>
          </w:tcPr>
          <w:p w14:paraId="63C0979D"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Entreprises de travaux</w:t>
            </w:r>
          </w:p>
          <w:p w14:paraId="6E8543D0"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Mission de Contrôle</w:t>
            </w:r>
          </w:p>
        </w:tc>
        <w:tc>
          <w:tcPr>
            <w:tcW w:w="944" w:type="pct"/>
            <w:vAlign w:val="center"/>
          </w:tcPr>
          <w:p w14:paraId="09878458"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DREEC</w:t>
            </w:r>
          </w:p>
          <w:p w14:paraId="2EECC829"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DEEC</w:t>
            </w:r>
          </w:p>
          <w:p w14:paraId="4CC79C78"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CRSE</w:t>
            </w:r>
          </w:p>
          <w:p w14:paraId="28CBE21C" w14:textId="77777777" w:rsidR="00394A82"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FSRP/MEPA</w:t>
            </w:r>
          </w:p>
          <w:p w14:paraId="20CA7DB0" w14:textId="4D8D3E91" w:rsidR="00804B5E"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FSRP/MAERSA</w:t>
            </w:r>
          </w:p>
        </w:tc>
        <w:tc>
          <w:tcPr>
            <w:tcW w:w="1156" w:type="pct"/>
            <w:vAlign w:val="center"/>
          </w:tcPr>
          <w:p w14:paraId="13449777" w14:textId="77777777" w:rsidR="00804B5E" w:rsidRPr="00E01239" w:rsidRDefault="00804B5E" w:rsidP="00814C48">
            <w:pPr>
              <w:rPr>
                <w:rFonts w:asciiTheme="minorHAnsi" w:hAnsiTheme="minorHAnsi" w:cstheme="minorHAnsi"/>
                <w:sz w:val="22"/>
                <w:szCs w:val="22"/>
              </w:rPr>
            </w:pPr>
            <w:r w:rsidRPr="00E01239">
              <w:rPr>
                <w:rFonts w:asciiTheme="minorHAnsi" w:hAnsiTheme="minorHAnsi" w:cstheme="minorHAnsi"/>
                <w:sz w:val="22"/>
                <w:szCs w:val="22"/>
              </w:rPr>
              <w:t>Coût pris en compte dans l’évaluation du programme </w:t>
            </w:r>
          </w:p>
        </w:tc>
      </w:tr>
      <w:tr w:rsidR="00804B5E" w:rsidRPr="00E01239" w14:paraId="4D915779" w14:textId="77777777" w:rsidTr="008C0C70">
        <w:trPr>
          <w:trHeight w:val="113"/>
          <w:jc w:val="center"/>
        </w:trPr>
        <w:tc>
          <w:tcPr>
            <w:tcW w:w="616" w:type="pct"/>
            <w:vMerge/>
            <w:vAlign w:val="center"/>
          </w:tcPr>
          <w:p w14:paraId="6CD5D0A1" w14:textId="77777777" w:rsidR="00804B5E" w:rsidRPr="00E01239" w:rsidRDefault="00804B5E" w:rsidP="00263B8A">
            <w:pPr>
              <w:rPr>
                <w:rFonts w:asciiTheme="minorHAnsi" w:hAnsiTheme="minorHAnsi" w:cstheme="minorHAnsi"/>
                <w:sz w:val="22"/>
                <w:szCs w:val="22"/>
              </w:rPr>
            </w:pPr>
          </w:p>
        </w:tc>
        <w:tc>
          <w:tcPr>
            <w:tcW w:w="1269" w:type="pct"/>
            <w:vAlign w:val="center"/>
          </w:tcPr>
          <w:p w14:paraId="61B192DE" w14:textId="77777777" w:rsidR="00804B5E" w:rsidRPr="00E01239" w:rsidRDefault="00804B5E" w:rsidP="00263B8A">
            <w:pPr>
              <w:jc w:val="both"/>
              <w:rPr>
                <w:rFonts w:asciiTheme="minorHAnsi" w:hAnsiTheme="minorHAnsi" w:cstheme="minorHAnsi"/>
                <w:sz w:val="22"/>
                <w:szCs w:val="22"/>
              </w:rPr>
            </w:pPr>
            <w:r w:rsidRPr="00E01239">
              <w:rPr>
                <w:rFonts w:asciiTheme="minorHAnsi" w:hAnsiTheme="minorHAnsi" w:cstheme="minorHAnsi"/>
                <w:sz w:val="22"/>
                <w:szCs w:val="22"/>
              </w:rPr>
              <w:t>Surveillance des clauses HSE </w:t>
            </w:r>
          </w:p>
        </w:tc>
        <w:tc>
          <w:tcPr>
            <w:tcW w:w="1015" w:type="pct"/>
            <w:vAlign w:val="center"/>
          </w:tcPr>
          <w:p w14:paraId="745C3B84"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Bureau de contrôle</w:t>
            </w:r>
          </w:p>
        </w:tc>
        <w:tc>
          <w:tcPr>
            <w:tcW w:w="944" w:type="pct"/>
            <w:vAlign w:val="center"/>
          </w:tcPr>
          <w:p w14:paraId="1F1E6BAB" w14:textId="77777777" w:rsidR="00394A82"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FSRP/MEPA</w:t>
            </w:r>
          </w:p>
          <w:p w14:paraId="4C34B03F" w14:textId="69E907F0" w:rsidR="00804B5E"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FSRP/MAERSA</w:t>
            </w:r>
            <w:r w:rsidRPr="00E01239" w:rsidDel="00394A82">
              <w:rPr>
                <w:rFonts w:asciiTheme="minorHAnsi" w:hAnsiTheme="minorHAnsi" w:cstheme="minorHAnsi"/>
                <w:sz w:val="22"/>
                <w:szCs w:val="22"/>
              </w:rPr>
              <w:t xml:space="preserve"> </w:t>
            </w:r>
            <w:r w:rsidR="00804B5E" w:rsidRPr="00E01239">
              <w:rPr>
                <w:rFonts w:asciiTheme="minorHAnsi" w:hAnsiTheme="minorHAnsi" w:cstheme="minorHAnsi"/>
                <w:sz w:val="22"/>
                <w:szCs w:val="22"/>
              </w:rPr>
              <w:t>CRSE</w:t>
            </w:r>
          </w:p>
        </w:tc>
        <w:tc>
          <w:tcPr>
            <w:tcW w:w="1156" w:type="pct"/>
            <w:vAlign w:val="center"/>
          </w:tcPr>
          <w:p w14:paraId="1C5A418C" w14:textId="77777777" w:rsidR="00804B5E" w:rsidRPr="00E01239" w:rsidRDefault="00804B5E" w:rsidP="00263B8A">
            <w:pPr>
              <w:rPr>
                <w:rFonts w:asciiTheme="minorHAnsi" w:hAnsiTheme="minorHAnsi" w:cstheme="minorHAnsi"/>
                <w:sz w:val="22"/>
                <w:szCs w:val="22"/>
              </w:rPr>
            </w:pPr>
            <w:r w:rsidRPr="00E01239">
              <w:rPr>
                <w:rFonts w:asciiTheme="minorHAnsi" w:hAnsiTheme="minorHAnsi" w:cstheme="minorHAnsi"/>
                <w:sz w:val="22"/>
                <w:szCs w:val="22"/>
              </w:rPr>
              <w:t>Coût additionnel : prise en charge de l’Expert en sécurité du bureau de contrôle </w:t>
            </w:r>
          </w:p>
        </w:tc>
      </w:tr>
      <w:tr w:rsidR="00804B5E" w:rsidRPr="00E01239" w14:paraId="5B08DCAA" w14:textId="77777777" w:rsidTr="008C0C70">
        <w:trPr>
          <w:trHeight w:val="820"/>
          <w:jc w:val="center"/>
        </w:trPr>
        <w:tc>
          <w:tcPr>
            <w:tcW w:w="616" w:type="pct"/>
            <w:vAlign w:val="center"/>
          </w:tcPr>
          <w:p w14:paraId="5BD59EF6" w14:textId="77777777" w:rsidR="00804B5E" w:rsidRPr="00E01239" w:rsidRDefault="00804B5E" w:rsidP="00814C48">
            <w:pPr>
              <w:rPr>
                <w:rFonts w:asciiTheme="minorHAnsi" w:hAnsiTheme="minorHAnsi" w:cstheme="minorHAnsi"/>
                <w:sz w:val="22"/>
                <w:szCs w:val="22"/>
              </w:rPr>
            </w:pPr>
            <w:r w:rsidRPr="00E01239">
              <w:rPr>
                <w:rFonts w:asciiTheme="minorHAnsi" w:hAnsiTheme="minorHAnsi" w:cstheme="minorHAnsi"/>
                <w:sz w:val="22"/>
                <w:szCs w:val="22"/>
              </w:rPr>
              <w:t xml:space="preserve">Réception </w:t>
            </w:r>
          </w:p>
        </w:tc>
        <w:tc>
          <w:tcPr>
            <w:tcW w:w="1269" w:type="pct"/>
            <w:vAlign w:val="center"/>
          </w:tcPr>
          <w:p w14:paraId="2D4033B0" w14:textId="77777777" w:rsidR="00804B5E" w:rsidRPr="00E01239" w:rsidRDefault="00804B5E" w:rsidP="00263B8A">
            <w:pPr>
              <w:jc w:val="both"/>
              <w:rPr>
                <w:rFonts w:asciiTheme="minorHAnsi" w:hAnsiTheme="minorHAnsi" w:cstheme="minorHAnsi"/>
                <w:sz w:val="22"/>
                <w:szCs w:val="22"/>
              </w:rPr>
            </w:pPr>
            <w:r w:rsidRPr="00E01239">
              <w:rPr>
                <w:rFonts w:asciiTheme="minorHAnsi" w:hAnsiTheme="minorHAnsi" w:cstheme="minorHAnsi"/>
                <w:sz w:val="22"/>
                <w:szCs w:val="22"/>
              </w:rPr>
              <w:t>Réception environnementale et sécuritaire </w:t>
            </w:r>
          </w:p>
        </w:tc>
        <w:tc>
          <w:tcPr>
            <w:tcW w:w="1015" w:type="pct"/>
            <w:vAlign w:val="center"/>
          </w:tcPr>
          <w:p w14:paraId="130BA522" w14:textId="77777777" w:rsidR="00804B5E" w:rsidRPr="00E01239" w:rsidRDefault="00804B5E"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Bureau de contrôle</w:t>
            </w:r>
          </w:p>
        </w:tc>
        <w:tc>
          <w:tcPr>
            <w:tcW w:w="944" w:type="pct"/>
            <w:vAlign w:val="center"/>
          </w:tcPr>
          <w:p w14:paraId="38BFAF08" w14:textId="77777777" w:rsidR="00394A82"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FSRP/MEPA</w:t>
            </w:r>
          </w:p>
          <w:p w14:paraId="40CAB3B0" w14:textId="5BBBB380" w:rsidR="00804B5E" w:rsidRPr="00E01239" w:rsidRDefault="00394A82" w:rsidP="00027669">
            <w:pPr>
              <w:pStyle w:val="Paragraphedeliste"/>
              <w:numPr>
                <w:ilvl w:val="0"/>
                <w:numId w:val="137"/>
              </w:numPr>
              <w:ind w:left="211" w:hanging="225"/>
              <w:contextualSpacing w:val="0"/>
              <w:rPr>
                <w:rFonts w:asciiTheme="minorHAnsi" w:hAnsiTheme="minorHAnsi" w:cstheme="minorHAnsi"/>
                <w:sz w:val="22"/>
                <w:szCs w:val="22"/>
              </w:rPr>
            </w:pPr>
            <w:r w:rsidRPr="00E01239">
              <w:rPr>
                <w:rFonts w:asciiTheme="minorHAnsi" w:hAnsiTheme="minorHAnsi" w:cstheme="minorHAnsi"/>
                <w:sz w:val="22"/>
                <w:szCs w:val="22"/>
              </w:rPr>
              <w:t>UCP FSRP/MAERSA</w:t>
            </w:r>
          </w:p>
        </w:tc>
        <w:tc>
          <w:tcPr>
            <w:tcW w:w="1156" w:type="pct"/>
            <w:vAlign w:val="center"/>
          </w:tcPr>
          <w:p w14:paraId="3B5C3277" w14:textId="77777777" w:rsidR="00804B5E" w:rsidRPr="00E01239" w:rsidRDefault="00804B5E" w:rsidP="00263B8A">
            <w:pPr>
              <w:rPr>
                <w:rFonts w:asciiTheme="minorHAnsi" w:hAnsiTheme="minorHAnsi" w:cstheme="minorHAnsi"/>
                <w:sz w:val="22"/>
                <w:szCs w:val="22"/>
              </w:rPr>
            </w:pPr>
            <w:r w:rsidRPr="00E01239">
              <w:rPr>
                <w:rFonts w:asciiTheme="minorHAnsi" w:hAnsiTheme="minorHAnsi" w:cstheme="minorHAnsi"/>
                <w:sz w:val="22"/>
                <w:szCs w:val="22"/>
              </w:rPr>
              <w:t>Coût additionnel : prise en charge de l’Expert en sécurité du bureau de contrôle </w:t>
            </w:r>
          </w:p>
        </w:tc>
      </w:tr>
    </w:tbl>
    <w:p w14:paraId="7E065300" w14:textId="77777777" w:rsidR="00804B5E" w:rsidRPr="00E01239" w:rsidRDefault="00804B5E" w:rsidP="00804B5E">
      <w:pPr>
        <w:spacing w:before="120" w:line="360" w:lineRule="exact"/>
        <w:jc w:val="both"/>
        <w:rPr>
          <w:rFonts w:asciiTheme="minorHAnsi" w:hAnsiTheme="minorHAnsi" w:cstheme="minorHAnsi"/>
        </w:rPr>
        <w:sectPr w:rsidR="00804B5E" w:rsidRPr="00E01239" w:rsidSect="008C0C70">
          <w:pgSz w:w="16840" w:h="11907" w:orient="landscape" w:code="9"/>
          <w:pgMar w:top="1134" w:right="1457" w:bottom="1134" w:left="851" w:header="709" w:footer="782" w:gutter="0"/>
          <w:pgBorders w:offsetFrom="page">
            <w:top w:val="none" w:sz="0" w:space="14" w:color="000000" w:shadow="1"/>
            <w:left w:val="none" w:sz="55" w:space="20" w:color="000030" w:shadow="1" w:frame="1"/>
            <w:bottom w:val="none" w:sz="55" w:space="13" w:color="000030" w:shadow="1" w:frame="1"/>
            <w:right w:val="none" w:sz="0" w:space="14" w:color="0000B4" w:shadow="1"/>
          </w:pgBorders>
          <w:cols w:space="708"/>
          <w:docGrid w:linePitch="360"/>
        </w:sectPr>
      </w:pPr>
      <w:bookmarkStart w:id="1284" w:name="_Toc43107462"/>
    </w:p>
    <w:p w14:paraId="53AB20C2" w14:textId="77777777" w:rsidR="00804B5E" w:rsidRPr="00E01239" w:rsidRDefault="00804B5E" w:rsidP="009E5299">
      <w:pPr>
        <w:pStyle w:val="Titre3"/>
        <w:ind w:left="1418"/>
        <w:rPr>
          <w:rFonts w:asciiTheme="minorHAnsi" w:hAnsiTheme="minorHAnsi" w:cstheme="minorHAnsi"/>
        </w:rPr>
      </w:pPr>
      <w:bookmarkStart w:id="1285" w:name="_Toc63285599"/>
      <w:bookmarkStart w:id="1286" w:name="_Toc116408770"/>
      <w:bookmarkStart w:id="1287" w:name="_Toc144654160"/>
      <w:r w:rsidRPr="00E01239">
        <w:rPr>
          <w:rFonts w:asciiTheme="minorHAnsi" w:hAnsiTheme="minorHAnsi" w:cstheme="minorHAnsi"/>
        </w:rPr>
        <w:lastRenderedPageBreak/>
        <w:t>Évaluation et Capitalisation</w:t>
      </w:r>
      <w:bookmarkEnd w:id="1284"/>
      <w:bookmarkEnd w:id="1285"/>
      <w:bookmarkEnd w:id="1286"/>
      <w:bookmarkEnd w:id="1287"/>
    </w:p>
    <w:p w14:paraId="671492C2" w14:textId="77777777" w:rsidR="00804B5E" w:rsidRPr="00E01239" w:rsidRDefault="00804B5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L'évaluation vise (i) à vérifier si les objectifs ont été respectés/atteints et (ii) à tirer les enseignements d’exploitation pour modifier les stratégies futures d’intervention. L’évaluation sera faite à mi-parcours et à la fin du projet par des consultants indépendants. Elle prendra en compte les impacts cumulatifs.</w:t>
      </w:r>
    </w:p>
    <w:p w14:paraId="1B4F05FA" w14:textId="77777777" w:rsidR="00804B5E" w:rsidRPr="00E01239" w:rsidRDefault="00804B5E" w:rsidP="00804B5E">
      <w:pPr>
        <w:spacing w:before="120" w:line="360" w:lineRule="exact"/>
        <w:jc w:val="both"/>
        <w:rPr>
          <w:rFonts w:asciiTheme="minorHAnsi" w:hAnsiTheme="minorHAnsi" w:cstheme="minorHAnsi"/>
          <w:sz w:val="22"/>
          <w:szCs w:val="22"/>
        </w:rPr>
      </w:pPr>
    </w:p>
    <w:p w14:paraId="41A51812" w14:textId="37F31EC2" w:rsidR="00804B5E" w:rsidRPr="00E01239" w:rsidRDefault="00804B5E" w:rsidP="009E5299">
      <w:pPr>
        <w:pStyle w:val="Titre3"/>
        <w:ind w:left="1418"/>
        <w:rPr>
          <w:rFonts w:asciiTheme="minorHAnsi" w:hAnsiTheme="minorHAnsi" w:cstheme="minorHAnsi"/>
        </w:rPr>
      </w:pPr>
      <w:bookmarkStart w:id="1288" w:name="_Toc43107463"/>
      <w:bookmarkStart w:id="1289" w:name="_Toc63285600"/>
      <w:bookmarkStart w:id="1290" w:name="_Toc116408771"/>
      <w:bookmarkStart w:id="1291" w:name="_Toc144654161"/>
      <w:r w:rsidRPr="00E01239">
        <w:rPr>
          <w:rFonts w:asciiTheme="minorHAnsi" w:hAnsiTheme="minorHAnsi" w:cstheme="minorHAnsi"/>
        </w:rPr>
        <w:t>Suivi Environnemental</w:t>
      </w:r>
      <w:bookmarkEnd w:id="1288"/>
      <w:bookmarkEnd w:id="1289"/>
      <w:bookmarkEnd w:id="1290"/>
      <w:r w:rsidR="00BA2056" w:rsidRPr="00E01239">
        <w:rPr>
          <w:rFonts w:asciiTheme="minorHAnsi" w:hAnsiTheme="minorHAnsi" w:cstheme="minorHAnsi"/>
        </w:rPr>
        <w:t xml:space="preserve"> et social</w:t>
      </w:r>
      <w:bookmarkEnd w:id="1291"/>
    </w:p>
    <w:p w14:paraId="7599329E" w14:textId="77777777" w:rsidR="00804B5E" w:rsidRPr="00E01239" w:rsidRDefault="00804B5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indicateurs sont des paramètres dont l’utilisation fournit des informations quantitatives ou qualitatives sur les impacts et les bénéfices environnementaux et sociaux du Projet.</w:t>
      </w:r>
    </w:p>
    <w:p w14:paraId="1137CD90" w14:textId="37059F85" w:rsidR="00804B5E" w:rsidRPr="00E01239" w:rsidRDefault="00804B5E" w:rsidP="00263B8A">
      <w:pPr>
        <w:spacing w:before="120" w:line="280" w:lineRule="exact"/>
        <w:jc w:val="both"/>
        <w:rPr>
          <w:rFonts w:asciiTheme="minorHAnsi" w:hAnsiTheme="minorHAnsi" w:cstheme="minorHAnsi"/>
          <w:sz w:val="22"/>
          <w:szCs w:val="22"/>
          <w:u w:val="single"/>
        </w:rPr>
      </w:pPr>
      <w:r w:rsidRPr="00E01239">
        <w:rPr>
          <w:rFonts w:asciiTheme="minorHAnsi" w:hAnsiTheme="minorHAnsi" w:cstheme="minorHAnsi"/>
          <w:sz w:val="22"/>
          <w:szCs w:val="22"/>
          <w:u w:val="single"/>
        </w:rPr>
        <w:t>Indicateurs d’ordre stratégique à suivre par</w:t>
      </w:r>
      <w:r w:rsidR="00911EB8" w:rsidRPr="00E01239">
        <w:rPr>
          <w:rFonts w:asciiTheme="minorHAnsi" w:hAnsiTheme="minorHAnsi" w:cstheme="minorHAnsi"/>
          <w:sz w:val="22"/>
          <w:szCs w:val="22"/>
          <w:u w:val="single"/>
        </w:rPr>
        <w:t xml:space="preserve"> l’UCP</w:t>
      </w:r>
      <w:r w:rsidR="00394A82" w:rsidRPr="00E01239">
        <w:rPr>
          <w:rFonts w:asciiTheme="minorHAnsi" w:hAnsiTheme="minorHAnsi" w:cstheme="minorHAnsi"/>
          <w:sz w:val="22"/>
          <w:szCs w:val="22"/>
          <w:u w:val="single"/>
        </w:rPr>
        <w:t xml:space="preserve"> </w:t>
      </w:r>
      <w:r w:rsidR="00911EB8" w:rsidRPr="00E01239">
        <w:rPr>
          <w:rFonts w:asciiTheme="minorHAnsi" w:hAnsiTheme="minorHAnsi" w:cstheme="minorHAnsi"/>
          <w:sz w:val="22"/>
          <w:szCs w:val="22"/>
          <w:u w:val="single"/>
        </w:rPr>
        <w:t>FSRP/MEPA et de l’UCP</w:t>
      </w:r>
      <w:r w:rsidR="00394A82" w:rsidRPr="00E01239">
        <w:rPr>
          <w:rFonts w:asciiTheme="minorHAnsi" w:hAnsiTheme="minorHAnsi" w:cstheme="minorHAnsi"/>
          <w:sz w:val="22"/>
          <w:szCs w:val="22"/>
          <w:u w:val="single"/>
        </w:rPr>
        <w:t xml:space="preserve"> </w:t>
      </w:r>
      <w:r w:rsidR="00911EB8" w:rsidRPr="00E01239">
        <w:rPr>
          <w:rFonts w:asciiTheme="minorHAnsi" w:hAnsiTheme="minorHAnsi" w:cstheme="minorHAnsi"/>
          <w:sz w:val="22"/>
          <w:szCs w:val="22"/>
          <w:u w:val="single"/>
        </w:rPr>
        <w:t>/FSRP/MAERSA</w:t>
      </w:r>
    </w:p>
    <w:p w14:paraId="24D5D206" w14:textId="77777777"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Pourcentage de sous-projets ayant fait l'objet de sélection environnementale et sociale ;</w:t>
      </w:r>
    </w:p>
    <w:p w14:paraId="39E6F94F" w14:textId="1AF92C3F"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Pourcentage d’EIES/AEI réalisées et publiées avant le démarrage des travaux</w:t>
      </w:r>
      <w:r w:rsidR="00BA2056" w:rsidRPr="00E01239">
        <w:rPr>
          <w:rFonts w:asciiTheme="minorHAnsi" w:hAnsiTheme="minorHAnsi" w:cstheme="minorHAnsi"/>
          <w:sz w:val="22"/>
          <w:szCs w:val="22"/>
        </w:rPr>
        <w:t xml:space="preserve"> </w:t>
      </w:r>
      <w:r w:rsidRPr="00E01239">
        <w:rPr>
          <w:rFonts w:asciiTheme="minorHAnsi" w:hAnsiTheme="minorHAnsi" w:cstheme="minorHAnsi"/>
          <w:sz w:val="22"/>
          <w:szCs w:val="22"/>
        </w:rPr>
        <w:t>;</w:t>
      </w:r>
    </w:p>
    <w:p w14:paraId="6CF73053" w14:textId="77777777"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Pourcentage de directives environnementales réalisées et publiées ;</w:t>
      </w:r>
    </w:p>
    <w:p w14:paraId="6205DE2E" w14:textId="6DC57367"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Pourcentage de sous-projets financés ayant fait l’objet de suivi environnemental et social et de « r</w:t>
      </w:r>
      <w:r w:rsidR="00BA2056" w:rsidRPr="00E01239">
        <w:rPr>
          <w:rFonts w:asciiTheme="minorHAnsi" w:hAnsiTheme="minorHAnsi" w:cstheme="minorHAnsi"/>
          <w:sz w:val="22"/>
          <w:szCs w:val="22"/>
        </w:rPr>
        <w:t>apportage</w:t>
      </w:r>
      <w:r w:rsidRPr="00E01239">
        <w:rPr>
          <w:rFonts w:asciiTheme="minorHAnsi" w:hAnsiTheme="minorHAnsi" w:cstheme="minorHAnsi"/>
          <w:sz w:val="22"/>
          <w:szCs w:val="22"/>
        </w:rPr>
        <w:t xml:space="preserve"> » ;</w:t>
      </w:r>
    </w:p>
    <w:p w14:paraId="162978A2" w14:textId="77777777"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Nombre d’acteurs formés sur la gestion environnementale et sociale ;</w:t>
      </w:r>
    </w:p>
    <w:p w14:paraId="5005A43C" w14:textId="77777777"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Nombre de personnes sensibilisées sur les enjeux environnementaux et sociaux du projet ;</w:t>
      </w:r>
    </w:p>
    <w:p w14:paraId="037A7348" w14:textId="77777777"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Nombre de séances tenues sur les enjeux environnementaux et sociaux du projet.</w:t>
      </w:r>
    </w:p>
    <w:p w14:paraId="0BA550B3" w14:textId="77777777"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Nombre de réunions et séances de concertation avec les organisations pastorales,</w:t>
      </w:r>
    </w:p>
    <w:p w14:paraId="601597B3" w14:textId="77777777" w:rsidR="00804B5E" w:rsidRPr="00E01239" w:rsidRDefault="00804B5E" w:rsidP="00804B5E">
      <w:pPr>
        <w:spacing w:before="120" w:line="360" w:lineRule="exact"/>
        <w:jc w:val="both"/>
        <w:rPr>
          <w:rFonts w:asciiTheme="minorHAnsi" w:hAnsiTheme="minorHAnsi" w:cstheme="minorHAnsi"/>
          <w:sz w:val="22"/>
          <w:szCs w:val="22"/>
        </w:rPr>
      </w:pPr>
    </w:p>
    <w:p w14:paraId="3769A277" w14:textId="77777777" w:rsidR="00804B5E" w:rsidRPr="00E01239" w:rsidRDefault="00804B5E" w:rsidP="00804B5E">
      <w:pPr>
        <w:pStyle w:val="LgendeTab"/>
        <w:spacing w:before="0" w:after="0" w:line="240" w:lineRule="auto"/>
        <w:jc w:val="center"/>
        <w:rPr>
          <w:rFonts w:asciiTheme="minorHAnsi" w:hAnsiTheme="minorHAnsi" w:cstheme="minorHAnsi"/>
        </w:rPr>
        <w:sectPr w:rsidR="00804B5E" w:rsidRPr="00E01239" w:rsidSect="008C0C70">
          <w:pgSz w:w="11907" w:h="16840" w:code="9"/>
          <w:pgMar w:top="1460" w:right="1134" w:bottom="851" w:left="1134" w:header="709" w:footer="781" w:gutter="0"/>
          <w:pgBorders w:offsetFrom="page">
            <w:top w:val="none" w:sz="0" w:space="14" w:color="000000" w:shadow="1"/>
            <w:left w:val="none" w:sz="55" w:space="20" w:color="000030" w:shadow="1" w:frame="1"/>
            <w:bottom w:val="none" w:sz="55" w:space="13" w:color="000030" w:shadow="1" w:frame="1"/>
            <w:right w:val="none" w:sz="0" w:space="14" w:color="0000B4" w:shadow="1"/>
          </w:pgBorders>
          <w:cols w:space="708"/>
          <w:docGrid w:linePitch="360"/>
        </w:sectPr>
      </w:pPr>
    </w:p>
    <w:p w14:paraId="6A8A9368" w14:textId="5F851934" w:rsidR="00804B5E" w:rsidRPr="00E01239" w:rsidRDefault="00804B5E" w:rsidP="00804B5E">
      <w:pPr>
        <w:pStyle w:val="LgendeTab"/>
        <w:spacing w:before="0" w:after="0" w:line="240" w:lineRule="auto"/>
        <w:jc w:val="center"/>
        <w:rPr>
          <w:rFonts w:asciiTheme="minorHAnsi" w:hAnsiTheme="minorHAnsi" w:cstheme="minorHAnsi"/>
          <w:b w:val="0"/>
          <w:bCs/>
        </w:rPr>
      </w:pPr>
      <w:bookmarkStart w:id="1292" w:name="_Toc43107531"/>
      <w:bookmarkStart w:id="1293" w:name="_Toc63281797"/>
      <w:bookmarkStart w:id="1294" w:name="_Toc116408812"/>
      <w:bookmarkStart w:id="1295" w:name="_Toc144654216"/>
      <w:r w:rsidRPr="00E01239">
        <w:rPr>
          <w:rFonts w:asciiTheme="minorHAnsi" w:hAnsiTheme="minorHAnsi" w:cstheme="minorHAnsi"/>
        </w:rPr>
        <w:lastRenderedPageBreak/>
        <w:t xml:space="preserve">Tableau </w:t>
      </w:r>
      <w:r w:rsidRPr="00E01239">
        <w:rPr>
          <w:rFonts w:asciiTheme="minorHAnsi" w:hAnsiTheme="minorHAnsi" w:cstheme="minorHAnsi"/>
          <w:noProof/>
        </w:rPr>
        <w:fldChar w:fldCharType="begin"/>
      </w:r>
      <w:r w:rsidRPr="00E01239">
        <w:rPr>
          <w:rFonts w:asciiTheme="minorHAnsi" w:hAnsiTheme="minorHAnsi" w:cstheme="minorHAnsi"/>
          <w:noProof/>
        </w:rPr>
        <w:instrText xml:space="preserve"> SEQ Tableau \* ARABIC </w:instrText>
      </w:r>
      <w:r w:rsidRPr="00E01239">
        <w:rPr>
          <w:rFonts w:asciiTheme="minorHAnsi" w:hAnsiTheme="minorHAnsi" w:cstheme="minorHAnsi"/>
          <w:noProof/>
        </w:rPr>
        <w:fldChar w:fldCharType="separate"/>
      </w:r>
      <w:r w:rsidR="005C3166">
        <w:rPr>
          <w:rFonts w:asciiTheme="minorHAnsi" w:hAnsiTheme="minorHAnsi" w:cstheme="minorHAnsi"/>
          <w:noProof/>
        </w:rPr>
        <w:t>22</w:t>
      </w:r>
      <w:r w:rsidRPr="00E01239">
        <w:rPr>
          <w:rFonts w:asciiTheme="minorHAnsi" w:hAnsiTheme="minorHAnsi" w:cstheme="minorHAnsi"/>
          <w:noProof/>
        </w:rPr>
        <w:fldChar w:fldCharType="end"/>
      </w:r>
      <w:r w:rsidRPr="00E01239">
        <w:rPr>
          <w:rFonts w:asciiTheme="minorHAnsi" w:hAnsiTheme="minorHAnsi" w:cstheme="minorHAnsi"/>
        </w:rPr>
        <w:t xml:space="preserve"> : </w:t>
      </w:r>
      <w:r w:rsidRPr="00E01239">
        <w:rPr>
          <w:rFonts w:asciiTheme="minorHAnsi" w:hAnsiTheme="minorHAnsi" w:cstheme="minorHAnsi"/>
          <w:b w:val="0"/>
          <w:bCs/>
        </w:rPr>
        <w:t xml:space="preserve">Canevas de suivi et de surveillance environnementale </w:t>
      </w:r>
      <w:r w:rsidR="00C50404" w:rsidRPr="00E01239">
        <w:rPr>
          <w:rFonts w:asciiTheme="minorHAnsi" w:hAnsiTheme="minorHAnsi" w:cstheme="minorHAnsi"/>
          <w:b w:val="0"/>
          <w:bCs/>
        </w:rPr>
        <w:t xml:space="preserve">et sociale </w:t>
      </w:r>
      <w:r w:rsidRPr="00E01239">
        <w:rPr>
          <w:rFonts w:asciiTheme="minorHAnsi" w:hAnsiTheme="minorHAnsi" w:cstheme="minorHAnsi"/>
          <w:b w:val="0"/>
          <w:bCs/>
        </w:rPr>
        <w:t>du Projet</w:t>
      </w:r>
      <w:bookmarkEnd w:id="1292"/>
      <w:bookmarkEnd w:id="1293"/>
      <w:bookmarkEnd w:id="1294"/>
      <w:bookmarkEnd w:id="1295"/>
    </w:p>
    <w:tbl>
      <w:tblPr>
        <w:tblW w:w="4998"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60" w:firstRow="1" w:lastRow="1" w:firstColumn="0" w:lastColumn="0" w:noHBand="0" w:noVBand="0"/>
      </w:tblPr>
      <w:tblGrid>
        <w:gridCol w:w="1679"/>
        <w:gridCol w:w="2429"/>
        <w:gridCol w:w="3825"/>
        <w:gridCol w:w="2186"/>
        <w:gridCol w:w="1941"/>
        <w:gridCol w:w="2212"/>
      </w:tblGrid>
      <w:tr w:rsidR="00804B5E" w:rsidRPr="00E01239" w14:paraId="390D3159" w14:textId="77777777" w:rsidTr="00263B8A">
        <w:trPr>
          <w:trHeight w:val="113"/>
          <w:tblHeader/>
          <w:jc w:val="center"/>
        </w:trPr>
        <w:tc>
          <w:tcPr>
            <w:tcW w:w="588" w:type="pct"/>
            <w:shd w:val="clear" w:color="auto" w:fill="1F3864" w:themeFill="accent5" w:themeFillShade="80"/>
            <w:vAlign w:val="center"/>
          </w:tcPr>
          <w:p w14:paraId="6145F75D" w14:textId="77777777" w:rsidR="00804B5E" w:rsidRPr="00E01239" w:rsidRDefault="00804B5E" w:rsidP="008C0C70">
            <w:pPr>
              <w:jc w:val="center"/>
              <w:rPr>
                <w:rFonts w:asciiTheme="minorHAnsi" w:hAnsiTheme="minorHAnsi" w:cstheme="minorHAnsi"/>
                <w:bCs/>
                <w:sz w:val="21"/>
                <w:szCs w:val="21"/>
              </w:rPr>
            </w:pPr>
            <w:r w:rsidRPr="00E01239">
              <w:rPr>
                <w:rFonts w:asciiTheme="minorHAnsi" w:hAnsiTheme="minorHAnsi" w:cstheme="minorHAnsi"/>
                <w:bCs/>
                <w:sz w:val="21"/>
                <w:szCs w:val="21"/>
              </w:rPr>
              <w:t>Types d’indicateurs</w:t>
            </w:r>
          </w:p>
        </w:tc>
        <w:tc>
          <w:tcPr>
            <w:tcW w:w="851" w:type="pct"/>
            <w:shd w:val="clear" w:color="auto" w:fill="1F3864" w:themeFill="accent5" w:themeFillShade="80"/>
            <w:vAlign w:val="center"/>
          </w:tcPr>
          <w:p w14:paraId="542F8AEB" w14:textId="77777777" w:rsidR="00804B5E" w:rsidRPr="00E01239" w:rsidRDefault="00804B5E" w:rsidP="008C0C70">
            <w:pPr>
              <w:jc w:val="center"/>
              <w:rPr>
                <w:rFonts w:asciiTheme="minorHAnsi" w:hAnsiTheme="minorHAnsi" w:cstheme="minorHAnsi"/>
                <w:bCs/>
                <w:sz w:val="21"/>
                <w:szCs w:val="21"/>
              </w:rPr>
            </w:pPr>
            <w:r w:rsidRPr="00E01239">
              <w:rPr>
                <w:rFonts w:asciiTheme="minorHAnsi" w:hAnsiTheme="minorHAnsi" w:cstheme="minorHAnsi"/>
                <w:bCs/>
                <w:sz w:val="21"/>
                <w:szCs w:val="21"/>
              </w:rPr>
              <w:t>Composante environnementale</w:t>
            </w:r>
          </w:p>
        </w:tc>
        <w:tc>
          <w:tcPr>
            <w:tcW w:w="1340" w:type="pct"/>
            <w:shd w:val="clear" w:color="auto" w:fill="1F3864" w:themeFill="accent5" w:themeFillShade="80"/>
            <w:vAlign w:val="center"/>
          </w:tcPr>
          <w:p w14:paraId="3EF134EF" w14:textId="77777777" w:rsidR="00804B5E" w:rsidRPr="00E01239" w:rsidRDefault="00804B5E" w:rsidP="008C0C70">
            <w:pPr>
              <w:jc w:val="center"/>
              <w:rPr>
                <w:rFonts w:asciiTheme="minorHAnsi" w:hAnsiTheme="minorHAnsi" w:cstheme="minorHAnsi"/>
                <w:bCs/>
                <w:sz w:val="21"/>
                <w:szCs w:val="21"/>
              </w:rPr>
            </w:pPr>
            <w:r w:rsidRPr="00E01239">
              <w:rPr>
                <w:rFonts w:asciiTheme="minorHAnsi" w:hAnsiTheme="minorHAnsi" w:cstheme="minorHAnsi"/>
                <w:bCs/>
                <w:sz w:val="21"/>
                <w:szCs w:val="21"/>
              </w:rPr>
              <w:t>Indicateurs</w:t>
            </w:r>
          </w:p>
        </w:tc>
        <w:tc>
          <w:tcPr>
            <w:tcW w:w="766" w:type="pct"/>
            <w:shd w:val="clear" w:color="auto" w:fill="1F3864" w:themeFill="accent5" w:themeFillShade="80"/>
            <w:vAlign w:val="center"/>
          </w:tcPr>
          <w:p w14:paraId="46888D51" w14:textId="77777777" w:rsidR="00804B5E" w:rsidRPr="00E01239" w:rsidRDefault="00804B5E" w:rsidP="008C0C70">
            <w:pPr>
              <w:jc w:val="center"/>
              <w:rPr>
                <w:rFonts w:asciiTheme="minorHAnsi" w:hAnsiTheme="minorHAnsi" w:cstheme="minorHAnsi"/>
                <w:bCs/>
                <w:sz w:val="21"/>
                <w:szCs w:val="21"/>
              </w:rPr>
            </w:pPr>
            <w:r w:rsidRPr="00E01239">
              <w:rPr>
                <w:rFonts w:asciiTheme="minorHAnsi" w:hAnsiTheme="minorHAnsi" w:cstheme="minorHAnsi"/>
                <w:bCs/>
                <w:sz w:val="21"/>
                <w:szCs w:val="21"/>
              </w:rPr>
              <w:t>Méthode de vérification</w:t>
            </w:r>
          </w:p>
        </w:tc>
        <w:tc>
          <w:tcPr>
            <w:tcW w:w="680" w:type="pct"/>
            <w:shd w:val="clear" w:color="auto" w:fill="1F3864" w:themeFill="accent5" w:themeFillShade="80"/>
            <w:vAlign w:val="center"/>
          </w:tcPr>
          <w:p w14:paraId="7FA223C1" w14:textId="77777777" w:rsidR="00804B5E" w:rsidRPr="00E01239" w:rsidRDefault="00804B5E" w:rsidP="008C0C70">
            <w:pPr>
              <w:jc w:val="center"/>
              <w:rPr>
                <w:rFonts w:asciiTheme="minorHAnsi" w:hAnsiTheme="minorHAnsi" w:cstheme="minorHAnsi"/>
                <w:bCs/>
                <w:sz w:val="21"/>
                <w:szCs w:val="21"/>
              </w:rPr>
            </w:pPr>
            <w:r w:rsidRPr="00E01239">
              <w:rPr>
                <w:rFonts w:asciiTheme="minorHAnsi" w:hAnsiTheme="minorHAnsi" w:cstheme="minorHAnsi"/>
                <w:bCs/>
                <w:sz w:val="21"/>
                <w:szCs w:val="21"/>
              </w:rPr>
              <w:t>Fréquence de vérification</w:t>
            </w:r>
          </w:p>
        </w:tc>
        <w:tc>
          <w:tcPr>
            <w:tcW w:w="775" w:type="pct"/>
            <w:shd w:val="clear" w:color="auto" w:fill="1F3864" w:themeFill="accent5" w:themeFillShade="80"/>
            <w:vAlign w:val="center"/>
          </w:tcPr>
          <w:p w14:paraId="0A42A052" w14:textId="77777777" w:rsidR="00804B5E" w:rsidRPr="00E01239" w:rsidRDefault="00804B5E" w:rsidP="008C0C70">
            <w:pPr>
              <w:jc w:val="center"/>
              <w:rPr>
                <w:rFonts w:asciiTheme="minorHAnsi" w:hAnsiTheme="minorHAnsi" w:cstheme="minorHAnsi"/>
                <w:bCs/>
                <w:sz w:val="21"/>
                <w:szCs w:val="21"/>
              </w:rPr>
            </w:pPr>
            <w:r w:rsidRPr="00E01239">
              <w:rPr>
                <w:rFonts w:asciiTheme="minorHAnsi" w:hAnsiTheme="minorHAnsi" w:cstheme="minorHAnsi"/>
                <w:bCs/>
                <w:sz w:val="21"/>
                <w:szCs w:val="21"/>
              </w:rPr>
              <w:t>Responsable de la mise en œuvre</w:t>
            </w:r>
          </w:p>
        </w:tc>
      </w:tr>
      <w:tr w:rsidR="00804B5E" w:rsidRPr="00E01239" w14:paraId="0C08A406" w14:textId="77777777" w:rsidTr="008C0C70">
        <w:trPr>
          <w:trHeight w:val="113"/>
          <w:jc w:val="center"/>
        </w:trPr>
        <w:tc>
          <w:tcPr>
            <w:tcW w:w="588" w:type="pct"/>
            <w:vMerge w:val="restart"/>
            <w:shd w:val="clear" w:color="auto" w:fill="auto"/>
            <w:textDirection w:val="btLr"/>
            <w:vAlign w:val="center"/>
          </w:tcPr>
          <w:p w14:paraId="4A2AE8B7" w14:textId="77777777" w:rsidR="00804B5E" w:rsidRPr="00E01239" w:rsidRDefault="00804B5E" w:rsidP="008C0C70">
            <w:pPr>
              <w:ind w:left="113" w:right="113"/>
              <w:jc w:val="center"/>
              <w:rPr>
                <w:rFonts w:asciiTheme="minorHAnsi" w:hAnsiTheme="minorHAnsi" w:cstheme="minorHAnsi"/>
                <w:color w:val="FF0000"/>
                <w:sz w:val="21"/>
                <w:szCs w:val="21"/>
              </w:rPr>
            </w:pPr>
            <w:r w:rsidRPr="00E01239">
              <w:rPr>
                <w:rFonts w:asciiTheme="minorHAnsi" w:hAnsiTheme="minorHAnsi" w:cstheme="minorHAnsi"/>
                <w:sz w:val="21"/>
                <w:szCs w:val="21"/>
              </w:rPr>
              <w:t>Indicateurs de surveillance des travaux</w:t>
            </w:r>
          </w:p>
        </w:tc>
        <w:tc>
          <w:tcPr>
            <w:tcW w:w="851" w:type="pct"/>
            <w:shd w:val="clear" w:color="auto" w:fill="auto"/>
            <w:vAlign w:val="center"/>
          </w:tcPr>
          <w:p w14:paraId="6B2E95F6" w14:textId="77777777" w:rsidR="00804B5E" w:rsidRPr="00E01239" w:rsidRDefault="00804B5E" w:rsidP="008C0C70">
            <w:pPr>
              <w:rPr>
                <w:rFonts w:asciiTheme="minorHAnsi" w:hAnsiTheme="minorHAnsi" w:cstheme="minorHAnsi"/>
                <w:sz w:val="21"/>
                <w:szCs w:val="21"/>
              </w:rPr>
            </w:pPr>
            <w:r w:rsidRPr="00E01239">
              <w:rPr>
                <w:rFonts w:asciiTheme="minorHAnsi" w:hAnsiTheme="minorHAnsi" w:cstheme="minorHAnsi"/>
                <w:sz w:val="21"/>
                <w:szCs w:val="21"/>
              </w:rPr>
              <w:t>Humain</w:t>
            </w:r>
          </w:p>
        </w:tc>
        <w:tc>
          <w:tcPr>
            <w:tcW w:w="1340" w:type="pct"/>
            <w:shd w:val="clear" w:color="auto" w:fill="auto"/>
            <w:vAlign w:val="center"/>
          </w:tcPr>
          <w:p w14:paraId="753BE444" w14:textId="77777777" w:rsidR="00804B5E" w:rsidRPr="00E01239" w:rsidRDefault="00804B5E" w:rsidP="00027669">
            <w:pPr>
              <w:pStyle w:val="Paragraphedeliste"/>
              <w:numPr>
                <w:ilvl w:val="0"/>
                <w:numId w:val="135"/>
              </w:numPr>
              <w:ind w:left="173" w:hanging="173"/>
              <w:contextualSpacing w:val="0"/>
              <w:jc w:val="both"/>
              <w:rPr>
                <w:rFonts w:asciiTheme="minorHAnsi" w:hAnsiTheme="minorHAnsi" w:cstheme="minorHAnsi"/>
                <w:sz w:val="21"/>
                <w:szCs w:val="21"/>
              </w:rPr>
            </w:pPr>
            <w:r w:rsidRPr="00E01239">
              <w:rPr>
                <w:rFonts w:asciiTheme="minorHAnsi" w:hAnsiTheme="minorHAnsi" w:cstheme="minorHAnsi"/>
                <w:sz w:val="21"/>
                <w:szCs w:val="21"/>
              </w:rPr>
              <w:t>Nombre d’ha de terres mises à disposition par les collectivités territoriales pour abriter les bases de chantier</w:t>
            </w:r>
          </w:p>
          <w:p w14:paraId="15B1061B" w14:textId="77777777" w:rsidR="00804B5E" w:rsidRPr="00E01239" w:rsidRDefault="00804B5E" w:rsidP="00027669">
            <w:pPr>
              <w:pStyle w:val="Paragraphedeliste"/>
              <w:numPr>
                <w:ilvl w:val="0"/>
                <w:numId w:val="135"/>
              </w:numPr>
              <w:ind w:left="173" w:hanging="173"/>
              <w:contextualSpacing w:val="0"/>
              <w:jc w:val="both"/>
              <w:rPr>
                <w:rFonts w:asciiTheme="minorHAnsi" w:hAnsiTheme="minorHAnsi" w:cstheme="minorHAnsi"/>
                <w:sz w:val="21"/>
                <w:szCs w:val="21"/>
              </w:rPr>
            </w:pPr>
            <w:r w:rsidRPr="00E01239">
              <w:rPr>
                <w:rFonts w:asciiTheme="minorHAnsi" w:hAnsiTheme="minorHAnsi" w:cstheme="minorHAnsi"/>
                <w:sz w:val="21"/>
                <w:szCs w:val="21"/>
              </w:rPr>
              <w:t>Nombre d’ha de terres remises en état après les travaux</w:t>
            </w:r>
          </w:p>
        </w:tc>
        <w:tc>
          <w:tcPr>
            <w:tcW w:w="766" w:type="pct"/>
            <w:shd w:val="clear" w:color="auto" w:fill="auto"/>
            <w:vAlign w:val="center"/>
          </w:tcPr>
          <w:p w14:paraId="434407F5" w14:textId="77777777" w:rsidR="00804B5E" w:rsidRPr="00E01239" w:rsidRDefault="00804B5E"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Inspections sur site et rapport de l’ingénieur chargé du contrôle</w:t>
            </w:r>
          </w:p>
          <w:p w14:paraId="23F22D27" w14:textId="77777777" w:rsidR="00804B5E" w:rsidRPr="00E01239" w:rsidRDefault="00804B5E"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Rapports de surveillance environnementale</w:t>
            </w:r>
          </w:p>
        </w:tc>
        <w:tc>
          <w:tcPr>
            <w:tcW w:w="680" w:type="pct"/>
            <w:shd w:val="clear" w:color="auto" w:fill="auto"/>
            <w:vAlign w:val="center"/>
          </w:tcPr>
          <w:p w14:paraId="1CBB0145" w14:textId="77777777" w:rsidR="00804B5E" w:rsidRPr="00E01239" w:rsidRDefault="00804B5E"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A la réception des installations de chantier</w:t>
            </w:r>
          </w:p>
          <w:p w14:paraId="4D2C6E36" w14:textId="77777777" w:rsidR="00804B5E" w:rsidRPr="00E01239" w:rsidRDefault="00804B5E"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A la réception provisoire des travaux</w:t>
            </w:r>
          </w:p>
        </w:tc>
        <w:tc>
          <w:tcPr>
            <w:tcW w:w="775" w:type="pct"/>
            <w:vAlign w:val="center"/>
          </w:tcPr>
          <w:p w14:paraId="3C8CE5A9" w14:textId="77777777" w:rsidR="00804B5E" w:rsidRPr="00E01239" w:rsidRDefault="00804B5E"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Entreprise de travaux</w:t>
            </w:r>
          </w:p>
          <w:p w14:paraId="04534849" w14:textId="77777777" w:rsidR="00804B5E" w:rsidRPr="00E01239" w:rsidRDefault="00804B5E"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Mission de Contrôle</w:t>
            </w:r>
          </w:p>
          <w:p w14:paraId="657C5412" w14:textId="5ED7C41A" w:rsidR="00911EB8" w:rsidRPr="00E01239" w:rsidRDefault="00911EB8" w:rsidP="00027669">
            <w:pPr>
              <w:pStyle w:val="Paragraphedeliste"/>
              <w:numPr>
                <w:ilvl w:val="0"/>
                <w:numId w:val="138"/>
              </w:numPr>
              <w:ind w:left="152" w:hanging="152"/>
              <w:contextualSpacing w:val="0"/>
              <w:rPr>
                <w:rFonts w:asciiTheme="minorHAnsi" w:hAnsiTheme="minorHAnsi" w:cstheme="minorHAnsi"/>
                <w:sz w:val="21"/>
                <w:szCs w:val="21"/>
              </w:rPr>
            </w:pPr>
            <w:r w:rsidRPr="00E01239">
              <w:rPr>
                <w:rFonts w:asciiTheme="minorHAnsi" w:hAnsiTheme="minorHAnsi" w:cstheme="minorHAnsi"/>
                <w:sz w:val="21"/>
                <w:szCs w:val="21"/>
              </w:rPr>
              <w:t>UCP/FSRP/MEPA</w:t>
            </w:r>
          </w:p>
          <w:p w14:paraId="0A08BB5D" w14:textId="168B0D5D" w:rsidR="00804B5E" w:rsidRPr="00E01239" w:rsidRDefault="00911EB8" w:rsidP="00047AA4">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UCP/FSRP/MAERSA</w:t>
            </w:r>
          </w:p>
        </w:tc>
      </w:tr>
      <w:tr w:rsidR="000271C8" w:rsidRPr="00E01239" w14:paraId="02487392" w14:textId="77777777" w:rsidTr="00263B8A">
        <w:trPr>
          <w:trHeight w:val="2819"/>
          <w:jc w:val="center"/>
        </w:trPr>
        <w:tc>
          <w:tcPr>
            <w:tcW w:w="588" w:type="pct"/>
            <w:vMerge/>
            <w:shd w:val="clear" w:color="auto" w:fill="auto"/>
            <w:textDirection w:val="btLr"/>
            <w:vAlign w:val="center"/>
          </w:tcPr>
          <w:p w14:paraId="4289275D" w14:textId="77777777" w:rsidR="000271C8" w:rsidRPr="00E01239" w:rsidRDefault="000271C8" w:rsidP="008C0C70">
            <w:pPr>
              <w:ind w:left="113" w:right="113"/>
              <w:jc w:val="center"/>
              <w:rPr>
                <w:rFonts w:asciiTheme="minorHAnsi" w:hAnsiTheme="minorHAnsi" w:cstheme="minorHAnsi"/>
                <w:sz w:val="21"/>
                <w:szCs w:val="21"/>
              </w:rPr>
            </w:pPr>
          </w:p>
        </w:tc>
        <w:tc>
          <w:tcPr>
            <w:tcW w:w="851" w:type="pct"/>
            <w:shd w:val="clear" w:color="auto" w:fill="auto"/>
            <w:vAlign w:val="center"/>
          </w:tcPr>
          <w:p w14:paraId="6CFB4A85" w14:textId="77777777" w:rsidR="000271C8" w:rsidRPr="00E01239" w:rsidRDefault="000271C8" w:rsidP="008C0C70">
            <w:pPr>
              <w:rPr>
                <w:rFonts w:asciiTheme="minorHAnsi" w:hAnsiTheme="minorHAnsi" w:cstheme="minorHAnsi"/>
                <w:sz w:val="21"/>
                <w:szCs w:val="21"/>
              </w:rPr>
            </w:pPr>
            <w:r w:rsidRPr="00E01239">
              <w:rPr>
                <w:rFonts w:asciiTheme="minorHAnsi" w:hAnsiTheme="minorHAnsi" w:cstheme="minorHAnsi"/>
                <w:sz w:val="21"/>
                <w:szCs w:val="21"/>
              </w:rPr>
              <w:t>Biophysique</w:t>
            </w:r>
          </w:p>
          <w:p w14:paraId="22B7E292" w14:textId="5F3A0F07" w:rsidR="000271C8" w:rsidRPr="00E01239" w:rsidRDefault="000271C8" w:rsidP="008C0C70">
            <w:pPr>
              <w:rPr>
                <w:rFonts w:asciiTheme="minorHAnsi" w:hAnsiTheme="minorHAnsi" w:cstheme="minorHAnsi"/>
                <w:sz w:val="21"/>
                <w:szCs w:val="21"/>
              </w:rPr>
            </w:pPr>
          </w:p>
        </w:tc>
        <w:tc>
          <w:tcPr>
            <w:tcW w:w="1340" w:type="pct"/>
            <w:shd w:val="clear" w:color="auto" w:fill="auto"/>
            <w:vAlign w:val="center"/>
          </w:tcPr>
          <w:p w14:paraId="037BAEF8" w14:textId="77777777" w:rsidR="000271C8" w:rsidRPr="00E01239" w:rsidRDefault="000271C8" w:rsidP="00027669">
            <w:pPr>
              <w:pStyle w:val="Paragraphedeliste"/>
              <w:numPr>
                <w:ilvl w:val="0"/>
                <w:numId w:val="135"/>
              </w:numPr>
              <w:ind w:left="173" w:hanging="173"/>
              <w:contextualSpacing w:val="0"/>
              <w:jc w:val="both"/>
              <w:rPr>
                <w:rFonts w:asciiTheme="minorHAnsi" w:hAnsiTheme="minorHAnsi" w:cstheme="minorHAnsi"/>
                <w:sz w:val="21"/>
                <w:szCs w:val="21"/>
              </w:rPr>
            </w:pPr>
            <w:r w:rsidRPr="00E01239">
              <w:rPr>
                <w:rFonts w:asciiTheme="minorHAnsi" w:hAnsiTheme="minorHAnsi" w:cstheme="minorHAnsi"/>
                <w:sz w:val="21"/>
                <w:szCs w:val="21"/>
              </w:rPr>
              <w:t>Volumes de sol décontaminé</w:t>
            </w:r>
          </w:p>
          <w:p w14:paraId="3AF40EDA" w14:textId="77777777" w:rsidR="000271C8" w:rsidRPr="00E01239" w:rsidRDefault="000271C8" w:rsidP="00027669">
            <w:pPr>
              <w:pStyle w:val="Paragraphedeliste"/>
              <w:numPr>
                <w:ilvl w:val="0"/>
                <w:numId w:val="135"/>
              </w:numPr>
              <w:ind w:left="173" w:hanging="173"/>
              <w:contextualSpacing w:val="0"/>
              <w:jc w:val="both"/>
              <w:rPr>
                <w:rFonts w:asciiTheme="minorHAnsi" w:hAnsiTheme="minorHAnsi" w:cstheme="minorHAnsi"/>
                <w:sz w:val="21"/>
                <w:szCs w:val="21"/>
              </w:rPr>
            </w:pPr>
            <w:r w:rsidRPr="00E01239">
              <w:rPr>
                <w:rFonts w:asciiTheme="minorHAnsi" w:hAnsiTheme="minorHAnsi" w:cstheme="minorHAnsi"/>
                <w:sz w:val="21"/>
                <w:szCs w:val="21"/>
              </w:rPr>
              <w:t>Nombre de pieds d’arbres abattus</w:t>
            </w:r>
          </w:p>
          <w:p w14:paraId="3FEA81DC" w14:textId="77777777" w:rsidR="000271C8" w:rsidRPr="00E01239" w:rsidRDefault="000271C8" w:rsidP="00027669">
            <w:pPr>
              <w:pStyle w:val="Paragraphedeliste"/>
              <w:numPr>
                <w:ilvl w:val="0"/>
                <w:numId w:val="135"/>
              </w:numPr>
              <w:ind w:left="173" w:hanging="173"/>
              <w:contextualSpacing w:val="0"/>
              <w:jc w:val="both"/>
              <w:rPr>
                <w:rFonts w:asciiTheme="minorHAnsi" w:hAnsiTheme="minorHAnsi" w:cstheme="minorHAnsi"/>
                <w:sz w:val="21"/>
                <w:szCs w:val="21"/>
              </w:rPr>
            </w:pPr>
            <w:r w:rsidRPr="00E01239">
              <w:rPr>
                <w:rFonts w:asciiTheme="minorHAnsi" w:hAnsiTheme="minorHAnsi" w:cstheme="minorHAnsi"/>
                <w:sz w:val="21"/>
                <w:szCs w:val="21"/>
              </w:rPr>
              <w:t>Nombre de pieds d’arbres plantés</w:t>
            </w:r>
          </w:p>
          <w:p w14:paraId="2284A566" w14:textId="77777777" w:rsidR="000271C8" w:rsidRPr="00E01239" w:rsidRDefault="000271C8" w:rsidP="00027669">
            <w:pPr>
              <w:pStyle w:val="Paragraphedeliste"/>
              <w:numPr>
                <w:ilvl w:val="0"/>
                <w:numId w:val="135"/>
              </w:numPr>
              <w:ind w:left="173" w:hanging="173"/>
              <w:contextualSpacing w:val="0"/>
              <w:jc w:val="both"/>
              <w:rPr>
                <w:rFonts w:asciiTheme="minorHAnsi" w:hAnsiTheme="minorHAnsi" w:cstheme="minorHAnsi"/>
                <w:sz w:val="21"/>
                <w:szCs w:val="21"/>
              </w:rPr>
            </w:pPr>
            <w:r w:rsidRPr="00E01239">
              <w:rPr>
                <w:rFonts w:asciiTheme="minorHAnsi" w:hAnsiTheme="minorHAnsi" w:cstheme="minorHAnsi"/>
                <w:sz w:val="21"/>
                <w:szCs w:val="21"/>
              </w:rPr>
              <w:t>Montant payé aux services forestiers à titre de taxe d’abattage</w:t>
            </w:r>
          </w:p>
          <w:p w14:paraId="55C9F0AD" w14:textId="77777777" w:rsidR="000271C8" w:rsidRPr="00E01239" w:rsidRDefault="000271C8" w:rsidP="00027669">
            <w:pPr>
              <w:pStyle w:val="Paragraphedeliste"/>
              <w:numPr>
                <w:ilvl w:val="0"/>
                <w:numId w:val="135"/>
              </w:numPr>
              <w:ind w:left="173" w:hanging="173"/>
              <w:contextualSpacing w:val="0"/>
              <w:jc w:val="both"/>
              <w:rPr>
                <w:rFonts w:asciiTheme="minorHAnsi" w:hAnsiTheme="minorHAnsi" w:cstheme="minorHAnsi"/>
                <w:sz w:val="21"/>
                <w:szCs w:val="21"/>
              </w:rPr>
            </w:pPr>
            <w:r w:rsidRPr="00E01239">
              <w:rPr>
                <w:rFonts w:asciiTheme="minorHAnsi" w:hAnsiTheme="minorHAnsi" w:cstheme="minorHAnsi"/>
                <w:sz w:val="21"/>
                <w:szCs w:val="21"/>
              </w:rPr>
              <w:t>Surface imperméabilisée sur les chantiers</w:t>
            </w:r>
          </w:p>
          <w:p w14:paraId="3F2306A6" w14:textId="77777777" w:rsidR="000271C8" w:rsidRPr="00E01239" w:rsidRDefault="000271C8" w:rsidP="00027669">
            <w:pPr>
              <w:pStyle w:val="Paragraphedeliste"/>
              <w:numPr>
                <w:ilvl w:val="0"/>
                <w:numId w:val="135"/>
              </w:numPr>
              <w:ind w:left="173" w:hanging="173"/>
              <w:contextualSpacing w:val="0"/>
              <w:jc w:val="both"/>
              <w:rPr>
                <w:rFonts w:asciiTheme="minorHAnsi" w:hAnsiTheme="minorHAnsi" w:cstheme="minorHAnsi"/>
                <w:sz w:val="21"/>
                <w:szCs w:val="21"/>
              </w:rPr>
            </w:pPr>
            <w:r w:rsidRPr="00E01239">
              <w:rPr>
                <w:rFonts w:asciiTheme="minorHAnsi" w:hAnsiTheme="minorHAnsi" w:cstheme="minorHAnsi"/>
                <w:sz w:val="21"/>
                <w:szCs w:val="21"/>
              </w:rPr>
              <w:t>Quantité de déchets produits et enlevés du chantier</w:t>
            </w:r>
          </w:p>
          <w:p w14:paraId="3DC2D410" w14:textId="094928F2" w:rsidR="000271C8" w:rsidRPr="00E01239" w:rsidRDefault="000271C8" w:rsidP="00027669">
            <w:pPr>
              <w:pStyle w:val="Paragraphedeliste"/>
              <w:numPr>
                <w:ilvl w:val="0"/>
                <w:numId w:val="135"/>
              </w:numPr>
              <w:ind w:left="173" w:hanging="173"/>
              <w:jc w:val="both"/>
              <w:rPr>
                <w:rFonts w:asciiTheme="minorHAnsi" w:hAnsiTheme="minorHAnsi" w:cstheme="minorHAnsi"/>
                <w:sz w:val="21"/>
                <w:szCs w:val="21"/>
              </w:rPr>
            </w:pPr>
            <w:r w:rsidRPr="00E01239">
              <w:rPr>
                <w:rFonts w:asciiTheme="minorHAnsi" w:hAnsiTheme="minorHAnsi" w:cstheme="minorHAnsi"/>
                <w:sz w:val="21"/>
                <w:szCs w:val="21"/>
              </w:rPr>
              <w:t>Quantité d’huiles usagées produites et évacuées du chantier</w:t>
            </w:r>
          </w:p>
        </w:tc>
        <w:tc>
          <w:tcPr>
            <w:tcW w:w="766" w:type="pct"/>
            <w:shd w:val="clear" w:color="auto" w:fill="auto"/>
            <w:vAlign w:val="center"/>
          </w:tcPr>
          <w:p w14:paraId="764E47C5" w14:textId="77777777" w:rsidR="000271C8" w:rsidRPr="00E01239" w:rsidRDefault="000271C8"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Inspections sur site et rapport de l’ingénieur chargé du contrôle</w:t>
            </w:r>
          </w:p>
          <w:p w14:paraId="3424483A" w14:textId="77777777" w:rsidR="000271C8" w:rsidRPr="00E01239" w:rsidRDefault="000271C8"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Rapports de surveillance environnementale</w:t>
            </w:r>
          </w:p>
        </w:tc>
        <w:tc>
          <w:tcPr>
            <w:tcW w:w="680" w:type="pct"/>
            <w:shd w:val="clear" w:color="auto" w:fill="auto"/>
            <w:vAlign w:val="center"/>
          </w:tcPr>
          <w:p w14:paraId="6EF3B60E" w14:textId="77777777" w:rsidR="000271C8" w:rsidRPr="00E01239" w:rsidRDefault="000271C8"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Mensuel</w:t>
            </w:r>
          </w:p>
        </w:tc>
        <w:tc>
          <w:tcPr>
            <w:tcW w:w="775" w:type="pct"/>
            <w:vAlign w:val="center"/>
          </w:tcPr>
          <w:p w14:paraId="169C20E3" w14:textId="77777777" w:rsidR="000271C8" w:rsidRPr="00E01239" w:rsidRDefault="000271C8"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Entreprise de travaux</w:t>
            </w:r>
          </w:p>
          <w:p w14:paraId="7EA66A38" w14:textId="77777777" w:rsidR="000271C8" w:rsidRPr="00E01239" w:rsidRDefault="000271C8"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Mission de contrôle</w:t>
            </w:r>
          </w:p>
          <w:p w14:paraId="5145EAAB" w14:textId="77777777" w:rsidR="000271C8" w:rsidRPr="00E01239" w:rsidRDefault="000271C8"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Consultant indépendant</w:t>
            </w:r>
          </w:p>
        </w:tc>
      </w:tr>
      <w:tr w:rsidR="0040583A" w:rsidRPr="00E01239" w14:paraId="150E5666" w14:textId="77777777" w:rsidTr="008C0C70">
        <w:trPr>
          <w:trHeight w:val="113"/>
          <w:jc w:val="center"/>
        </w:trPr>
        <w:tc>
          <w:tcPr>
            <w:tcW w:w="588" w:type="pct"/>
            <w:vMerge w:val="restart"/>
            <w:shd w:val="clear" w:color="auto" w:fill="auto"/>
            <w:textDirection w:val="btLr"/>
            <w:vAlign w:val="center"/>
          </w:tcPr>
          <w:p w14:paraId="6E8D3C58" w14:textId="77777777" w:rsidR="0040583A" w:rsidRPr="00E01239" w:rsidRDefault="0040583A" w:rsidP="008C0C70">
            <w:pPr>
              <w:ind w:left="113" w:right="113"/>
              <w:jc w:val="center"/>
              <w:rPr>
                <w:rFonts w:asciiTheme="minorHAnsi" w:hAnsiTheme="minorHAnsi" w:cstheme="minorHAnsi"/>
                <w:sz w:val="21"/>
                <w:szCs w:val="21"/>
              </w:rPr>
            </w:pPr>
            <w:r w:rsidRPr="00E01239">
              <w:rPr>
                <w:rFonts w:asciiTheme="minorHAnsi" w:hAnsiTheme="minorHAnsi" w:cstheme="minorHAnsi"/>
                <w:sz w:val="21"/>
                <w:szCs w:val="21"/>
              </w:rPr>
              <w:t>Indicateurs en phase d’exploitation</w:t>
            </w:r>
          </w:p>
        </w:tc>
        <w:tc>
          <w:tcPr>
            <w:tcW w:w="851" w:type="pct"/>
            <w:vMerge w:val="restart"/>
            <w:shd w:val="clear" w:color="auto" w:fill="auto"/>
            <w:vAlign w:val="center"/>
          </w:tcPr>
          <w:p w14:paraId="7E40E354" w14:textId="36191889" w:rsidR="0040583A" w:rsidRPr="00E01239" w:rsidRDefault="0040583A" w:rsidP="008C0C70">
            <w:pPr>
              <w:rPr>
                <w:rFonts w:asciiTheme="minorHAnsi" w:hAnsiTheme="minorHAnsi" w:cstheme="minorHAnsi"/>
                <w:sz w:val="21"/>
                <w:szCs w:val="21"/>
              </w:rPr>
            </w:pPr>
            <w:r w:rsidRPr="00E01239">
              <w:rPr>
                <w:rFonts w:asciiTheme="minorHAnsi" w:hAnsiTheme="minorHAnsi" w:cstheme="minorHAnsi"/>
                <w:sz w:val="21"/>
                <w:szCs w:val="21"/>
              </w:rPr>
              <w:t>Biophysique</w:t>
            </w:r>
          </w:p>
          <w:p w14:paraId="3B50FECB" w14:textId="7BCF152F" w:rsidR="0040583A" w:rsidRPr="00E01239" w:rsidRDefault="0040583A" w:rsidP="00814C48">
            <w:pPr>
              <w:rPr>
                <w:rFonts w:asciiTheme="minorHAnsi" w:hAnsiTheme="minorHAnsi" w:cstheme="minorHAnsi"/>
                <w:sz w:val="21"/>
                <w:szCs w:val="21"/>
              </w:rPr>
            </w:pPr>
          </w:p>
        </w:tc>
        <w:tc>
          <w:tcPr>
            <w:tcW w:w="1340" w:type="pct"/>
            <w:shd w:val="clear" w:color="auto" w:fill="auto"/>
            <w:vAlign w:val="center"/>
          </w:tcPr>
          <w:p w14:paraId="7C045356" w14:textId="6AA81F26" w:rsidR="0040583A" w:rsidRPr="00E01239" w:rsidRDefault="0040583A" w:rsidP="00027669">
            <w:pPr>
              <w:pStyle w:val="Paragraphedeliste"/>
              <w:numPr>
                <w:ilvl w:val="0"/>
                <w:numId w:val="135"/>
              </w:numPr>
              <w:ind w:left="173" w:hanging="173"/>
              <w:jc w:val="both"/>
              <w:rPr>
                <w:rFonts w:asciiTheme="minorHAnsi" w:hAnsiTheme="minorHAnsi" w:cstheme="minorHAnsi"/>
                <w:sz w:val="21"/>
                <w:szCs w:val="21"/>
              </w:rPr>
            </w:pPr>
            <w:r w:rsidRPr="00E01239">
              <w:rPr>
                <w:rFonts w:asciiTheme="minorHAnsi" w:hAnsiTheme="minorHAnsi" w:cstheme="minorHAnsi"/>
                <w:sz w:val="21"/>
                <w:szCs w:val="21"/>
              </w:rPr>
              <w:t>% de producteurs sensibilisés</w:t>
            </w:r>
            <w:r w:rsidRPr="00E01239" w:rsidDel="000271C8">
              <w:rPr>
                <w:rFonts w:asciiTheme="minorHAnsi" w:hAnsiTheme="minorHAnsi" w:cstheme="minorHAnsi"/>
                <w:sz w:val="21"/>
                <w:szCs w:val="21"/>
              </w:rPr>
              <w:t xml:space="preserve"> </w:t>
            </w:r>
            <w:r w:rsidRPr="00E01239">
              <w:rPr>
                <w:rFonts w:asciiTheme="minorHAnsi" w:hAnsiTheme="minorHAnsi" w:cstheme="minorHAnsi"/>
                <w:sz w:val="21"/>
                <w:szCs w:val="21"/>
              </w:rPr>
              <w:t>sur la gestion rationnelle des ressources en eau</w:t>
            </w:r>
          </w:p>
        </w:tc>
        <w:tc>
          <w:tcPr>
            <w:tcW w:w="766" w:type="pct"/>
            <w:vMerge w:val="restart"/>
            <w:shd w:val="clear" w:color="auto" w:fill="auto"/>
            <w:vAlign w:val="center"/>
          </w:tcPr>
          <w:p w14:paraId="4CFDF4F1" w14:textId="680700B8" w:rsidR="0040583A" w:rsidRPr="00E01239" w:rsidRDefault="0040583A" w:rsidP="00027669">
            <w:pPr>
              <w:numPr>
                <w:ilvl w:val="0"/>
                <w:numId w:val="138"/>
              </w:numPr>
              <w:ind w:left="173" w:right="-154" w:hanging="173"/>
              <w:rPr>
                <w:rFonts w:asciiTheme="minorHAnsi" w:hAnsiTheme="minorHAnsi" w:cstheme="minorHAnsi"/>
                <w:sz w:val="21"/>
                <w:szCs w:val="21"/>
              </w:rPr>
            </w:pPr>
            <w:r w:rsidRPr="00E01239">
              <w:rPr>
                <w:rFonts w:asciiTheme="minorHAnsi" w:hAnsiTheme="minorHAnsi" w:cstheme="minorHAnsi"/>
                <w:sz w:val="21"/>
                <w:szCs w:val="21"/>
              </w:rPr>
              <w:t>Inspections sur site et rapport de suivi du comité régional de suivi environnemental</w:t>
            </w:r>
          </w:p>
        </w:tc>
        <w:tc>
          <w:tcPr>
            <w:tcW w:w="680" w:type="pct"/>
            <w:vMerge w:val="restart"/>
            <w:shd w:val="clear" w:color="auto" w:fill="auto"/>
            <w:vAlign w:val="center"/>
          </w:tcPr>
          <w:p w14:paraId="45AA8E34" w14:textId="6A442363" w:rsidR="0040583A" w:rsidRPr="00E01239" w:rsidRDefault="0040583A"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Semestriel</w:t>
            </w:r>
          </w:p>
        </w:tc>
        <w:tc>
          <w:tcPr>
            <w:tcW w:w="775" w:type="pct"/>
            <w:vMerge w:val="restart"/>
            <w:vAlign w:val="center"/>
          </w:tcPr>
          <w:p w14:paraId="7ADD40DD" w14:textId="6DC574C5" w:rsidR="0040583A" w:rsidRPr="00E01239" w:rsidRDefault="0040583A" w:rsidP="00027669">
            <w:pPr>
              <w:numPr>
                <w:ilvl w:val="0"/>
                <w:numId w:val="138"/>
              </w:numPr>
              <w:ind w:left="152" w:right="-154" w:hanging="152"/>
              <w:rPr>
                <w:rFonts w:asciiTheme="minorHAnsi" w:hAnsiTheme="minorHAnsi" w:cstheme="minorHAnsi"/>
                <w:sz w:val="21"/>
                <w:szCs w:val="21"/>
              </w:rPr>
            </w:pPr>
            <w:r w:rsidRPr="00E01239">
              <w:rPr>
                <w:rFonts w:asciiTheme="minorHAnsi" w:hAnsiTheme="minorHAnsi" w:cstheme="minorHAnsi"/>
                <w:sz w:val="21"/>
                <w:szCs w:val="21"/>
              </w:rPr>
              <w:t>Comité régional de suivi environnemental e social de chaque région</w:t>
            </w:r>
          </w:p>
        </w:tc>
      </w:tr>
      <w:tr w:rsidR="0040583A" w:rsidRPr="00E01239" w14:paraId="20E95CD0" w14:textId="77777777" w:rsidTr="008C0C70">
        <w:trPr>
          <w:trHeight w:val="113"/>
          <w:jc w:val="center"/>
        </w:trPr>
        <w:tc>
          <w:tcPr>
            <w:tcW w:w="588" w:type="pct"/>
            <w:vMerge/>
            <w:shd w:val="clear" w:color="auto" w:fill="auto"/>
            <w:textDirection w:val="btLr"/>
            <w:vAlign w:val="center"/>
          </w:tcPr>
          <w:p w14:paraId="6215411F" w14:textId="77777777" w:rsidR="0040583A" w:rsidRPr="00E01239" w:rsidRDefault="0040583A" w:rsidP="008C0C70">
            <w:pPr>
              <w:ind w:left="113" w:right="113"/>
              <w:jc w:val="center"/>
              <w:rPr>
                <w:rFonts w:asciiTheme="minorHAnsi" w:hAnsiTheme="minorHAnsi" w:cstheme="minorHAnsi"/>
                <w:sz w:val="21"/>
                <w:szCs w:val="21"/>
              </w:rPr>
            </w:pPr>
          </w:p>
        </w:tc>
        <w:tc>
          <w:tcPr>
            <w:tcW w:w="851" w:type="pct"/>
            <w:vMerge/>
            <w:shd w:val="clear" w:color="auto" w:fill="auto"/>
            <w:vAlign w:val="center"/>
          </w:tcPr>
          <w:p w14:paraId="647039B2" w14:textId="5690F93D" w:rsidR="0040583A" w:rsidRPr="00E01239" w:rsidRDefault="0040583A" w:rsidP="008C0C70">
            <w:pPr>
              <w:rPr>
                <w:rFonts w:asciiTheme="minorHAnsi" w:hAnsiTheme="minorHAnsi" w:cstheme="minorHAnsi"/>
                <w:sz w:val="21"/>
                <w:szCs w:val="21"/>
              </w:rPr>
            </w:pPr>
          </w:p>
        </w:tc>
        <w:tc>
          <w:tcPr>
            <w:tcW w:w="1340" w:type="pct"/>
            <w:shd w:val="clear" w:color="auto" w:fill="auto"/>
            <w:vAlign w:val="center"/>
          </w:tcPr>
          <w:p w14:paraId="5A7FD833" w14:textId="0CD9183F" w:rsidR="0040583A" w:rsidRPr="00E01239" w:rsidRDefault="0040583A" w:rsidP="00027669">
            <w:pPr>
              <w:pStyle w:val="Paragraphedeliste"/>
              <w:numPr>
                <w:ilvl w:val="0"/>
                <w:numId w:val="135"/>
              </w:numPr>
              <w:ind w:left="173" w:hanging="173"/>
              <w:jc w:val="both"/>
              <w:rPr>
                <w:rFonts w:asciiTheme="minorHAnsi" w:hAnsiTheme="minorHAnsi" w:cstheme="minorHAnsi"/>
                <w:sz w:val="21"/>
                <w:szCs w:val="21"/>
              </w:rPr>
            </w:pPr>
            <w:r w:rsidRPr="00E01239">
              <w:rPr>
                <w:rFonts w:asciiTheme="minorHAnsi" w:hAnsiTheme="minorHAnsi" w:cstheme="minorHAnsi"/>
                <w:sz w:val="21"/>
                <w:szCs w:val="21"/>
              </w:rPr>
              <w:t>Nombre d’opérations de lutte effectuées avec la DPV</w:t>
            </w:r>
            <w:r w:rsidRPr="00E01239" w:rsidDel="000271C8">
              <w:rPr>
                <w:rFonts w:asciiTheme="minorHAnsi" w:hAnsiTheme="minorHAnsi" w:cstheme="minorHAnsi"/>
                <w:sz w:val="21"/>
                <w:szCs w:val="21"/>
              </w:rPr>
              <w:t xml:space="preserve"> </w:t>
            </w:r>
          </w:p>
        </w:tc>
        <w:tc>
          <w:tcPr>
            <w:tcW w:w="766" w:type="pct"/>
            <w:vMerge/>
            <w:shd w:val="clear" w:color="auto" w:fill="auto"/>
            <w:vAlign w:val="center"/>
          </w:tcPr>
          <w:p w14:paraId="759604AD" w14:textId="53ECB7A2" w:rsidR="0040583A" w:rsidRPr="00E01239" w:rsidRDefault="0040583A" w:rsidP="00027669">
            <w:pPr>
              <w:numPr>
                <w:ilvl w:val="0"/>
                <w:numId w:val="138"/>
              </w:numPr>
              <w:ind w:left="173" w:right="-154" w:hanging="173"/>
              <w:rPr>
                <w:rFonts w:asciiTheme="minorHAnsi" w:hAnsiTheme="minorHAnsi" w:cstheme="minorHAnsi"/>
                <w:sz w:val="21"/>
                <w:szCs w:val="21"/>
              </w:rPr>
            </w:pPr>
          </w:p>
        </w:tc>
        <w:tc>
          <w:tcPr>
            <w:tcW w:w="680" w:type="pct"/>
            <w:vMerge/>
            <w:shd w:val="clear" w:color="auto" w:fill="auto"/>
            <w:vAlign w:val="center"/>
          </w:tcPr>
          <w:p w14:paraId="173E4D1F" w14:textId="27D2922A" w:rsidR="0040583A" w:rsidRPr="00E01239" w:rsidRDefault="0040583A" w:rsidP="00027669">
            <w:pPr>
              <w:numPr>
                <w:ilvl w:val="0"/>
                <w:numId w:val="138"/>
              </w:numPr>
              <w:ind w:left="152" w:right="-154" w:hanging="152"/>
              <w:rPr>
                <w:rFonts w:asciiTheme="minorHAnsi" w:hAnsiTheme="minorHAnsi" w:cstheme="minorHAnsi"/>
                <w:sz w:val="21"/>
                <w:szCs w:val="21"/>
              </w:rPr>
            </w:pPr>
          </w:p>
        </w:tc>
        <w:tc>
          <w:tcPr>
            <w:tcW w:w="775" w:type="pct"/>
            <w:vMerge/>
            <w:vAlign w:val="center"/>
          </w:tcPr>
          <w:p w14:paraId="38013209" w14:textId="37C18E94" w:rsidR="0040583A" w:rsidRPr="00E01239" w:rsidRDefault="0040583A" w:rsidP="00027669">
            <w:pPr>
              <w:numPr>
                <w:ilvl w:val="0"/>
                <w:numId w:val="138"/>
              </w:numPr>
              <w:ind w:left="152" w:right="-154" w:hanging="152"/>
              <w:rPr>
                <w:rFonts w:asciiTheme="minorHAnsi" w:hAnsiTheme="minorHAnsi" w:cstheme="minorHAnsi"/>
                <w:sz w:val="21"/>
                <w:szCs w:val="21"/>
              </w:rPr>
            </w:pPr>
          </w:p>
        </w:tc>
      </w:tr>
      <w:tr w:rsidR="0040583A" w:rsidRPr="00E01239" w14:paraId="75EF2E7F" w14:textId="77777777" w:rsidTr="008C0C70">
        <w:trPr>
          <w:trHeight w:val="113"/>
          <w:jc w:val="center"/>
        </w:trPr>
        <w:tc>
          <w:tcPr>
            <w:tcW w:w="588" w:type="pct"/>
            <w:vMerge/>
            <w:shd w:val="clear" w:color="auto" w:fill="auto"/>
            <w:textDirection w:val="btLr"/>
            <w:vAlign w:val="center"/>
          </w:tcPr>
          <w:p w14:paraId="339A4D5D" w14:textId="77777777" w:rsidR="0040583A" w:rsidRPr="00E01239" w:rsidRDefault="0040583A" w:rsidP="008C0C70">
            <w:pPr>
              <w:ind w:left="113" w:right="113"/>
              <w:jc w:val="center"/>
              <w:rPr>
                <w:rFonts w:asciiTheme="minorHAnsi" w:hAnsiTheme="minorHAnsi" w:cstheme="minorHAnsi"/>
                <w:sz w:val="21"/>
                <w:szCs w:val="21"/>
              </w:rPr>
            </w:pPr>
          </w:p>
        </w:tc>
        <w:tc>
          <w:tcPr>
            <w:tcW w:w="851" w:type="pct"/>
            <w:vMerge/>
            <w:shd w:val="clear" w:color="auto" w:fill="auto"/>
            <w:vAlign w:val="center"/>
          </w:tcPr>
          <w:p w14:paraId="4196AC4C" w14:textId="2666D949" w:rsidR="0040583A" w:rsidRPr="00E01239" w:rsidRDefault="0040583A" w:rsidP="008C0C70">
            <w:pPr>
              <w:rPr>
                <w:rFonts w:asciiTheme="minorHAnsi" w:hAnsiTheme="minorHAnsi" w:cstheme="minorHAnsi"/>
                <w:sz w:val="21"/>
                <w:szCs w:val="21"/>
              </w:rPr>
            </w:pPr>
          </w:p>
        </w:tc>
        <w:tc>
          <w:tcPr>
            <w:tcW w:w="1340" w:type="pct"/>
            <w:shd w:val="clear" w:color="auto" w:fill="auto"/>
            <w:vAlign w:val="center"/>
          </w:tcPr>
          <w:p w14:paraId="7936AC4C" w14:textId="2C6D88B7" w:rsidR="0040583A" w:rsidRPr="00E01239" w:rsidRDefault="0040583A" w:rsidP="00027669">
            <w:pPr>
              <w:pStyle w:val="Paragraphedeliste"/>
              <w:numPr>
                <w:ilvl w:val="0"/>
                <w:numId w:val="135"/>
              </w:numPr>
              <w:ind w:left="173" w:hanging="173"/>
              <w:jc w:val="both"/>
              <w:rPr>
                <w:rFonts w:asciiTheme="minorHAnsi" w:hAnsiTheme="minorHAnsi" w:cstheme="minorHAnsi"/>
                <w:sz w:val="21"/>
                <w:szCs w:val="21"/>
              </w:rPr>
            </w:pPr>
            <w:r w:rsidRPr="00E01239">
              <w:rPr>
                <w:rFonts w:asciiTheme="minorHAnsi" w:hAnsiTheme="minorHAnsi" w:cstheme="minorHAnsi"/>
                <w:sz w:val="21"/>
                <w:szCs w:val="21"/>
              </w:rPr>
              <w:t>Nombre d’équipements hydromécaniques fonctionnant au solaire</w:t>
            </w:r>
          </w:p>
        </w:tc>
        <w:tc>
          <w:tcPr>
            <w:tcW w:w="766" w:type="pct"/>
            <w:vMerge/>
            <w:shd w:val="clear" w:color="auto" w:fill="auto"/>
            <w:vAlign w:val="center"/>
          </w:tcPr>
          <w:p w14:paraId="417CDF5D" w14:textId="2F79B0DA" w:rsidR="0040583A" w:rsidRPr="00E01239" w:rsidRDefault="0040583A" w:rsidP="00027669">
            <w:pPr>
              <w:numPr>
                <w:ilvl w:val="0"/>
                <w:numId w:val="138"/>
              </w:numPr>
              <w:ind w:left="173" w:right="-154" w:hanging="173"/>
              <w:rPr>
                <w:rFonts w:asciiTheme="minorHAnsi" w:hAnsiTheme="minorHAnsi" w:cstheme="minorHAnsi"/>
                <w:sz w:val="21"/>
                <w:szCs w:val="21"/>
              </w:rPr>
            </w:pPr>
          </w:p>
        </w:tc>
        <w:tc>
          <w:tcPr>
            <w:tcW w:w="680" w:type="pct"/>
            <w:vMerge/>
            <w:shd w:val="clear" w:color="auto" w:fill="auto"/>
            <w:vAlign w:val="center"/>
          </w:tcPr>
          <w:p w14:paraId="6E91C115" w14:textId="1005902E" w:rsidR="0040583A" w:rsidRPr="00E01239" w:rsidRDefault="0040583A" w:rsidP="00027669">
            <w:pPr>
              <w:numPr>
                <w:ilvl w:val="0"/>
                <w:numId w:val="138"/>
              </w:numPr>
              <w:ind w:left="152" w:right="-154" w:hanging="152"/>
              <w:rPr>
                <w:rFonts w:asciiTheme="minorHAnsi" w:hAnsiTheme="minorHAnsi" w:cstheme="minorHAnsi"/>
                <w:sz w:val="21"/>
                <w:szCs w:val="21"/>
              </w:rPr>
            </w:pPr>
          </w:p>
        </w:tc>
        <w:tc>
          <w:tcPr>
            <w:tcW w:w="775" w:type="pct"/>
            <w:vMerge/>
            <w:vAlign w:val="center"/>
          </w:tcPr>
          <w:p w14:paraId="12DAFB81" w14:textId="1209F18D" w:rsidR="0040583A" w:rsidRPr="00E01239" w:rsidRDefault="0040583A" w:rsidP="00027669">
            <w:pPr>
              <w:numPr>
                <w:ilvl w:val="0"/>
                <w:numId w:val="138"/>
              </w:numPr>
              <w:ind w:left="152" w:right="-154" w:hanging="152"/>
              <w:rPr>
                <w:rFonts w:asciiTheme="minorHAnsi" w:hAnsiTheme="minorHAnsi" w:cstheme="minorHAnsi"/>
                <w:sz w:val="21"/>
                <w:szCs w:val="21"/>
              </w:rPr>
            </w:pPr>
          </w:p>
        </w:tc>
      </w:tr>
      <w:tr w:rsidR="0040583A" w:rsidRPr="00E01239" w14:paraId="58C34EE3" w14:textId="77777777" w:rsidTr="008C0C70">
        <w:trPr>
          <w:trHeight w:val="507"/>
          <w:jc w:val="center"/>
        </w:trPr>
        <w:tc>
          <w:tcPr>
            <w:tcW w:w="588" w:type="pct"/>
            <w:vMerge/>
            <w:tcBorders>
              <w:bottom w:val="single" w:sz="4" w:space="0" w:color="808080" w:themeColor="background1" w:themeShade="80"/>
            </w:tcBorders>
            <w:shd w:val="clear" w:color="auto" w:fill="auto"/>
            <w:textDirection w:val="btLr"/>
            <w:vAlign w:val="center"/>
          </w:tcPr>
          <w:p w14:paraId="73D7A589" w14:textId="77777777" w:rsidR="0040583A" w:rsidRPr="00E01239" w:rsidRDefault="0040583A" w:rsidP="008C0C70">
            <w:pPr>
              <w:ind w:left="113" w:right="113"/>
              <w:jc w:val="center"/>
              <w:rPr>
                <w:rFonts w:asciiTheme="minorHAnsi" w:hAnsiTheme="minorHAnsi" w:cstheme="minorHAnsi"/>
                <w:sz w:val="21"/>
                <w:szCs w:val="21"/>
              </w:rPr>
            </w:pPr>
          </w:p>
        </w:tc>
        <w:tc>
          <w:tcPr>
            <w:tcW w:w="851" w:type="pct"/>
            <w:vMerge/>
            <w:tcBorders>
              <w:bottom w:val="single" w:sz="4" w:space="0" w:color="808080" w:themeColor="background1" w:themeShade="80"/>
            </w:tcBorders>
            <w:shd w:val="clear" w:color="auto" w:fill="auto"/>
            <w:vAlign w:val="center"/>
          </w:tcPr>
          <w:p w14:paraId="32F66C16" w14:textId="07A145F8" w:rsidR="0040583A" w:rsidRPr="00E01239" w:rsidRDefault="0040583A" w:rsidP="008C0C70">
            <w:pPr>
              <w:rPr>
                <w:rFonts w:asciiTheme="minorHAnsi" w:hAnsiTheme="minorHAnsi" w:cstheme="minorHAnsi"/>
                <w:sz w:val="21"/>
                <w:szCs w:val="21"/>
              </w:rPr>
            </w:pPr>
          </w:p>
        </w:tc>
        <w:tc>
          <w:tcPr>
            <w:tcW w:w="1340" w:type="pct"/>
            <w:tcBorders>
              <w:bottom w:val="single" w:sz="4" w:space="0" w:color="808080" w:themeColor="background1" w:themeShade="80"/>
            </w:tcBorders>
            <w:shd w:val="clear" w:color="auto" w:fill="auto"/>
            <w:vAlign w:val="center"/>
          </w:tcPr>
          <w:p w14:paraId="608AB2FC" w14:textId="0E63431F" w:rsidR="0040583A" w:rsidRPr="00E01239" w:rsidRDefault="0040583A" w:rsidP="00027669">
            <w:pPr>
              <w:pStyle w:val="Paragraphedeliste"/>
              <w:numPr>
                <w:ilvl w:val="0"/>
                <w:numId w:val="135"/>
              </w:numPr>
              <w:ind w:left="173" w:hanging="173"/>
              <w:jc w:val="both"/>
              <w:rPr>
                <w:rFonts w:asciiTheme="minorHAnsi" w:hAnsiTheme="minorHAnsi" w:cstheme="minorHAnsi"/>
                <w:sz w:val="21"/>
                <w:szCs w:val="21"/>
              </w:rPr>
            </w:pPr>
            <w:r w:rsidRPr="00E01239">
              <w:rPr>
                <w:rFonts w:asciiTheme="minorHAnsi" w:hAnsiTheme="minorHAnsi" w:cstheme="minorHAnsi"/>
                <w:sz w:val="21"/>
                <w:szCs w:val="21"/>
              </w:rPr>
              <w:t>Quantité d’eaux de drainage répondant aux seuils de rejet</w:t>
            </w:r>
          </w:p>
        </w:tc>
        <w:tc>
          <w:tcPr>
            <w:tcW w:w="766" w:type="pct"/>
            <w:vMerge/>
            <w:tcBorders>
              <w:bottom w:val="single" w:sz="4" w:space="0" w:color="808080" w:themeColor="background1" w:themeShade="80"/>
            </w:tcBorders>
            <w:shd w:val="clear" w:color="auto" w:fill="auto"/>
            <w:vAlign w:val="center"/>
          </w:tcPr>
          <w:p w14:paraId="440150E7" w14:textId="695C1DB9" w:rsidR="0040583A" w:rsidRPr="00E01239" w:rsidRDefault="0040583A" w:rsidP="00027669">
            <w:pPr>
              <w:numPr>
                <w:ilvl w:val="0"/>
                <w:numId w:val="138"/>
              </w:numPr>
              <w:ind w:left="173" w:right="-154" w:hanging="173"/>
              <w:rPr>
                <w:rFonts w:asciiTheme="minorHAnsi" w:hAnsiTheme="minorHAnsi" w:cstheme="minorHAnsi"/>
                <w:sz w:val="21"/>
                <w:szCs w:val="21"/>
              </w:rPr>
            </w:pPr>
          </w:p>
        </w:tc>
        <w:tc>
          <w:tcPr>
            <w:tcW w:w="680" w:type="pct"/>
            <w:vMerge/>
            <w:tcBorders>
              <w:bottom w:val="single" w:sz="4" w:space="0" w:color="808080" w:themeColor="background1" w:themeShade="80"/>
            </w:tcBorders>
            <w:shd w:val="clear" w:color="auto" w:fill="auto"/>
            <w:vAlign w:val="center"/>
          </w:tcPr>
          <w:p w14:paraId="01898237" w14:textId="2A5AC344" w:rsidR="0040583A" w:rsidRPr="00E01239" w:rsidRDefault="0040583A" w:rsidP="00027669">
            <w:pPr>
              <w:numPr>
                <w:ilvl w:val="0"/>
                <w:numId w:val="138"/>
              </w:numPr>
              <w:ind w:left="152" w:right="-154" w:hanging="152"/>
              <w:rPr>
                <w:rFonts w:asciiTheme="minorHAnsi" w:hAnsiTheme="minorHAnsi" w:cstheme="minorHAnsi"/>
                <w:sz w:val="21"/>
                <w:szCs w:val="21"/>
              </w:rPr>
            </w:pPr>
          </w:p>
        </w:tc>
        <w:tc>
          <w:tcPr>
            <w:tcW w:w="775" w:type="pct"/>
            <w:vMerge/>
            <w:tcBorders>
              <w:bottom w:val="single" w:sz="4" w:space="0" w:color="808080" w:themeColor="background1" w:themeShade="80"/>
            </w:tcBorders>
            <w:vAlign w:val="center"/>
          </w:tcPr>
          <w:p w14:paraId="476DC249" w14:textId="0E3B05CD" w:rsidR="0040583A" w:rsidRPr="00E01239" w:rsidRDefault="0040583A" w:rsidP="00027669">
            <w:pPr>
              <w:numPr>
                <w:ilvl w:val="0"/>
                <w:numId w:val="138"/>
              </w:numPr>
              <w:ind w:left="152" w:right="-154" w:hanging="152"/>
              <w:rPr>
                <w:rFonts w:asciiTheme="minorHAnsi" w:hAnsiTheme="minorHAnsi" w:cstheme="minorHAnsi"/>
                <w:sz w:val="21"/>
                <w:szCs w:val="21"/>
              </w:rPr>
            </w:pPr>
          </w:p>
        </w:tc>
      </w:tr>
    </w:tbl>
    <w:p w14:paraId="6C92FF6B" w14:textId="77777777" w:rsidR="00804B5E" w:rsidRPr="00E01239" w:rsidRDefault="00804B5E" w:rsidP="00804B5E">
      <w:pPr>
        <w:spacing w:before="120" w:line="360" w:lineRule="exact"/>
        <w:jc w:val="both"/>
        <w:rPr>
          <w:rFonts w:asciiTheme="minorHAnsi" w:hAnsiTheme="minorHAnsi" w:cstheme="minorHAnsi"/>
          <w:sz w:val="22"/>
          <w:szCs w:val="22"/>
        </w:rPr>
      </w:pPr>
    </w:p>
    <w:p w14:paraId="5E5D9B23" w14:textId="77777777" w:rsidR="00804B5E" w:rsidRPr="00E01239" w:rsidRDefault="00804B5E" w:rsidP="00804B5E">
      <w:pPr>
        <w:spacing w:before="120" w:line="360" w:lineRule="exact"/>
        <w:jc w:val="both"/>
        <w:rPr>
          <w:rFonts w:asciiTheme="minorHAnsi" w:hAnsiTheme="minorHAnsi" w:cstheme="minorHAnsi"/>
          <w:sz w:val="22"/>
          <w:szCs w:val="22"/>
        </w:rPr>
      </w:pPr>
    </w:p>
    <w:p w14:paraId="481583E0" w14:textId="77777777" w:rsidR="00804B5E" w:rsidRPr="00E01239" w:rsidRDefault="00804B5E" w:rsidP="00804B5E">
      <w:pPr>
        <w:spacing w:before="120" w:line="360" w:lineRule="exact"/>
        <w:jc w:val="both"/>
        <w:rPr>
          <w:rFonts w:asciiTheme="minorHAnsi" w:hAnsiTheme="minorHAnsi" w:cstheme="minorHAnsi"/>
          <w:sz w:val="22"/>
          <w:szCs w:val="22"/>
        </w:rPr>
        <w:sectPr w:rsidR="00804B5E" w:rsidRPr="00E01239" w:rsidSect="001A2606">
          <w:pgSz w:w="16840" w:h="11907" w:orient="landscape" w:code="9"/>
          <w:pgMar w:top="1134" w:right="1701" w:bottom="1134" w:left="851" w:header="709" w:footer="782" w:gutter="0"/>
          <w:pgBorders w:offsetFrom="page">
            <w:top w:val="none" w:sz="0" w:space="14" w:color="000000" w:shadow="1"/>
            <w:left w:val="none" w:sz="55" w:space="20" w:color="000030" w:shadow="1" w:frame="1"/>
            <w:bottom w:val="none" w:sz="55" w:space="13" w:color="000030" w:shadow="1" w:frame="1"/>
            <w:right w:val="none" w:sz="0" w:space="14" w:color="0000B4" w:shadow="1"/>
          </w:pgBorders>
          <w:cols w:space="708"/>
          <w:docGrid w:linePitch="360"/>
        </w:sectPr>
      </w:pPr>
    </w:p>
    <w:p w14:paraId="7C71135F" w14:textId="77777777" w:rsidR="00804B5E" w:rsidRPr="00E01239" w:rsidRDefault="00804B5E" w:rsidP="009E5299">
      <w:pPr>
        <w:pStyle w:val="Titre3"/>
        <w:ind w:left="1418"/>
        <w:rPr>
          <w:rFonts w:asciiTheme="minorHAnsi" w:hAnsiTheme="minorHAnsi" w:cstheme="minorHAnsi"/>
        </w:rPr>
      </w:pPr>
      <w:bookmarkStart w:id="1296" w:name="_Toc43107464"/>
      <w:bookmarkStart w:id="1297" w:name="_Toc63285601"/>
      <w:bookmarkStart w:id="1298" w:name="_Toc116408772"/>
      <w:bookmarkStart w:id="1299" w:name="_Toc144654162"/>
      <w:r w:rsidRPr="00E01239">
        <w:rPr>
          <w:rFonts w:asciiTheme="minorHAnsi" w:hAnsiTheme="minorHAnsi" w:cstheme="minorHAnsi"/>
        </w:rPr>
        <w:lastRenderedPageBreak/>
        <w:t>Dispositif de rapportage</w:t>
      </w:r>
      <w:bookmarkEnd w:id="1296"/>
      <w:bookmarkEnd w:id="1297"/>
      <w:bookmarkEnd w:id="1298"/>
      <w:bookmarkEnd w:id="1299"/>
    </w:p>
    <w:p w14:paraId="19010C0A" w14:textId="5E094C24" w:rsidR="00804B5E" w:rsidRPr="00E01239" w:rsidRDefault="00804B5E"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Pour un meilleur suivi de la mise en œuvre du CGES, le dispositif de rapportage suivant est proposé</w:t>
      </w:r>
      <w:r w:rsidR="00C50404" w:rsidRPr="00E01239">
        <w:rPr>
          <w:rFonts w:asciiTheme="minorHAnsi" w:hAnsiTheme="minorHAnsi" w:cstheme="minorHAnsi"/>
          <w:sz w:val="22"/>
          <w:szCs w:val="22"/>
        </w:rPr>
        <w:t xml:space="preserve"> </w:t>
      </w:r>
      <w:r w:rsidRPr="00E01239">
        <w:rPr>
          <w:rFonts w:asciiTheme="minorHAnsi" w:hAnsiTheme="minorHAnsi" w:cstheme="minorHAnsi"/>
          <w:sz w:val="22"/>
          <w:szCs w:val="22"/>
        </w:rPr>
        <w:t>:</w:t>
      </w:r>
    </w:p>
    <w:p w14:paraId="58379E18" w14:textId="77777777"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Des rapports périodiques mensuels ou circonstanciés de mise en œuvre produits par les environnementalistes des entreprises adjudicataires des travaux et transmis à la mission de contrôle et à la coordination du Projet ;</w:t>
      </w:r>
    </w:p>
    <w:p w14:paraId="68B8DCFA" w14:textId="1112C791"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Des rapports trimestriels de surveillance de mise en œuvre à être produits par la mission de contrôle et transmis </w:t>
      </w:r>
      <w:r w:rsidR="00DE6BD4" w:rsidRPr="00E01239">
        <w:rPr>
          <w:rFonts w:asciiTheme="minorHAnsi" w:hAnsiTheme="minorHAnsi" w:cstheme="minorHAnsi"/>
          <w:sz w:val="22"/>
          <w:szCs w:val="22"/>
        </w:rPr>
        <w:t>aux différentes UCP</w:t>
      </w:r>
      <w:r w:rsidRPr="00E01239">
        <w:rPr>
          <w:rFonts w:asciiTheme="minorHAnsi" w:hAnsiTheme="minorHAnsi" w:cstheme="minorHAnsi"/>
          <w:sz w:val="22"/>
          <w:szCs w:val="22"/>
        </w:rPr>
        <w:t xml:space="preserve"> ;</w:t>
      </w:r>
    </w:p>
    <w:p w14:paraId="17024FFE" w14:textId="523DBCD1" w:rsidR="00804B5E" w:rsidRPr="00E01239" w:rsidRDefault="00804B5E" w:rsidP="00027669">
      <w:pPr>
        <w:pStyle w:val="Paragraphedeliste"/>
        <w:numPr>
          <w:ilvl w:val="0"/>
          <w:numId w:val="140"/>
        </w:numPr>
        <w:spacing w:before="120" w:line="280" w:lineRule="exact"/>
        <w:ind w:left="714" w:hanging="357"/>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Des rapports trimestriels de suivi de la mise en œuvre produits par les experts sauvegardes E&amp;S de </w:t>
      </w:r>
      <w:r w:rsidR="00394A82" w:rsidRPr="00E01239">
        <w:rPr>
          <w:rFonts w:asciiTheme="minorHAnsi" w:hAnsiTheme="minorHAnsi" w:cstheme="minorHAnsi"/>
          <w:sz w:val="22"/>
          <w:szCs w:val="22"/>
        </w:rPr>
        <w:t>l’</w:t>
      </w:r>
      <w:r w:rsidR="00DE6BD4" w:rsidRPr="00E01239">
        <w:rPr>
          <w:rFonts w:asciiTheme="minorHAnsi" w:hAnsiTheme="minorHAnsi" w:cstheme="minorHAnsi"/>
          <w:sz w:val="22"/>
          <w:szCs w:val="22"/>
        </w:rPr>
        <w:t>UCP</w:t>
      </w:r>
      <w:r w:rsidR="00394A82" w:rsidRPr="00E01239">
        <w:rPr>
          <w:rFonts w:asciiTheme="minorHAnsi" w:hAnsiTheme="minorHAnsi" w:cstheme="minorHAnsi"/>
          <w:sz w:val="22"/>
          <w:szCs w:val="22"/>
        </w:rPr>
        <w:t xml:space="preserve"> </w:t>
      </w:r>
      <w:r w:rsidR="00DE6BD4" w:rsidRPr="00E01239">
        <w:rPr>
          <w:rFonts w:asciiTheme="minorHAnsi" w:hAnsiTheme="minorHAnsi" w:cstheme="minorHAnsi"/>
          <w:sz w:val="22"/>
          <w:szCs w:val="22"/>
        </w:rPr>
        <w:t>FSRP</w:t>
      </w:r>
      <w:r w:rsidR="00394A82" w:rsidRPr="00E01239" w:rsidDel="00394A82">
        <w:rPr>
          <w:rFonts w:asciiTheme="minorHAnsi" w:hAnsiTheme="minorHAnsi" w:cstheme="minorHAnsi"/>
          <w:sz w:val="22"/>
          <w:szCs w:val="22"/>
        </w:rPr>
        <w:t xml:space="preserve"> </w:t>
      </w:r>
      <w:r w:rsidR="00DE6BD4" w:rsidRPr="00E01239">
        <w:rPr>
          <w:rFonts w:asciiTheme="minorHAnsi" w:hAnsiTheme="minorHAnsi" w:cstheme="minorHAnsi"/>
          <w:sz w:val="22"/>
          <w:szCs w:val="22"/>
        </w:rPr>
        <w:t>/MEPA et de l’UCP/FSRP</w:t>
      </w:r>
      <w:r w:rsidR="00394A82" w:rsidRPr="00E01239" w:rsidDel="00394A82">
        <w:rPr>
          <w:rFonts w:asciiTheme="minorHAnsi" w:hAnsiTheme="minorHAnsi" w:cstheme="minorHAnsi"/>
          <w:sz w:val="22"/>
          <w:szCs w:val="22"/>
        </w:rPr>
        <w:t xml:space="preserve"> </w:t>
      </w:r>
      <w:r w:rsidR="00DE6BD4" w:rsidRPr="00E01239">
        <w:rPr>
          <w:rFonts w:asciiTheme="minorHAnsi" w:hAnsiTheme="minorHAnsi" w:cstheme="minorHAnsi"/>
          <w:sz w:val="22"/>
          <w:szCs w:val="22"/>
        </w:rPr>
        <w:t>/MAERSA</w:t>
      </w:r>
      <w:r w:rsidR="00394A82" w:rsidRPr="00E01239">
        <w:rPr>
          <w:rFonts w:asciiTheme="minorHAnsi" w:hAnsiTheme="minorHAnsi" w:cstheme="minorHAnsi"/>
          <w:sz w:val="22"/>
          <w:szCs w:val="22"/>
        </w:rPr>
        <w:t xml:space="preserve"> </w:t>
      </w:r>
      <w:r w:rsidRPr="00E01239">
        <w:rPr>
          <w:rFonts w:asciiTheme="minorHAnsi" w:hAnsiTheme="minorHAnsi" w:cstheme="minorHAnsi"/>
          <w:sz w:val="22"/>
          <w:szCs w:val="22"/>
        </w:rPr>
        <w:t xml:space="preserve">qui seront transmis à la </w:t>
      </w:r>
      <w:r w:rsidR="00DE6BD4" w:rsidRPr="00E01239">
        <w:rPr>
          <w:rFonts w:asciiTheme="minorHAnsi" w:hAnsiTheme="minorHAnsi" w:cstheme="minorHAnsi"/>
          <w:sz w:val="22"/>
          <w:szCs w:val="22"/>
        </w:rPr>
        <w:t xml:space="preserve">Banque mondiale </w:t>
      </w:r>
      <w:r w:rsidRPr="00E01239">
        <w:rPr>
          <w:rFonts w:asciiTheme="minorHAnsi" w:hAnsiTheme="minorHAnsi" w:cstheme="minorHAnsi"/>
          <w:sz w:val="22"/>
          <w:szCs w:val="22"/>
        </w:rPr>
        <w:t>et à la DEEC.</w:t>
      </w:r>
    </w:p>
    <w:p w14:paraId="01EB633F" w14:textId="77777777" w:rsidR="00804B5E" w:rsidRPr="00E01239" w:rsidRDefault="00804B5E" w:rsidP="00002FDE">
      <w:pPr>
        <w:pStyle w:val="Paragraphedeliste"/>
        <w:spacing w:before="120" w:line="360" w:lineRule="exact"/>
        <w:ind w:left="0"/>
        <w:jc w:val="both"/>
        <w:rPr>
          <w:rFonts w:asciiTheme="minorHAnsi" w:hAnsiTheme="minorHAnsi" w:cstheme="minorHAnsi"/>
          <w:sz w:val="22"/>
          <w:szCs w:val="22"/>
        </w:rPr>
      </w:pPr>
    </w:p>
    <w:p w14:paraId="6E779DA5" w14:textId="77777777" w:rsidR="00002FDE" w:rsidRPr="00E01239" w:rsidRDefault="00002FDE" w:rsidP="009E5299">
      <w:pPr>
        <w:pStyle w:val="Titre2"/>
        <w:spacing w:before="120" w:line="280" w:lineRule="exact"/>
        <w:ind w:hanging="502"/>
        <w:rPr>
          <w:rFonts w:asciiTheme="minorHAnsi" w:hAnsiTheme="minorHAnsi" w:cstheme="minorHAnsi"/>
          <w:color w:val="auto"/>
        </w:rPr>
      </w:pPr>
      <w:bookmarkStart w:id="1300" w:name="_Toc63285592"/>
      <w:bookmarkStart w:id="1301" w:name="_Toc88861470"/>
      <w:bookmarkStart w:id="1302" w:name="_Toc130714101"/>
      <w:bookmarkStart w:id="1303" w:name="_Toc142378211"/>
      <w:bookmarkStart w:id="1304" w:name="_Toc144654163"/>
      <w:r w:rsidRPr="00E01239">
        <w:rPr>
          <w:rFonts w:asciiTheme="minorHAnsi" w:hAnsiTheme="minorHAnsi" w:cstheme="minorHAnsi"/>
          <w:color w:val="auto"/>
        </w:rPr>
        <w:t>PLAN DE REPONSE AUX VIOLENCES FAITES AUX FEMMES (VFF), A L’EXPLOITATION ET D’ABUS SEXUELS (EAS) ET AU HARCELEMENT SEXUEL (HS)</w:t>
      </w:r>
      <w:bookmarkEnd w:id="1300"/>
      <w:bookmarkEnd w:id="1301"/>
      <w:bookmarkEnd w:id="1302"/>
      <w:bookmarkEnd w:id="1303"/>
      <w:bookmarkEnd w:id="1304"/>
      <w:r w:rsidRPr="00E01239">
        <w:rPr>
          <w:rFonts w:asciiTheme="minorHAnsi" w:hAnsiTheme="minorHAnsi" w:cstheme="minorHAnsi"/>
          <w:color w:val="auto"/>
        </w:rPr>
        <w:t xml:space="preserve"> </w:t>
      </w:r>
    </w:p>
    <w:p w14:paraId="50885ACE" w14:textId="4AE91833" w:rsidR="005F390E" w:rsidRPr="00E01239" w:rsidRDefault="00002FDE"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Conformément au cadre environnemental et social de la Banque </w:t>
      </w:r>
      <w:r w:rsidR="000F0805" w:rsidRPr="00E01239">
        <w:rPr>
          <w:rFonts w:asciiTheme="minorHAnsi" w:hAnsiTheme="minorHAnsi" w:cstheme="minorHAnsi"/>
          <w:spacing w:val="-1"/>
          <w:sz w:val="22"/>
          <w:szCs w:val="22"/>
        </w:rPr>
        <w:t>m</w:t>
      </w:r>
      <w:r w:rsidRPr="00E01239">
        <w:rPr>
          <w:rFonts w:asciiTheme="minorHAnsi" w:hAnsiTheme="minorHAnsi" w:cstheme="minorHAnsi"/>
          <w:spacing w:val="-1"/>
          <w:sz w:val="22"/>
          <w:szCs w:val="22"/>
        </w:rPr>
        <w:t xml:space="preserve">ondiale notamment en matière de gestion des risques sociaux, un Plan de réponse aux violences basées sur le genre (VBG) et les violences contre les enfants (VCE) est préparé en volume séparé du présent CGES. </w:t>
      </w:r>
      <w:r w:rsidR="005F390E" w:rsidRPr="00E01239">
        <w:rPr>
          <w:rFonts w:asciiTheme="minorHAnsi" w:hAnsiTheme="minorHAnsi" w:cstheme="minorHAnsi"/>
          <w:spacing w:val="-1"/>
          <w:sz w:val="22"/>
          <w:szCs w:val="22"/>
        </w:rPr>
        <w:t xml:space="preserve">Ce document articulé autour de la prévention et de la prise en charge des cas de EAS/HS qui pourraient survenir au cours de la mise en œuvre du FSRP-SN. Il repose sur les principales actions suivantes : </w:t>
      </w:r>
    </w:p>
    <w:p w14:paraId="1A107F5C" w14:textId="05C3CF2E" w:rsidR="005F390E" w:rsidRPr="00E01239" w:rsidRDefault="005F390E"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Le recrutement d’un Spécialiste Genre et VBG (de préférence une femme) au sein de chacune des deux (2) Unités de Coordination du Projet (UCP) </w:t>
      </w:r>
      <w:r w:rsidR="00B23F04" w:rsidRPr="00E01239">
        <w:rPr>
          <w:rFonts w:asciiTheme="minorHAnsi" w:hAnsiTheme="minorHAnsi" w:cstheme="minorHAnsi"/>
          <w:spacing w:val="-1"/>
          <w:sz w:val="22"/>
          <w:szCs w:val="22"/>
        </w:rPr>
        <w:t xml:space="preserve">du </w:t>
      </w:r>
      <w:r w:rsidRPr="00E01239">
        <w:rPr>
          <w:rFonts w:asciiTheme="minorHAnsi" w:hAnsiTheme="minorHAnsi" w:cstheme="minorHAnsi"/>
          <w:spacing w:val="-1"/>
          <w:sz w:val="22"/>
          <w:szCs w:val="22"/>
        </w:rPr>
        <w:t xml:space="preserve">FSRP-SN (UCP </w:t>
      </w:r>
      <w:r w:rsidR="00D342E9" w:rsidRPr="00E01239">
        <w:rPr>
          <w:rFonts w:asciiTheme="minorHAnsi" w:hAnsiTheme="minorHAnsi" w:cstheme="minorHAnsi"/>
          <w:spacing w:val="-1"/>
          <w:sz w:val="22"/>
          <w:szCs w:val="22"/>
        </w:rPr>
        <w:t>FSRP /</w:t>
      </w:r>
      <w:r w:rsidRPr="00E01239">
        <w:rPr>
          <w:rFonts w:asciiTheme="minorHAnsi" w:hAnsiTheme="minorHAnsi" w:cstheme="minorHAnsi"/>
          <w:spacing w:val="-1"/>
          <w:sz w:val="22"/>
          <w:szCs w:val="22"/>
        </w:rPr>
        <w:t xml:space="preserve">MEPA &amp; UCP </w:t>
      </w:r>
      <w:r w:rsidR="00D342E9" w:rsidRPr="00E01239">
        <w:rPr>
          <w:rFonts w:asciiTheme="minorHAnsi" w:hAnsiTheme="minorHAnsi" w:cstheme="minorHAnsi"/>
          <w:spacing w:val="-1"/>
          <w:sz w:val="22"/>
          <w:szCs w:val="22"/>
        </w:rPr>
        <w:t>FSRP /</w:t>
      </w:r>
      <w:r w:rsidRPr="00E01239">
        <w:rPr>
          <w:rFonts w:asciiTheme="minorHAnsi" w:hAnsiTheme="minorHAnsi" w:cstheme="minorHAnsi"/>
          <w:spacing w:val="-1"/>
          <w:sz w:val="22"/>
          <w:szCs w:val="22"/>
        </w:rPr>
        <w:t>MAERSA)</w:t>
      </w:r>
      <w:r w:rsidR="0005531F"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w:t>
      </w:r>
    </w:p>
    <w:p w14:paraId="05F29CD4" w14:textId="2148FBB2" w:rsidR="005F390E" w:rsidRPr="00E01239" w:rsidRDefault="005F390E"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 prise en charge des aspects genre et VBG dans l’élaboration des cahiers des charges des fournisseurs et prestataires du FSRP-SN</w:t>
      </w:r>
      <w:r w:rsidR="003E7938"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w:t>
      </w:r>
    </w:p>
    <w:p w14:paraId="47773187" w14:textId="77777777" w:rsidR="005F390E" w:rsidRPr="00E01239" w:rsidRDefault="005F390E"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L’élaboration et la signature d’un Code de Conduite à l’intention de tout le personnel intervenant dans la mise en œuvre du Projet (Cf. des modèles de code de conduite sont annexés au document) ; </w:t>
      </w:r>
    </w:p>
    <w:p w14:paraId="42B3F0F1" w14:textId="77777777" w:rsidR="005F390E" w:rsidRPr="00E01239" w:rsidRDefault="005F390E"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 formation des acteurs du FSRP-SN et des partenaires de mise en œuvre sur le genre, les VBG/EAS/HS et le code de conduite ;</w:t>
      </w:r>
    </w:p>
    <w:p w14:paraId="0C2F32C8" w14:textId="77777777" w:rsidR="005F390E" w:rsidRPr="00E01239" w:rsidRDefault="005F390E"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 cartographie et l’évaluation des capacités des services médicaux, psychologiques/psychosociaux, et juridiques existants, y compris une analyse des offres de services, dans le but d’identifier un ou des tiers indépendants, capables de fournir des services de prévention (sensibilisation, formation) et de prise en charge des cas de violences basées sur le genre ;</w:t>
      </w:r>
    </w:p>
    <w:p w14:paraId="09BBE559" w14:textId="77777777" w:rsidR="005F390E" w:rsidRPr="00E01239" w:rsidRDefault="005F390E"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L’identification de portes d’entrées VBG au sein des comités de gestion des plaintes en vue d’assurer le référencement vers les services de prise en charge/tiers indépendants ;</w:t>
      </w:r>
    </w:p>
    <w:p w14:paraId="085A2DC6" w14:textId="77777777" w:rsidR="005F390E" w:rsidRPr="00E01239" w:rsidRDefault="005F390E"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L’identification d’un ou de Tiers indépendants/fournisseurs de services et signature de protocoles d’accord en vue de la prise en charge des survivants (es) ;</w:t>
      </w:r>
    </w:p>
    <w:p w14:paraId="069ABF61" w14:textId="1904E914" w:rsidR="005F390E" w:rsidRPr="00E01239" w:rsidRDefault="005F390E"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 prise en compte des VBG – EAS/ES pendant la phase opérationnelle des activités financé</w:t>
      </w:r>
      <w:r w:rsidR="006A6C18">
        <w:rPr>
          <w:rFonts w:asciiTheme="minorHAnsi" w:hAnsiTheme="minorHAnsi" w:cstheme="minorHAnsi"/>
          <w:spacing w:val="-1"/>
          <w:sz w:val="22"/>
          <w:szCs w:val="22"/>
        </w:rPr>
        <w:t>e</w:t>
      </w:r>
      <w:r w:rsidRPr="00E01239">
        <w:rPr>
          <w:rFonts w:asciiTheme="minorHAnsi" w:hAnsiTheme="minorHAnsi" w:cstheme="minorHAnsi"/>
          <w:spacing w:val="-1"/>
          <w:sz w:val="22"/>
          <w:szCs w:val="22"/>
        </w:rPr>
        <w:t>s par le projet</w:t>
      </w:r>
    </w:p>
    <w:p w14:paraId="79AC936C" w14:textId="77777777" w:rsidR="005F390E" w:rsidRPr="00E01239" w:rsidRDefault="005F390E"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 communication en vue de la diffusion du plan de prévention et de prise en charge des EAS/HS auprès des parties prenantes, notamment des communautés affectées.</w:t>
      </w:r>
    </w:p>
    <w:p w14:paraId="7DE7C0AB" w14:textId="0D394BC5" w:rsidR="00002FDE" w:rsidRPr="00E01239" w:rsidRDefault="00002FDE"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Un code de conduite y afférente est également fourni en annexe </w:t>
      </w:r>
      <w:r w:rsidR="00453929" w:rsidRPr="00E01239">
        <w:rPr>
          <w:rFonts w:asciiTheme="minorHAnsi" w:hAnsiTheme="minorHAnsi" w:cstheme="minorHAnsi"/>
          <w:spacing w:val="-1"/>
          <w:sz w:val="22"/>
          <w:szCs w:val="22"/>
        </w:rPr>
        <w:t xml:space="preserve">1 </w:t>
      </w:r>
      <w:r w:rsidRPr="00E01239">
        <w:rPr>
          <w:rFonts w:asciiTheme="minorHAnsi" w:hAnsiTheme="minorHAnsi" w:cstheme="minorHAnsi"/>
          <w:spacing w:val="-1"/>
          <w:sz w:val="22"/>
          <w:szCs w:val="22"/>
        </w:rPr>
        <w:t>du présent CGES.</w:t>
      </w:r>
    </w:p>
    <w:p w14:paraId="3ED75888" w14:textId="77777777" w:rsidR="00002FDE" w:rsidRPr="00E01239" w:rsidRDefault="00002FDE" w:rsidP="00002FDE">
      <w:pPr>
        <w:ind w:left="720"/>
        <w:jc w:val="both"/>
        <w:rPr>
          <w:rFonts w:asciiTheme="minorHAnsi" w:hAnsiTheme="minorHAnsi" w:cstheme="minorHAnsi"/>
          <w:sz w:val="22"/>
          <w:szCs w:val="22"/>
        </w:rPr>
      </w:pPr>
    </w:p>
    <w:p w14:paraId="666C2F59" w14:textId="77777777" w:rsidR="00002FDE" w:rsidRPr="00E01239" w:rsidRDefault="00002FDE" w:rsidP="0011733B">
      <w:pPr>
        <w:pStyle w:val="Titre2"/>
        <w:tabs>
          <w:tab w:val="clear" w:pos="-720"/>
          <w:tab w:val="left" w:pos="567"/>
        </w:tabs>
        <w:ind w:hanging="502"/>
        <w:rPr>
          <w:rFonts w:asciiTheme="minorHAnsi" w:hAnsiTheme="minorHAnsi" w:cstheme="minorHAnsi"/>
          <w:color w:val="auto"/>
        </w:rPr>
      </w:pPr>
      <w:bookmarkStart w:id="1305" w:name="_Toc63285593"/>
      <w:bookmarkStart w:id="1306" w:name="_Toc88861471"/>
      <w:bookmarkStart w:id="1307" w:name="_Toc130714102"/>
      <w:bookmarkStart w:id="1308" w:name="_Toc142378212"/>
      <w:bookmarkStart w:id="1309" w:name="_Toc144654164"/>
      <w:r w:rsidRPr="00E01239">
        <w:rPr>
          <w:rFonts w:asciiTheme="minorHAnsi" w:hAnsiTheme="minorHAnsi" w:cstheme="minorHAnsi"/>
          <w:color w:val="auto"/>
        </w:rPr>
        <w:t>PROCEDURES DE MOBILISATION DES PARTIES PRENANTES</w:t>
      </w:r>
      <w:bookmarkEnd w:id="1305"/>
      <w:bookmarkEnd w:id="1306"/>
      <w:bookmarkEnd w:id="1307"/>
      <w:bookmarkEnd w:id="1308"/>
      <w:bookmarkEnd w:id="1309"/>
      <w:r w:rsidRPr="00E01239">
        <w:rPr>
          <w:rFonts w:asciiTheme="minorHAnsi" w:hAnsiTheme="minorHAnsi" w:cstheme="minorHAnsi"/>
          <w:color w:val="auto"/>
        </w:rPr>
        <w:t xml:space="preserve"> </w:t>
      </w:r>
    </w:p>
    <w:p w14:paraId="49189E3E" w14:textId="725DF190" w:rsidR="00D911FD" w:rsidRPr="00E01239" w:rsidRDefault="00002FDE"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Conformément aux termes de référence de la mission et à la NES 10, un Plan de Mobilisation des Parties Prenantes a été préparé dans un volume séparé au présent CGES.</w:t>
      </w:r>
      <w:r w:rsidR="00D911FD" w:rsidRPr="00E01239">
        <w:rPr>
          <w:rFonts w:asciiTheme="minorHAnsi" w:hAnsiTheme="minorHAnsi" w:cstheme="minorHAnsi"/>
          <w:spacing w:val="-1"/>
          <w:sz w:val="22"/>
          <w:szCs w:val="22"/>
        </w:rPr>
        <w:t xml:space="preserve"> </w:t>
      </w:r>
      <w:r w:rsidR="0096477D" w:rsidRPr="00E01239">
        <w:rPr>
          <w:rFonts w:asciiTheme="minorHAnsi" w:hAnsiTheme="minorHAnsi" w:cstheme="minorHAnsi"/>
          <w:spacing w:val="-1"/>
          <w:sz w:val="22"/>
          <w:szCs w:val="22"/>
        </w:rPr>
        <w:t xml:space="preserve">Plusieurs </w:t>
      </w:r>
      <w:r w:rsidR="00D911FD" w:rsidRPr="00E01239">
        <w:rPr>
          <w:rFonts w:asciiTheme="minorHAnsi" w:hAnsiTheme="minorHAnsi" w:cstheme="minorHAnsi"/>
          <w:spacing w:val="-1"/>
          <w:sz w:val="22"/>
          <w:szCs w:val="22"/>
        </w:rPr>
        <w:t>objectif</w:t>
      </w:r>
      <w:r w:rsidR="0096477D" w:rsidRPr="00E01239">
        <w:rPr>
          <w:rFonts w:asciiTheme="minorHAnsi" w:hAnsiTheme="minorHAnsi" w:cstheme="minorHAnsi"/>
          <w:spacing w:val="-1"/>
          <w:sz w:val="22"/>
          <w:szCs w:val="22"/>
        </w:rPr>
        <w:t>s</w:t>
      </w:r>
      <w:r w:rsidR="00D911FD" w:rsidRPr="00E01239">
        <w:rPr>
          <w:rFonts w:asciiTheme="minorHAnsi" w:hAnsiTheme="minorHAnsi" w:cstheme="minorHAnsi"/>
          <w:spacing w:val="-1"/>
          <w:sz w:val="22"/>
          <w:szCs w:val="22"/>
        </w:rPr>
        <w:t xml:space="preserve"> </w:t>
      </w:r>
      <w:r w:rsidR="0096477D" w:rsidRPr="00E01239">
        <w:rPr>
          <w:rFonts w:asciiTheme="minorHAnsi" w:hAnsiTheme="minorHAnsi" w:cstheme="minorHAnsi"/>
          <w:spacing w:val="-1"/>
          <w:sz w:val="22"/>
          <w:szCs w:val="22"/>
        </w:rPr>
        <w:t xml:space="preserve">ont été atteints dans le cadre de l’élaboration du </w:t>
      </w:r>
      <w:r w:rsidR="00D911FD" w:rsidRPr="00E01239">
        <w:rPr>
          <w:rFonts w:asciiTheme="minorHAnsi" w:hAnsiTheme="minorHAnsi" w:cstheme="minorHAnsi"/>
          <w:spacing w:val="-1"/>
          <w:sz w:val="22"/>
          <w:szCs w:val="22"/>
        </w:rPr>
        <w:t>PMPP du FSRP</w:t>
      </w:r>
      <w:r w:rsidR="00B23F04" w:rsidRPr="00E01239">
        <w:rPr>
          <w:rFonts w:asciiTheme="minorHAnsi" w:hAnsiTheme="minorHAnsi" w:cstheme="minorHAnsi"/>
          <w:spacing w:val="-1"/>
          <w:sz w:val="22"/>
          <w:szCs w:val="22"/>
        </w:rPr>
        <w:t>-SN</w:t>
      </w:r>
      <w:r w:rsidR="0096477D" w:rsidRPr="00E01239">
        <w:rPr>
          <w:rFonts w:asciiTheme="minorHAnsi" w:hAnsiTheme="minorHAnsi" w:cstheme="minorHAnsi"/>
          <w:spacing w:val="-1"/>
          <w:sz w:val="22"/>
          <w:szCs w:val="22"/>
        </w:rPr>
        <w:t xml:space="preserve"> </w:t>
      </w:r>
      <w:r w:rsidR="00D911FD" w:rsidRPr="00E01239">
        <w:rPr>
          <w:rFonts w:asciiTheme="minorHAnsi" w:hAnsiTheme="minorHAnsi" w:cstheme="minorHAnsi"/>
          <w:spacing w:val="-1"/>
          <w:sz w:val="22"/>
          <w:szCs w:val="22"/>
        </w:rPr>
        <w:t xml:space="preserve">: </w:t>
      </w:r>
    </w:p>
    <w:p w14:paraId="507B8DBC" w14:textId="6B523803" w:rsidR="00D911FD" w:rsidRPr="00E01239" w:rsidRDefault="00DE4FC6"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lastRenderedPageBreak/>
        <w:t>L’établissement</w:t>
      </w:r>
      <w:r w:rsidR="00D911FD" w:rsidRPr="00E01239">
        <w:rPr>
          <w:rFonts w:asciiTheme="minorHAnsi" w:hAnsiTheme="minorHAnsi" w:cstheme="minorHAnsi"/>
          <w:spacing w:val="-1"/>
          <w:sz w:val="22"/>
          <w:szCs w:val="22"/>
        </w:rPr>
        <w:t xml:space="preserve"> d’une approche systématique de mobilisation des parties prenantes qui permettra au Gouvernement du Sénégal de bien identifier ces dernières, de nouer et de maintenir avec elles, en particulier les parties touchées par le FSRP, une relation constructive ;</w:t>
      </w:r>
    </w:p>
    <w:p w14:paraId="2EF93DA4" w14:textId="4C3BC2FA" w:rsidR="00D911FD" w:rsidRPr="00E01239" w:rsidRDefault="00DE4FC6"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L’évaluation</w:t>
      </w:r>
      <w:r w:rsidR="00D911FD" w:rsidRPr="00E01239">
        <w:rPr>
          <w:rFonts w:asciiTheme="minorHAnsi" w:hAnsiTheme="minorHAnsi" w:cstheme="minorHAnsi"/>
          <w:spacing w:val="-1"/>
          <w:sz w:val="22"/>
          <w:szCs w:val="22"/>
        </w:rPr>
        <w:t xml:space="preserve"> du niveau d’intérêt et d’adhésion des parties prenantes et permettre que leurs opinions soient prises en compte dans la conception du Projet et sa performance environnementale et sociale ;</w:t>
      </w:r>
    </w:p>
    <w:p w14:paraId="2ABE75FA" w14:textId="2BB3BC46" w:rsidR="00D911FD" w:rsidRPr="00E01239" w:rsidRDefault="00DE4FC6"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L’encouragement</w:t>
      </w:r>
      <w:r w:rsidR="00D911FD" w:rsidRPr="00E01239">
        <w:rPr>
          <w:rFonts w:asciiTheme="minorHAnsi" w:hAnsiTheme="minorHAnsi" w:cstheme="minorHAnsi"/>
          <w:spacing w:val="-1"/>
          <w:sz w:val="22"/>
          <w:szCs w:val="22"/>
        </w:rPr>
        <w:t xml:space="preserve"> à la mobilisation effective de toutes les parties touchées par le FSRP pendant toute sa durée de vie sur les questions qui pourraient éventuellement avoir une incidence sur elles et fournir les moyens d’y parvenir ;</w:t>
      </w:r>
    </w:p>
    <w:p w14:paraId="67C0B08A" w14:textId="294A9FE6" w:rsidR="00D911FD" w:rsidRPr="00E01239" w:rsidRDefault="00DE4FC6"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L’assurance</w:t>
      </w:r>
      <w:r w:rsidR="00D911FD" w:rsidRPr="00E01239">
        <w:rPr>
          <w:rFonts w:asciiTheme="minorHAnsi" w:hAnsiTheme="minorHAnsi" w:cstheme="minorHAnsi"/>
          <w:spacing w:val="-1"/>
          <w:sz w:val="22"/>
          <w:szCs w:val="22"/>
        </w:rPr>
        <w:t xml:space="preserve"> que les parties prenantes reçoivent en temps voulu et de manière compréhensible, accessible et appropriée l’information relative aux risques et effets environnementaux et sociaux du FSRP-SN</w:t>
      </w:r>
      <w:r w:rsidRPr="00E01239">
        <w:rPr>
          <w:rFonts w:asciiTheme="minorHAnsi" w:hAnsiTheme="minorHAnsi" w:cstheme="minorHAnsi"/>
          <w:spacing w:val="-1"/>
          <w:sz w:val="22"/>
          <w:szCs w:val="22"/>
        </w:rPr>
        <w:t xml:space="preserve"> </w:t>
      </w:r>
      <w:r w:rsidR="00D911FD" w:rsidRPr="00E01239">
        <w:rPr>
          <w:rFonts w:asciiTheme="minorHAnsi" w:hAnsiTheme="minorHAnsi" w:cstheme="minorHAnsi"/>
          <w:spacing w:val="-1"/>
          <w:sz w:val="22"/>
          <w:szCs w:val="22"/>
        </w:rPr>
        <w:t>;</w:t>
      </w:r>
    </w:p>
    <w:p w14:paraId="66418B3A" w14:textId="2EE5058F" w:rsidR="00D911FD" w:rsidRPr="00E01239" w:rsidRDefault="00DE4FC6" w:rsidP="00027669">
      <w:pPr>
        <w:pStyle w:val="Paragraphedeliste"/>
        <w:numPr>
          <w:ilvl w:val="0"/>
          <w:numId w:val="161"/>
        </w:num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w:t>
      </w:r>
      <w:r w:rsidR="00D911FD" w:rsidRPr="00E01239">
        <w:rPr>
          <w:rFonts w:asciiTheme="minorHAnsi" w:hAnsiTheme="minorHAnsi" w:cstheme="minorHAnsi"/>
          <w:spacing w:val="-1"/>
          <w:sz w:val="22"/>
          <w:szCs w:val="22"/>
        </w:rPr>
        <w:t xml:space="preserve"> dotation des parties touchées par le projet et des groupes vulnérables en moyens permettant aisément à toutes d’évoquer leurs préoccupations et de porter plainte, et au Gouvernement du Sénégal d’y répondre et de les gérer. </w:t>
      </w:r>
    </w:p>
    <w:p w14:paraId="7B871BE4" w14:textId="77777777" w:rsidR="00D911FD" w:rsidRPr="00E01239" w:rsidRDefault="00D911FD"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Par conséquent, le présent PMPP qui est intégré à l’évaluation environnementale et sociale et à la conception et la mise en œuvre du FSRP-SN, tel que préconisé dans la NES n°1, décrit les moyens, les échéanciers et modalités de mobilisation des parties prenantes du projet.</w:t>
      </w:r>
    </w:p>
    <w:p w14:paraId="0945E248" w14:textId="231311F9" w:rsidR="00D911FD" w:rsidRPr="00E01239" w:rsidRDefault="00D911FD"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Il discute également du processus de communication avec les parties prenantes aux fins de recueillir leurs avis et préoccupations, d’une part, et de leur fournir un retour d'information concernant le projet et toute activité y liée, d’autre part.</w:t>
      </w:r>
      <w:r w:rsidR="0096477D" w:rsidRPr="00E01239">
        <w:rPr>
          <w:rFonts w:asciiTheme="minorHAnsi" w:hAnsiTheme="minorHAnsi" w:cstheme="minorHAnsi"/>
          <w:spacing w:val="-1"/>
          <w:sz w:val="22"/>
          <w:szCs w:val="22"/>
        </w:rPr>
        <w:t xml:space="preserve"> </w:t>
      </w:r>
      <w:r w:rsidR="00025A2D" w:rsidRPr="00E01239">
        <w:rPr>
          <w:rFonts w:asciiTheme="minorHAnsi" w:hAnsiTheme="minorHAnsi" w:cstheme="minorHAnsi"/>
          <w:spacing w:val="-1"/>
          <w:sz w:val="22"/>
          <w:szCs w:val="22"/>
        </w:rPr>
        <w:t>Ledit</w:t>
      </w:r>
      <w:r w:rsidR="0096477D" w:rsidRPr="00E01239">
        <w:rPr>
          <w:rFonts w:asciiTheme="minorHAnsi" w:hAnsiTheme="minorHAnsi" w:cstheme="minorHAnsi"/>
          <w:spacing w:val="-1"/>
          <w:sz w:val="22"/>
          <w:szCs w:val="22"/>
        </w:rPr>
        <w:t xml:space="preserve"> document présente également un mécanisme de gestion des plaintes global qui intègre tous les types de griefs susceptibles d’être enregistrés dans le cadre du Programme.</w:t>
      </w:r>
    </w:p>
    <w:p w14:paraId="0EAE88BF" w14:textId="58C0B4DE" w:rsidR="005F390E" w:rsidRPr="00E01239" w:rsidRDefault="005F390E" w:rsidP="00002FDE">
      <w:pPr>
        <w:spacing w:before="120" w:line="360" w:lineRule="exact"/>
        <w:jc w:val="both"/>
        <w:rPr>
          <w:rFonts w:asciiTheme="minorHAnsi" w:hAnsiTheme="minorHAnsi" w:cstheme="minorHAnsi"/>
          <w:spacing w:val="-1"/>
          <w:sz w:val="22"/>
          <w:szCs w:val="22"/>
        </w:rPr>
      </w:pPr>
    </w:p>
    <w:p w14:paraId="63C02949" w14:textId="77777777" w:rsidR="00002FDE" w:rsidRPr="00E01239" w:rsidRDefault="00002FDE" w:rsidP="0011733B">
      <w:pPr>
        <w:pStyle w:val="Titre2"/>
        <w:tabs>
          <w:tab w:val="clear" w:pos="-720"/>
          <w:tab w:val="left" w:pos="567"/>
        </w:tabs>
        <w:ind w:hanging="502"/>
        <w:rPr>
          <w:rFonts w:asciiTheme="minorHAnsi" w:hAnsiTheme="minorHAnsi" w:cstheme="minorHAnsi"/>
          <w:color w:val="auto"/>
        </w:rPr>
      </w:pPr>
      <w:bookmarkStart w:id="1310" w:name="_Toc63285594"/>
      <w:bookmarkStart w:id="1311" w:name="_Toc88861472"/>
      <w:bookmarkStart w:id="1312" w:name="_Toc130714103"/>
      <w:bookmarkStart w:id="1313" w:name="_Toc142378213"/>
      <w:bookmarkStart w:id="1314" w:name="_Toc144654165"/>
      <w:r w:rsidRPr="00E01239">
        <w:rPr>
          <w:rFonts w:asciiTheme="minorHAnsi" w:hAnsiTheme="minorHAnsi" w:cstheme="minorHAnsi"/>
          <w:color w:val="auto"/>
        </w:rPr>
        <w:t>PROCEDURES DE GESTION DE LA MAIN D’ŒUVRE</w:t>
      </w:r>
      <w:bookmarkEnd w:id="1310"/>
      <w:bookmarkEnd w:id="1311"/>
      <w:bookmarkEnd w:id="1312"/>
      <w:bookmarkEnd w:id="1313"/>
      <w:bookmarkEnd w:id="1314"/>
    </w:p>
    <w:p w14:paraId="4E708188" w14:textId="27354021" w:rsidR="0096477D" w:rsidRPr="00E01239" w:rsidRDefault="00002FDE"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Conformément à la NES 2, une Procédure de la Gestion de la Main d’œuvre a été préparé dans un volume séparé au présent CGES.</w:t>
      </w:r>
      <w:r w:rsidR="0096477D" w:rsidRPr="00E01239">
        <w:rPr>
          <w:rFonts w:asciiTheme="minorHAnsi" w:hAnsiTheme="minorHAnsi" w:cstheme="minorHAnsi"/>
          <w:spacing w:val="-1"/>
          <w:sz w:val="22"/>
          <w:szCs w:val="22"/>
        </w:rPr>
        <w:t xml:space="preserve"> Le Plan de Gestion de la Main d’œuvre du présent Projet fournit un ensemble de procédures qui permettront de : </w:t>
      </w:r>
    </w:p>
    <w:p w14:paraId="4D2617CC" w14:textId="77777777" w:rsidR="0096477D" w:rsidRPr="00E01239" w:rsidRDefault="0096477D" w:rsidP="00027669">
      <w:pPr>
        <w:pStyle w:val="Paragraphedeliste"/>
        <w:numPr>
          <w:ilvl w:val="0"/>
          <w:numId w:val="162"/>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Respecter et protéger les principes et les droits fondamentaux des travailleurs ; </w:t>
      </w:r>
    </w:p>
    <w:p w14:paraId="496BBB56" w14:textId="77777777" w:rsidR="0096477D" w:rsidRPr="00E01239" w:rsidRDefault="0096477D" w:rsidP="00027669">
      <w:pPr>
        <w:pStyle w:val="Paragraphedeliste"/>
        <w:numPr>
          <w:ilvl w:val="0"/>
          <w:numId w:val="162"/>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Promouvoir le travail décent conformément aux conventions de l’OIT n°29 et n°105 (travail forcé et abolition du travail forcé), n°87 (liberté syndicale), n°98 (droit d’organisation et de négociation collective), n°100 et n°111 (égalité de rémunération et discrimination), n°138 (âge minimum), n°182 (pires formes de travail des enfants) ; </w:t>
      </w:r>
    </w:p>
    <w:p w14:paraId="44FE9DFF" w14:textId="77777777" w:rsidR="0096477D" w:rsidRPr="00E01239" w:rsidRDefault="0096477D" w:rsidP="00027669">
      <w:pPr>
        <w:pStyle w:val="Paragraphedeliste"/>
        <w:numPr>
          <w:ilvl w:val="0"/>
          <w:numId w:val="162"/>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Promouvoir le traitement équitable, la non-discrimination et l’égalité des chances pour l’ensemble des travailleurs ; </w:t>
      </w:r>
    </w:p>
    <w:p w14:paraId="77000B9C" w14:textId="77777777" w:rsidR="0096477D" w:rsidRPr="00E01239" w:rsidRDefault="0096477D" w:rsidP="00027669">
      <w:pPr>
        <w:pStyle w:val="Paragraphedeliste"/>
        <w:numPr>
          <w:ilvl w:val="0"/>
          <w:numId w:val="162"/>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Instaurer, maintenir et améliorer une relation saine entre l’équipe dirigeante et les travailleurs ;</w:t>
      </w:r>
    </w:p>
    <w:p w14:paraId="57CA66EB" w14:textId="77777777" w:rsidR="0096477D" w:rsidRPr="00E01239" w:rsidRDefault="0096477D" w:rsidP="00027669">
      <w:pPr>
        <w:pStyle w:val="Paragraphedeliste"/>
        <w:numPr>
          <w:ilvl w:val="0"/>
          <w:numId w:val="162"/>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Protéger et promouvoir la sécurité et la santé des travailleurs, notamment en favorisant des conditions de travail sûres et saines ; </w:t>
      </w:r>
    </w:p>
    <w:p w14:paraId="0ADB19F8" w14:textId="77777777" w:rsidR="0096477D" w:rsidRPr="00E01239" w:rsidRDefault="0096477D" w:rsidP="00027669">
      <w:pPr>
        <w:pStyle w:val="Paragraphedeliste"/>
        <w:numPr>
          <w:ilvl w:val="0"/>
          <w:numId w:val="162"/>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Empêcher le recours au travail forcé et au travail des enfants (tels que définis par l’OIT, le Code du Travail Sénégalais et la NES n°2 de la Banque mondiale) ; </w:t>
      </w:r>
    </w:p>
    <w:p w14:paraId="127FF558" w14:textId="77777777" w:rsidR="0096477D" w:rsidRPr="00E01239" w:rsidRDefault="0096477D" w:rsidP="00027669">
      <w:pPr>
        <w:pStyle w:val="Paragraphedeliste"/>
        <w:numPr>
          <w:ilvl w:val="0"/>
          <w:numId w:val="162"/>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Promouvoir le bien être, l’hygiène, la santé et la sécurité des travailleurs sur leurs lieux de travail et prévenir les infections et maladies sexuellement transmissibles ; protéger les travailleurs, notamment ceux qui sont vulnérables, telles que les femmes, les personnes handicapées, les enfants mineurs, etc. ;</w:t>
      </w:r>
    </w:p>
    <w:p w14:paraId="51F3F7ED" w14:textId="77777777" w:rsidR="0096477D" w:rsidRPr="00E01239" w:rsidRDefault="0096477D" w:rsidP="00027669">
      <w:pPr>
        <w:pStyle w:val="Paragraphedeliste"/>
        <w:numPr>
          <w:ilvl w:val="0"/>
          <w:numId w:val="162"/>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Soutenir les principes de liberté d’association et de conventions collectives des travailleurs en accord avec le droit sénégalais ;</w:t>
      </w:r>
    </w:p>
    <w:p w14:paraId="177B1977" w14:textId="77777777" w:rsidR="0096477D" w:rsidRPr="00E01239" w:rsidRDefault="0096477D" w:rsidP="00027669">
      <w:pPr>
        <w:pStyle w:val="Paragraphedeliste"/>
        <w:numPr>
          <w:ilvl w:val="0"/>
          <w:numId w:val="162"/>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lastRenderedPageBreak/>
        <w:t>Fournir aux travailleurs du projet des moyens faciles de faire part de leurs préoccupations sur le lieu de travail.</w:t>
      </w:r>
    </w:p>
    <w:p w14:paraId="44361332" w14:textId="77777777" w:rsidR="00002FDE" w:rsidRPr="00E01239" w:rsidRDefault="00002FDE" w:rsidP="00263B8A">
      <w:pPr>
        <w:spacing w:before="120" w:line="280" w:lineRule="exact"/>
        <w:rPr>
          <w:rFonts w:asciiTheme="minorHAnsi" w:hAnsiTheme="minorHAnsi" w:cstheme="minorHAnsi"/>
          <w:sz w:val="22"/>
          <w:szCs w:val="22"/>
        </w:rPr>
      </w:pPr>
    </w:p>
    <w:p w14:paraId="698B315D" w14:textId="77777777" w:rsidR="00002FDE" w:rsidRPr="00E01239" w:rsidRDefault="00002FDE" w:rsidP="009E5299">
      <w:pPr>
        <w:pStyle w:val="Titre2"/>
        <w:tabs>
          <w:tab w:val="clear" w:pos="-720"/>
          <w:tab w:val="left" w:pos="567"/>
        </w:tabs>
        <w:ind w:hanging="502"/>
        <w:rPr>
          <w:rFonts w:asciiTheme="minorHAnsi" w:hAnsiTheme="minorHAnsi" w:cstheme="minorHAnsi"/>
          <w:color w:val="auto"/>
        </w:rPr>
      </w:pPr>
      <w:bookmarkStart w:id="1315" w:name="_Toc63285595"/>
      <w:bookmarkStart w:id="1316" w:name="_Toc88861473"/>
      <w:bookmarkStart w:id="1317" w:name="_Toc130714104"/>
      <w:bookmarkStart w:id="1318" w:name="_Toc142378214"/>
      <w:bookmarkStart w:id="1319" w:name="_Toc144654166"/>
      <w:r w:rsidRPr="00E01239">
        <w:rPr>
          <w:rFonts w:asciiTheme="minorHAnsi" w:hAnsiTheme="minorHAnsi" w:cstheme="minorHAnsi"/>
          <w:color w:val="auto"/>
        </w:rPr>
        <w:t>PROCEDURES DE GESTION DES PLAINTES</w:t>
      </w:r>
      <w:bookmarkEnd w:id="1315"/>
      <w:bookmarkEnd w:id="1316"/>
      <w:bookmarkEnd w:id="1317"/>
      <w:bookmarkEnd w:id="1318"/>
      <w:bookmarkEnd w:id="1319"/>
    </w:p>
    <w:p w14:paraId="1A604D99" w14:textId="1024C45F" w:rsidR="00FA2500" w:rsidRPr="00E01239" w:rsidRDefault="00FA2500" w:rsidP="00263B8A">
      <w:pPr>
        <w:spacing w:before="120" w:line="280" w:lineRule="exact"/>
        <w:jc w:val="both"/>
        <w:rPr>
          <w:rFonts w:asciiTheme="minorHAnsi" w:hAnsiTheme="minorHAnsi" w:cstheme="minorHAnsi"/>
          <w:spacing w:val="-1"/>
          <w:sz w:val="22"/>
          <w:szCs w:val="22"/>
        </w:rPr>
      </w:pPr>
      <w:bookmarkStart w:id="1320" w:name="_Toc63285602"/>
      <w:bookmarkStart w:id="1321" w:name="_Toc88861480"/>
      <w:bookmarkStart w:id="1322" w:name="_Toc130714105"/>
      <w:r w:rsidRPr="00E01239">
        <w:rPr>
          <w:rFonts w:asciiTheme="minorHAnsi" w:hAnsiTheme="minorHAnsi" w:cstheme="minorHAnsi"/>
          <w:spacing w:val="-1"/>
          <w:sz w:val="22"/>
          <w:szCs w:val="22"/>
        </w:rPr>
        <w:t xml:space="preserve">Conformément au CES de la Banque </w:t>
      </w:r>
      <w:r w:rsidR="00A95428">
        <w:rPr>
          <w:rFonts w:asciiTheme="minorHAnsi" w:hAnsiTheme="minorHAnsi" w:cstheme="minorHAnsi"/>
          <w:spacing w:val="-1"/>
          <w:sz w:val="22"/>
          <w:szCs w:val="22"/>
        </w:rPr>
        <w:t>m</w:t>
      </w:r>
      <w:r w:rsidRPr="00E01239">
        <w:rPr>
          <w:rFonts w:asciiTheme="minorHAnsi" w:hAnsiTheme="minorHAnsi" w:cstheme="minorHAnsi"/>
          <w:spacing w:val="-1"/>
          <w:sz w:val="22"/>
          <w:szCs w:val="22"/>
        </w:rPr>
        <w:t>ondiale, un mécanisme de gestion des plaintes a été préparé et intégré dans le Plan de Mobilisation des Parties Prenantes présenté en volume séparé. S’agissant du dispositif de gestion des plaintes spécifiques aux travailleurs, il est traité dans le</w:t>
      </w:r>
      <w:r w:rsidR="00B23F04" w:rsidRPr="00E01239">
        <w:rPr>
          <w:rFonts w:asciiTheme="minorHAnsi" w:hAnsiTheme="minorHAnsi" w:cstheme="minorHAnsi"/>
          <w:spacing w:val="-1"/>
          <w:sz w:val="22"/>
          <w:szCs w:val="22"/>
        </w:rPr>
        <w:t xml:space="preserve">s procédures </w:t>
      </w:r>
      <w:r w:rsidRPr="00E01239">
        <w:rPr>
          <w:rFonts w:asciiTheme="minorHAnsi" w:hAnsiTheme="minorHAnsi" w:cstheme="minorHAnsi"/>
          <w:spacing w:val="-1"/>
          <w:sz w:val="22"/>
          <w:szCs w:val="22"/>
        </w:rPr>
        <w:t>de gestion de la main d’œuvre (PGMO) du FSRP-SN qui est présenté en volume séparé au présent CGES.</w:t>
      </w:r>
    </w:p>
    <w:p w14:paraId="50BEDE91" w14:textId="5007496A" w:rsidR="009154FB" w:rsidRPr="00E01239" w:rsidRDefault="009154FB">
      <w:pPr>
        <w:rPr>
          <w:rFonts w:asciiTheme="minorHAnsi" w:hAnsiTheme="minorHAnsi" w:cstheme="minorHAnsi"/>
          <w:b/>
          <w:iCs/>
          <w:color w:val="5B9BD5"/>
          <w:kern w:val="32"/>
          <w:sz w:val="22"/>
          <w:szCs w:val="22"/>
        </w:rPr>
      </w:pPr>
    </w:p>
    <w:p w14:paraId="50B039B7" w14:textId="59D1628F" w:rsidR="00002FDE" w:rsidRPr="00E01239" w:rsidRDefault="00002FDE" w:rsidP="009E5299">
      <w:pPr>
        <w:pStyle w:val="Titre2"/>
        <w:tabs>
          <w:tab w:val="clear" w:pos="-720"/>
          <w:tab w:val="left" w:pos="567"/>
        </w:tabs>
        <w:ind w:hanging="502"/>
        <w:rPr>
          <w:rFonts w:asciiTheme="minorHAnsi" w:hAnsiTheme="minorHAnsi" w:cstheme="minorHAnsi"/>
          <w:color w:val="auto"/>
        </w:rPr>
      </w:pPr>
      <w:bookmarkStart w:id="1323" w:name="_Toc142378215"/>
      <w:bookmarkStart w:id="1324" w:name="_Toc144654167"/>
      <w:r w:rsidRPr="00E01239">
        <w:rPr>
          <w:rFonts w:asciiTheme="minorHAnsi" w:hAnsiTheme="minorHAnsi" w:cstheme="minorHAnsi"/>
          <w:color w:val="auto"/>
        </w:rPr>
        <w:t>DISPOSITIONS INSTITUTIONNELLES, RESPONSABILITES ET RENFORCEMENT DES CAPACITES</w:t>
      </w:r>
      <w:bookmarkEnd w:id="1320"/>
      <w:bookmarkEnd w:id="1321"/>
      <w:bookmarkEnd w:id="1322"/>
      <w:bookmarkEnd w:id="1323"/>
      <w:bookmarkEnd w:id="1324"/>
      <w:r w:rsidRPr="00E01239">
        <w:rPr>
          <w:rFonts w:asciiTheme="minorHAnsi" w:hAnsiTheme="minorHAnsi" w:cstheme="minorHAnsi"/>
          <w:color w:val="auto"/>
        </w:rPr>
        <w:t xml:space="preserve"> </w:t>
      </w:r>
    </w:p>
    <w:p w14:paraId="13A3085C" w14:textId="3A40CF36" w:rsidR="00002FDE" w:rsidRPr="00E01239" w:rsidRDefault="00002FDE" w:rsidP="00002FDE">
      <w:pPr>
        <w:rPr>
          <w:rFonts w:asciiTheme="minorHAnsi" w:hAnsiTheme="minorHAnsi" w:cstheme="minorHAnsi"/>
          <w:sz w:val="22"/>
          <w:szCs w:val="22"/>
        </w:rPr>
      </w:pPr>
    </w:p>
    <w:p w14:paraId="40513B9E" w14:textId="77777777" w:rsidR="00B91B2B" w:rsidRPr="00E01239" w:rsidRDefault="00B91B2B" w:rsidP="0011733B">
      <w:pPr>
        <w:pStyle w:val="Titre3"/>
        <w:ind w:left="1560"/>
        <w:rPr>
          <w:rFonts w:asciiTheme="minorHAnsi" w:hAnsiTheme="minorHAnsi" w:cstheme="minorHAnsi"/>
        </w:rPr>
      </w:pPr>
      <w:bookmarkStart w:id="1325" w:name="_Toc63285603"/>
      <w:bookmarkStart w:id="1326" w:name="_Toc88861481"/>
      <w:bookmarkStart w:id="1327" w:name="_Toc144654168"/>
      <w:r w:rsidRPr="00E01239">
        <w:rPr>
          <w:rFonts w:asciiTheme="minorHAnsi" w:hAnsiTheme="minorHAnsi" w:cstheme="minorHAnsi"/>
        </w:rPr>
        <w:t>Arrangements Institutionnels</w:t>
      </w:r>
      <w:bookmarkEnd w:id="1325"/>
      <w:bookmarkEnd w:id="1326"/>
      <w:bookmarkEnd w:id="1327"/>
      <w:r w:rsidRPr="00E01239">
        <w:rPr>
          <w:rFonts w:asciiTheme="minorHAnsi" w:hAnsiTheme="minorHAnsi" w:cstheme="minorHAnsi"/>
        </w:rPr>
        <w:t xml:space="preserve"> </w:t>
      </w:r>
    </w:p>
    <w:p w14:paraId="0768EB14" w14:textId="2DA53AD3" w:rsidR="00B91B2B" w:rsidRPr="00E01239" w:rsidRDefault="00B91B2B" w:rsidP="00263B8A">
      <w:pPr>
        <w:spacing w:before="120" w:line="280" w:lineRule="exact"/>
        <w:jc w:val="both"/>
        <w:rPr>
          <w:rFonts w:asciiTheme="minorHAnsi" w:hAnsiTheme="minorHAnsi" w:cstheme="minorHAnsi"/>
          <w:spacing w:val="-1"/>
          <w:sz w:val="22"/>
          <w:szCs w:val="22"/>
        </w:rPr>
      </w:pPr>
      <w:bookmarkStart w:id="1328" w:name="_Toc467213209"/>
      <w:bookmarkStart w:id="1329" w:name="_Toc467490679"/>
      <w:r w:rsidRPr="00E01239">
        <w:rPr>
          <w:rFonts w:asciiTheme="minorHAnsi" w:hAnsiTheme="minorHAnsi" w:cstheme="minorHAnsi"/>
          <w:spacing w:val="-1"/>
          <w:sz w:val="22"/>
          <w:szCs w:val="22"/>
        </w:rPr>
        <w:t xml:space="preserve">Les différentes entités ci-après présentées </w:t>
      </w:r>
      <w:r w:rsidR="00777392" w:rsidRPr="00E01239">
        <w:rPr>
          <w:rFonts w:asciiTheme="minorHAnsi" w:hAnsiTheme="minorHAnsi" w:cstheme="minorHAnsi"/>
          <w:spacing w:val="-1"/>
          <w:sz w:val="22"/>
          <w:szCs w:val="22"/>
        </w:rPr>
        <w:t>exercent</w:t>
      </w:r>
      <w:r w:rsidRPr="00E01239">
        <w:rPr>
          <w:rFonts w:asciiTheme="minorHAnsi" w:hAnsiTheme="minorHAnsi" w:cstheme="minorHAnsi"/>
          <w:spacing w:val="-1"/>
          <w:sz w:val="22"/>
          <w:szCs w:val="22"/>
        </w:rPr>
        <w:t xml:space="preserve"> des responsabilités importantes dans la mise en œuvre du CGES du </w:t>
      </w:r>
      <w:r w:rsidR="0040583A" w:rsidRPr="00E01239">
        <w:rPr>
          <w:rFonts w:asciiTheme="minorHAnsi" w:hAnsiTheme="minorHAnsi" w:cstheme="minorHAnsi"/>
          <w:spacing w:val="-1"/>
          <w:sz w:val="22"/>
          <w:szCs w:val="22"/>
        </w:rPr>
        <w:t>FSRP-SN</w:t>
      </w:r>
      <w:r w:rsidRPr="00E01239">
        <w:rPr>
          <w:rFonts w:asciiTheme="minorHAnsi" w:hAnsiTheme="minorHAnsi" w:cstheme="minorHAnsi"/>
          <w:spacing w:val="-1"/>
          <w:sz w:val="22"/>
          <w:szCs w:val="22"/>
        </w:rPr>
        <w:t>. Toutefois, leurs capacités à assurer une mise en œuvre adéquate des prescriptions environnementales</w:t>
      </w:r>
      <w:r w:rsidR="0040583A" w:rsidRPr="00E01239">
        <w:rPr>
          <w:rFonts w:asciiTheme="minorHAnsi" w:hAnsiTheme="minorHAnsi" w:cstheme="minorHAnsi"/>
          <w:spacing w:val="-1"/>
          <w:sz w:val="22"/>
          <w:szCs w:val="22"/>
        </w:rPr>
        <w:t xml:space="preserve"> et sociales</w:t>
      </w:r>
      <w:r w:rsidRPr="00E01239">
        <w:rPr>
          <w:rFonts w:asciiTheme="minorHAnsi" w:hAnsiTheme="minorHAnsi" w:cstheme="minorHAnsi"/>
          <w:spacing w:val="-1"/>
          <w:sz w:val="22"/>
          <w:szCs w:val="22"/>
        </w:rPr>
        <w:t xml:space="preserve"> ne sont pas souvent en adéquation avec les exigences des instruments environnementaux et sociaux du Projet.</w:t>
      </w:r>
    </w:p>
    <w:p w14:paraId="369A6AE2" w14:textId="3928E209" w:rsidR="0040583A" w:rsidRPr="00E01239" w:rsidRDefault="00B91B2B" w:rsidP="00027669">
      <w:pPr>
        <w:pStyle w:val="Paragraphedeliste"/>
        <w:numPr>
          <w:ilvl w:val="0"/>
          <w:numId w:val="154"/>
        </w:numPr>
        <w:spacing w:before="120" w:line="360" w:lineRule="exact"/>
        <w:ind w:left="851" w:hanging="851"/>
        <w:contextualSpacing w:val="0"/>
        <w:jc w:val="both"/>
        <w:rPr>
          <w:rFonts w:asciiTheme="minorHAnsi" w:hAnsiTheme="minorHAnsi" w:cstheme="minorHAnsi"/>
          <w:b/>
          <w:sz w:val="22"/>
          <w:szCs w:val="22"/>
        </w:rPr>
      </w:pPr>
      <w:r w:rsidRPr="00E01239">
        <w:rPr>
          <w:rFonts w:asciiTheme="minorHAnsi" w:hAnsiTheme="minorHAnsi" w:cstheme="minorHAnsi"/>
          <w:b/>
          <w:sz w:val="22"/>
          <w:szCs w:val="22"/>
        </w:rPr>
        <w:t>L</w:t>
      </w:r>
      <w:r w:rsidR="0040583A" w:rsidRPr="00E01239">
        <w:rPr>
          <w:rFonts w:asciiTheme="minorHAnsi" w:hAnsiTheme="minorHAnsi" w:cstheme="minorHAnsi"/>
          <w:b/>
          <w:sz w:val="22"/>
          <w:szCs w:val="22"/>
        </w:rPr>
        <w:t xml:space="preserve">es </w:t>
      </w:r>
      <w:r w:rsidRPr="00E01239">
        <w:rPr>
          <w:rFonts w:asciiTheme="minorHAnsi" w:hAnsiTheme="minorHAnsi" w:cstheme="minorHAnsi"/>
          <w:b/>
          <w:sz w:val="22"/>
          <w:szCs w:val="22"/>
        </w:rPr>
        <w:t>unité</w:t>
      </w:r>
      <w:r w:rsidR="0040583A" w:rsidRPr="00E01239">
        <w:rPr>
          <w:rFonts w:asciiTheme="minorHAnsi" w:hAnsiTheme="minorHAnsi" w:cstheme="minorHAnsi"/>
          <w:b/>
          <w:sz w:val="22"/>
          <w:szCs w:val="22"/>
        </w:rPr>
        <w:t>s</w:t>
      </w:r>
      <w:r w:rsidRPr="00E01239">
        <w:rPr>
          <w:rFonts w:asciiTheme="minorHAnsi" w:hAnsiTheme="minorHAnsi" w:cstheme="minorHAnsi"/>
          <w:b/>
          <w:sz w:val="22"/>
          <w:szCs w:val="22"/>
        </w:rPr>
        <w:t xml:space="preserve"> de coordination </w:t>
      </w:r>
      <w:r w:rsidR="0040583A" w:rsidRPr="00E01239">
        <w:rPr>
          <w:rFonts w:asciiTheme="minorHAnsi" w:hAnsiTheme="minorHAnsi" w:cstheme="minorHAnsi"/>
          <w:b/>
          <w:sz w:val="22"/>
          <w:szCs w:val="22"/>
        </w:rPr>
        <w:t>du FRSP-SN (UCP/FSRP-SN/MEPA et UCP/FSRP-SN/MAERSA)</w:t>
      </w:r>
    </w:p>
    <w:p w14:paraId="5E904A0F" w14:textId="5216AF77" w:rsidR="00B91B2B" w:rsidRPr="00E01239" w:rsidRDefault="0040583A"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L’UCP</w:t>
      </w:r>
      <w:r w:rsidR="00B23F04"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FSRP/MEPA et l’UCP</w:t>
      </w:r>
      <w:r w:rsidR="00B23F04"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/FSRP/MAERSA vont</w:t>
      </w:r>
      <w:r w:rsidR="00B91B2B" w:rsidRPr="00E01239">
        <w:rPr>
          <w:rFonts w:asciiTheme="minorHAnsi" w:hAnsiTheme="minorHAnsi" w:cstheme="minorHAnsi"/>
          <w:spacing w:val="-1"/>
          <w:sz w:val="22"/>
          <w:szCs w:val="22"/>
        </w:rPr>
        <w:t xml:space="preserve"> assurer l’exécution quotidienne et le suivi-évaluation des activités</w:t>
      </w:r>
      <w:r w:rsidRPr="00E01239">
        <w:rPr>
          <w:rFonts w:asciiTheme="minorHAnsi" w:hAnsiTheme="minorHAnsi" w:cstheme="minorHAnsi"/>
          <w:spacing w:val="-1"/>
          <w:sz w:val="22"/>
          <w:szCs w:val="22"/>
        </w:rPr>
        <w:t xml:space="preserve"> du Projet</w:t>
      </w:r>
      <w:r w:rsidR="00B91B2B" w:rsidRPr="00E01239">
        <w:rPr>
          <w:rFonts w:asciiTheme="minorHAnsi" w:hAnsiTheme="minorHAnsi" w:cstheme="minorHAnsi"/>
          <w:spacing w:val="-1"/>
          <w:sz w:val="22"/>
          <w:szCs w:val="22"/>
        </w:rPr>
        <w:t xml:space="preserve">. </w:t>
      </w:r>
    </w:p>
    <w:p w14:paraId="60760494" w14:textId="37522615" w:rsidR="00B91B2B" w:rsidRPr="00E01239" w:rsidRDefault="0040583A"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Elles sont </w:t>
      </w:r>
      <w:r w:rsidR="00B91B2B" w:rsidRPr="00E01239">
        <w:rPr>
          <w:rFonts w:asciiTheme="minorHAnsi" w:hAnsiTheme="minorHAnsi" w:cstheme="minorHAnsi"/>
          <w:spacing w:val="-1"/>
          <w:sz w:val="22"/>
          <w:szCs w:val="22"/>
        </w:rPr>
        <w:t>garante</w:t>
      </w:r>
      <w:r w:rsidRPr="00E01239">
        <w:rPr>
          <w:rFonts w:asciiTheme="minorHAnsi" w:hAnsiTheme="minorHAnsi" w:cstheme="minorHAnsi"/>
          <w:spacing w:val="-1"/>
          <w:sz w:val="22"/>
          <w:szCs w:val="22"/>
        </w:rPr>
        <w:t>s</w:t>
      </w:r>
      <w:r w:rsidR="00B91B2B" w:rsidRPr="00E01239">
        <w:rPr>
          <w:rFonts w:asciiTheme="minorHAnsi" w:hAnsiTheme="minorHAnsi" w:cstheme="minorHAnsi"/>
          <w:spacing w:val="-1"/>
          <w:sz w:val="22"/>
          <w:szCs w:val="22"/>
        </w:rPr>
        <w:t xml:space="preserve"> de la conformité environnementale, sociale, hygiène, santé et sécurité du Projet, déclinée dans le présent CGES sous forme de procédures spécifiques à respecter. </w:t>
      </w:r>
    </w:p>
    <w:p w14:paraId="2A9A8785" w14:textId="2809A558" w:rsidR="00B91B2B" w:rsidRPr="00E01239" w:rsidRDefault="00B91B2B"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Par ailleurs, </w:t>
      </w:r>
      <w:r w:rsidR="0040583A" w:rsidRPr="00E01239">
        <w:rPr>
          <w:rFonts w:asciiTheme="minorHAnsi" w:hAnsiTheme="minorHAnsi" w:cstheme="minorHAnsi"/>
          <w:spacing w:val="-1"/>
          <w:sz w:val="22"/>
          <w:szCs w:val="22"/>
        </w:rPr>
        <w:t xml:space="preserve">elles rendent </w:t>
      </w:r>
      <w:r w:rsidRPr="00E01239">
        <w:rPr>
          <w:rFonts w:asciiTheme="minorHAnsi" w:hAnsiTheme="minorHAnsi" w:cstheme="minorHAnsi"/>
          <w:spacing w:val="-1"/>
          <w:sz w:val="22"/>
          <w:szCs w:val="22"/>
        </w:rPr>
        <w:t xml:space="preserve">compte au comité de pilotage (CP) multisectoriel </w:t>
      </w:r>
      <w:r w:rsidR="00386E0B" w:rsidRPr="00E01239">
        <w:rPr>
          <w:rFonts w:asciiTheme="minorHAnsi" w:hAnsiTheme="minorHAnsi" w:cstheme="minorHAnsi"/>
          <w:spacing w:val="-1"/>
          <w:sz w:val="22"/>
          <w:szCs w:val="22"/>
        </w:rPr>
        <w:t>qui</w:t>
      </w:r>
      <w:r w:rsidRPr="00E01239">
        <w:rPr>
          <w:rFonts w:asciiTheme="minorHAnsi" w:hAnsiTheme="minorHAnsi" w:cstheme="minorHAnsi"/>
          <w:spacing w:val="-1"/>
          <w:sz w:val="22"/>
          <w:szCs w:val="22"/>
        </w:rPr>
        <w:t xml:space="preserve"> sera l’organe d’orientation et d’appréciation de la qualité de mise en œuvre du projet. Il est un cadre de concertation interministériel chargé de garantir l’engagement des pouvoirs publics à l’atteinte des résultats du projet. A ce titre, le CP veille au fonctionnement et à la viabilité du projet selon la programmation retenue, analyse et approuve les PTBA, les PPM et les rapports préparés par l’UCP. </w:t>
      </w:r>
    </w:p>
    <w:p w14:paraId="054DC66C" w14:textId="623BB2E3" w:rsidR="00B91B2B" w:rsidRPr="00E01239" w:rsidRDefault="00B91B2B"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Pour le respect des dispositions contenues dans le présent CGES, </w:t>
      </w:r>
      <w:r w:rsidR="00386E0B" w:rsidRPr="00E01239">
        <w:rPr>
          <w:rFonts w:asciiTheme="minorHAnsi" w:hAnsiTheme="minorHAnsi" w:cstheme="minorHAnsi"/>
          <w:spacing w:val="-1"/>
          <w:sz w:val="22"/>
          <w:szCs w:val="22"/>
        </w:rPr>
        <w:t xml:space="preserve">les deux UCP </w:t>
      </w:r>
      <w:r w:rsidRPr="00E01239">
        <w:rPr>
          <w:rFonts w:asciiTheme="minorHAnsi" w:hAnsiTheme="minorHAnsi" w:cstheme="minorHAnsi"/>
          <w:spacing w:val="-1"/>
          <w:sz w:val="22"/>
          <w:szCs w:val="22"/>
        </w:rPr>
        <w:t>s’appuier</w:t>
      </w:r>
      <w:r w:rsidR="00386E0B" w:rsidRPr="00E01239">
        <w:rPr>
          <w:rFonts w:asciiTheme="minorHAnsi" w:hAnsiTheme="minorHAnsi" w:cstheme="minorHAnsi"/>
          <w:spacing w:val="-1"/>
          <w:sz w:val="22"/>
          <w:szCs w:val="22"/>
        </w:rPr>
        <w:t>ont</w:t>
      </w:r>
      <w:r w:rsidRPr="00E01239">
        <w:rPr>
          <w:rFonts w:asciiTheme="minorHAnsi" w:hAnsiTheme="minorHAnsi" w:cstheme="minorHAnsi"/>
          <w:spacing w:val="-1"/>
          <w:sz w:val="22"/>
          <w:szCs w:val="22"/>
        </w:rPr>
        <w:t xml:space="preserve"> sur </w:t>
      </w:r>
      <w:r w:rsidR="00386E0B" w:rsidRPr="00E01239">
        <w:rPr>
          <w:rFonts w:asciiTheme="minorHAnsi" w:hAnsiTheme="minorHAnsi" w:cstheme="minorHAnsi"/>
          <w:spacing w:val="-1"/>
          <w:sz w:val="22"/>
          <w:szCs w:val="22"/>
        </w:rPr>
        <w:t xml:space="preserve">leur </w:t>
      </w:r>
      <w:r w:rsidRPr="00E01239">
        <w:rPr>
          <w:rFonts w:asciiTheme="minorHAnsi" w:hAnsiTheme="minorHAnsi" w:cstheme="minorHAnsi"/>
          <w:spacing w:val="-1"/>
          <w:sz w:val="22"/>
          <w:szCs w:val="22"/>
        </w:rPr>
        <w:t xml:space="preserve">équipe interne constituée de : </w:t>
      </w:r>
    </w:p>
    <w:p w14:paraId="13C1CD31" w14:textId="045D2C2D" w:rsidR="00B91B2B" w:rsidRPr="00E01239" w:rsidRDefault="00C705F5" w:rsidP="00027669">
      <w:pPr>
        <w:pStyle w:val="Paragraphedeliste"/>
        <w:numPr>
          <w:ilvl w:val="0"/>
          <w:numId w:val="155"/>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L’équipe</w:t>
      </w:r>
      <w:r w:rsidR="00B91B2B" w:rsidRPr="00E01239">
        <w:rPr>
          <w:rFonts w:asciiTheme="minorHAnsi" w:hAnsiTheme="minorHAnsi" w:cstheme="minorHAnsi"/>
          <w:spacing w:val="-1"/>
          <w:sz w:val="22"/>
          <w:szCs w:val="22"/>
        </w:rPr>
        <w:t xml:space="preserve"> de sauvegardes constituée de Spécialiste en </w:t>
      </w:r>
      <w:r w:rsidR="00B46026">
        <w:rPr>
          <w:rFonts w:asciiTheme="minorHAnsi" w:hAnsiTheme="minorHAnsi" w:cstheme="minorHAnsi"/>
          <w:spacing w:val="-1"/>
          <w:sz w:val="22"/>
          <w:szCs w:val="22"/>
        </w:rPr>
        <w:t xml:space="preserve">Développement </w:t>
      </w:r>
      <w:r w:rsidR="00B46026" w:rsidRPr="00E01239">
        <w:rPr>
          <w:rFonts w:asciiTheme="minorHAnsi" w:hAnsiTheme="minorHAnsi" w:cstheme="minorHAnsi"/>
          <w:spacing w:val="-1"/>
          <w:sz w:val="22"/>
          <w:szCs w:val="22"/>
        </w:rPr>
        <w:t xml:space="preserve">Social </w:t>
      </w:r>
      <w:r w:rsidR="009C23B6" w:rsidRPr="00E01239">
        <w:rPr>
          <w:rFonts w:asciiTheme="minorHAnsi" w:hAnsiTheme="minorHAnsi" w:cstheme="minorHAnsi"/>
          <w:spacing w:val="-1"/>
          <w:sz w:val="22"/>
          <w:szCs w:val="22"/>
        </w:rPr>
        <w:t xml:space="preserve">et </w:t>
      </w:r>
      <w:r w:rsidR="00B91B2B" w:rsidRPr="00E01239">
        <w:rPr>
          <w:rFonts w:asciiTheme="minorHAnsi" w:hAnsiTheme="minorHAnsi" w:cstheme="minorHAnsi"/>
          <w:spacing w:val="-1"/>
          <w:sz w:val="22"/>
          <w:szCs w:val="22"/>
        </w:rPr>
        <w:t>Sauvegarde Environnementale qui aura la responsabilité de la préparation des mémoires descriptifs et justificatifs des sous-projets et sites ainsi que les dossiers techniques d’exécution des activités.</w:t>
      </w:r>
    </w:p>
    <w:p w14:paraId="0CE98DDF" w14:textId="72DD18AD" w:rsidR="00B91B2B" w:rsidRPr="00E01239" w:rsidRDefault="00B91B2B" w:rsidP="00263B8A">
      <w:pPr>
        <w:spacing w:before="120" w:line="280" w:lineRule="exact"/>
        <w:ind w:left="708"/>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Par ailleurs, ils seront, entre-autres, co-responsables de la sélection environnementale et sociale des sous projets, de la préparation des </w:t>
      </w:r>
      <w:proofErr w:type="spellStart"/>
      <w:r w:rsidRPr="00E01239">
        <w:rPr>
          <w:rFonts w:asciiTheme="minorHAnsi" w:hAnsiTheme="minorHAnsi" w:cstheme="minorHAnsi"/>
          <w:spacing w:val="-1"/>
          <w:sz w:val="22"/>
          <w:szCs w:val="22"/>
        </w:rPr>
        <w:t>TdR</w:t>
      </w:r>
      <w:proofErr w:type="spellEnd"/>
      <w:r w:rsidRPr="00E01239">
        <w:rPr>
          <w:rFonts w:asciiTheme="minorHAnsi" w:hAnsiTheme="minorHAnsi" w:cstheme="minorHAnsi"/>
          <w:spacing w:val="-1"/>
          <w:sz w:val="22"/>
          <w:szCs w:val="22"/>
        </w:rPr>
        <w:t xml:space="preserve"> et du suivi des évaluations environnementales et sociales spécifiques et du suivi de la mise en œuvre des procédures contenues dans le présent CGES.  A cette fin, ils travailleront en étroite collaboration avec la Direction de l’Environnement et des Etablissements Classés (DEEC) et </w:t>
      </w:r>
      <w:r w:rsidR="00386E0B" w:rsidRPr="00E01239">
        <w:rPr>
          <w:rFonts w:asciiTheme="minorHAnsi" w:hAnsiTheme="minorHAnsi" w:cstheme="minorHAnsi"/>
          <w:spacing w:val="-1"/>
          <w:sz w:val="22"/>
          <w:szCs w:val="22"/>
        </w:rPr>
        <w:t xml:space="preserve">les </w:t>
      </w:r>
      <w:r w:rsidRPr="00E01239">
        <w:rPr>
          <w:rFonts w:asciiTheme="minorHAnsi" w:hAnsiTheme="minorHAnsi" w:cstheme="minorHAnsi"/>
          <w:spacing w:val="-1"/>
          <w:sz w:val="22"/>
          <w:szCs w:val="22"/>
        </w:rPr>
        <w:t xml:space="preserve">Divisions Régionales de l’Environnement et des Etablissements Classés (DREEC). </w:t>
      </w:r>
    </w:p>
    <w:p w14:paraId="76F458E8" w14:textId="2B480518" w:rsidR="00B91B2B" w:rsidRPr="00E01239" w:rsidRDefault="009A3053" w:rsidP="00027669">
      <w:pPr>
        <w:pStyle w:val="Paragraphedeliste"/>
        <w:numPr>
          <w:ilvl w:val="0"/>
          <w:numId w:val="155"/>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Un</w:t>
      </w:r>
      <w:r w:rsidR="00B91B2B" w:rsidRPr="00E01239">
        <w:rPr>
          <w:rFonts w:asciiTheme="minorHAnsi" w:hAnsiTheme="minorHAnsi" w:cstheme="minorHAnsi"/>
          <w:spacing w:val="-1"/>
          <w:sz w:val="22"/>
          <w:szCs w:val="22"/>
        </w:rPr>
        <w:t xml:space="preserve"> Spécialiste en Passation de Marchés (SPM)</w:t>
      </w:r>
      <w:r w:rsidR="00386E0B" w:rsidRPr="00E01239">
        <w:rPr>
          <w:rFonts w:asciiTheme="minorHAnsi" w:hAnsiTheme="minorHAnsi" w:cstheme="minorHAnsi"/>
          <w:spacing w:val="-1"/>
          <w:sz w:val="22"/>
          <w:szCs w:val="22"/>
        </w:rPr>
        <w:t>, dans chaque UCP,</w:t>
      </w:r>
      <w:r w:rsidR="00B91B2B" w:rsidRPr="00E01239">
        <w:rPr>
          <w:rFonts w:asciiTheme="minorHAnsi" w:hAnsiTheme="minorHAnsi" w:cstheme="minorHAnsi"/>
          <w:spacing w:val="-1"/>
          <w:sz w:val="22"/>
          <w:szCs w:val="22"/>
        </w:rPr>
        <w:t xml:space="preserve"> qui veille, de manière générale, à la préparation des marchés pour l’ensemble des acquisitions (prestations intellectuelles, fournitures et travaux) au titre de la gestion environnementale et sociale. Le SPM veillera également à l’inclusion des activités suivantes dans les plans de passation des marchés et documents spécifiques relatifs au Projet (études, intégration des clauses environnementales, sociales, sanitaires et sécuritaires dans les dossiers d’appel d’offres ; bordereau des prix unitaires relatifs aux PGES-chantier et autres plans spécifiques, au titre de la mise en œuvre des mesures environnementales et sociales).</w:t>
      </w:r>
    </w:p>
    <w:p w14:paraId="1703C5A1" w14:textId="12436540" w:rsidR="00B91B2B" w:rsidRPr="00E01239" w:rsidRDefault="00B91B2B" w:rsidP="00027669">
      <w:pPr>
        <w:pStyle w:val="Paragraphedeliste"/>
        <w:numPr>
          <w:ilvl w:val="0"/>
          <w:numId w:val="155"/>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Un Responsable Administratif et Financier (RAF)</w:t>
      </w:r>
      <w:r w:rsidR="00386E0B" w:rsidRPr="00E01239">
        <w:rPr>
          <w:rFonts w:asciiTheme="minorHAnsi" w:hAnsiTheme="minorHAnsi" w:cstheme="minorHAnsi"/>
          <w:spacing w:val="-1"/>
          <w:sz w:val="22"/>
          <w:szCs w:val="22"/>
        </w:rPr>
        <w:t>, dans chaque UCP,</w:t>
      </w:r>
      <w:r w:rsidRPr="00E01239">
        <w:rPr>
          <w:rFonts w:asciiTheme="minorHAnsi" w:hAnsiTheme="minorHAnsi" w:cstheme="minorHAnsi"/>
          <w:spacing w:val="-1"/>
          <w:sz w:val="22"/>
          <w:szCs w:val="22"/>
        </w:rPr>
        <w:t xml:space="preserve"> sera chargé de toutes les diligences budgétaires relatives à l’Exécution/Mise en œuvre des mesures et à la Surveillance de la </w:t>
      </w:r>
      <w:r w:rsidRPr="00E01239">
        <w:rPr>
          <w:rFonts w:asciiTheme="minorHAnsi" w:hAnsiTheme="minorHAnsi" w:cstheme="minorHAnsi"/>
          <w:spacing w:val="-1"/>
          <w:sz w:val="22"/>
          <w:szCs w:val="22"/>
        </w:rPr>
        <w:lastRenderedPageBreak/>
        <w:t>mise en œuvre des mesures environnementales et sociales. Ces diligences comprennent les missions de terrain et autres conventions signées avec les partenaires externes au titre de la gestion environnementale et sociale du projet. Elles prennent également en charge des dispositions financières relatives à la mise en œuvre des autres plans : plan de mobilisation des parties prenantes (PMPP), Mécanisme de Gestion des Plaintes, Plan de Gestion des Déchets et matières dangereuses et le Plan VBG.</w:t>
      </w:r>
    </w:p>
    <w:p w14:paraId="06C16305" w14:textId="77777777" w:rsidR="00B91B2B" w:rsidRPr="00E01239" w:rsidRDefault="00B91B2B" w:rsidP="00027669">
      <w:pPr>
        <w:pStyle w:val="Paragraphedeliste"/>
        <w:numPr>
          <w:ilvl w:val="0"/>
          <w:numId w:val="155"/>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Un Spécialiste en suivi-évaluation (RSE) qui assure la veille, en concertation avec l’équipe de sauvegardes, à la prise en compte des résultats de la Surveillance et du suivi environnemental et social dans le dispositif global du suivi-évaluation du projet. Il se charge également du suivi des indicateurs afférents à la mise en œuvre du PMPP, du MGP et du plan de suivi, de surveillance et d’évaluation de réponse aux abus (exploitation et abus sexuels, harcèlement sexuel, etc.).</w:t>
      </w:r>
    </w:p>
    <w:p w14:paraId="44006CC4" w14:textId="0F5AD05F" w:rsidR="00B91B2B" w:rsidRPr="00E01239" w:rsidRDefault="00B91B2B"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De plus, </w:t>
      </w:r>
      <w:r w:rsidR="00386E0B" w:rsidRPr="00E01239">
        <w:rPr>
          <w:rFonts w:asciiTheme="minorHAnsi" w:hAnsiTheme="minorHAnsi" w:cstheme="minorHAnsi"/>
          <w:spacing w:val="-1"/>
          <w:sz w:val="22"/>
          <w:szCs w:val="22"/>
        </w:rPr>
        <w:t xml:space="preserve">les </w:t>
      </w:r>
      <w:r w:rsidRPr="00E01239">
        <w:rPr>
          <w:rFonts w:asciiTheme="minorHAnsi" w:hAnsiTheme="minorHAnsi" w:cstheme="minorHAnsi"/>
          <w:spacing w:val="-1"/>
          <w:sz w:val="22"/>
          <w:szCs w:val="22"/>
        </w:rPr>
        <w:t>UCP veiller</w:t>
      </w:r>
      <w:r w:rsidR="00386E0B" w:rsidRPr="00E01239">
        <w:rPr>
          <w:rFonts w:asciiTheme="minorHAnsi" w:hAnsiTheme="minorHAnsi" w:cstheme="minorHAnsi"/>
          <w:spacing w:val="-1"/>
          <w:sz w:val="22"/>
          <w:szCs w:val="22"/>
        </w:rPr>
        <w:t>ont</w:t>
      </w:r>
      <w:r w:rsidRPr="00E01239">
        <w:rPr>
          <w:rFonts w:asciiTheme="minorHAnsi" w:hAnsiTheme="minorHAnsi" w:cstheme="minorHAnsi"/>
          <w:spacing w:val="-1"/>
          <w:sz w:val="22"/>
          <w:szCs w:val="22"/>
        </w:rPr>
        <w:t xml:space="preserve"> à ce que les dossiers d’appel d’offre comportent des dispositions spécifiques en matière de Santé et Sécurité au Travail (SST). Ces dispositions seront suivies par les bureaux de contrôle qui cordonneront pour le compte du projet la supervision de l’effectivité de toutes les mesures en la matière.</w:t>
      </w:r>
    </w:p>
    <w:p w14:paraId="5F596CA6" w14:textId="77777777" w:rsidR="00B91B2B" w:rsidRPr="00E01239" w:rsidRDefault="00B91B2B" w:rsidP="00027669">
      <w:pPr>
        <w:pStyle w:val="Paragraphedeliste"/>
        <w:numPr>
          <w:ilvl w:val="0"/>
          <w:numId w:val="154"/>
        </w:numPr>
        <w:spacing w:before="120" w:line="280" w:lineRule="exact"/>
        <w:ind w:left="0" w:firstLine="0"/>
        <w:contextualSpacing w:val="0"/>
        <w:jc w:val="both"/>
        <w:rPr>
          <w:rFonts w:asciiTheme="minorHAnsi" w:hAnsiTheme="minorHAnsi" w:cstheme="minorHAnsi"/>
          <w:b/>
          <w:sz w:val="22"/>
          <w:szCs w:val="22"/>
        </w:rPr>
      </w:pPr>
      <w:r w:rsidRPr="00E01239">
        <w:rPr>
          <w:rFonts w:asciiTheme="minorHAnsi" w:hAnsiTheme="minorHAnsi" w:cstheme="minorHAnsi"/>
          <w:b/>
          <w:sz w:val="22"/>
          <w:szCs w:val="22"/>
        </w:rPr>
        <w:t xml:space="preserve">La Direction de l’Environnement et des Etablissements Classés (DEEC)  </w:t>
      </w:r>
    </w:p>
    <w:p w14:paraId="04AA0728" w14:textId="4E781AD1" w:rsidR="00B91B2B" w:rsidRPr="00E01239" w:rsidRDefault="00B91B2B"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La DEEC via les DREEC en relation avec l’équipe de sauvegardes </w:t>
      </w:r>
      <w:r w:rsidR="00386E0B" w:rsidRPr="00E01239">
        <w:rPr>
          <w:rFonts w:asciiTheme="minorHAnsi" w:hAnsiTheme="minorHAnsi" w:cstheme="minorHAnsi"/>
          <w:spacing w:val="-1"/>
          <w:sz w:val="22"/>
          <w:szCs w:val="22"/>
        </w:rPr>
        <w:t xml:space="preserve">de </w:t>
      </w:r>
      <w:r w:rsidR="00386E0B" w:rsidRPr="00E01239">
        <w:rPr>
          <w:rFonts w:asciiTheme="minorHAnsi" w:hAnsiTheme="minorHAnsi" w:cstheme="minorHAnsi"/>
          <w:bCs/>
          <w:sz w:val="22"/>
          <w:szCs w:val="22"/>
        </w:rPr>
        <w:t>l’UCP</w:t>
      </w:r>
      <w:r w:rsidR="00B23F04" w:rsidRPr="00E01239">
        <w:rPr>
          <w:rFonts w:asciiTheme="minorHAnsi" w:hAnsiTheme="minorHAnsi" w:cstheme="minorHAnsi"/>
          <w:bCs/>
          <w:sz w:val="22"/>
          <w:szCs w:val="22"/>
        </w:rPr>
        <w:t xml:space="preserve"> </w:t>
      </w:r>
      <w:r w:rsidR="00386E0B" w:rsidRPr="00E01239">
        <w:rPr>
          <w:rFonts w:asciiTheme="minorHAnsi" w:hAnsiTheme="minorHAnsi" w:cstheme="minorHAnsi"/>
          <w:bCs/>
          <w:sz w:val="22"/>
          <w:szCs w:val="22"/>
        </w:rPr>
        <w:t>FSRP/MEPA et de l’UCP/FSRP</w:t>
      </w:r>
      <w:r w:rsidR="00B23F04" w:rsidRPr="00E01239" w:rsidDel="00B23F04">
        <w:rPr>
          <w:rFonts w:asciiTheme="minorHAnsi" w:hAnsiTheme="minorHAnsi" w:cstheme="minorHAnsi"/>
          <w:bCs/>
          <w:sz w:val="22"/>
          <w:szCs w:val="22"/>
        </w:rPr>
        <w:t xml:space="preserve"> </w:t>
      </w:r>
      <w:r w:rsidR="00386E0B" w:rsidRPr="00E01239">
        <w:rPr>
          <w:rFonts w:asciiTheme="minorHAnsi" w:hAnsiTheme="minorHAnsi" w:cstheme="minorHAnsi"/>
          <w:bCs/>
          <w:sz w:val="22"/>
          <w:szCs w:val="22"/>
        </w:rPr>
        <w:t>/MAERSA</w:t>
      </w:r>
      <w:r w:rsidRPr="00E01239">
        <w:rPr>
          <w:rFonts w:asciiTheme="minorHAnsi" w:hAnsiTheme="minorHAnsi" w:cstheme="minorHAnsi"/>
          <w:spacing w:val="-1"/>
          <w:sz w:val="22"/>
          <w:szCs w:val="22"/>
        </w:rPr>
        <w:t xml:space="preserve"> et les autres membres des comités régionaux de suivi environnemental sont responsables de la procédure d’établissement de sélection environnementale et sociale, de suivi-validation des études et de respect des procédures environnementales et sociales des sous-projets. A ce propos, elles </w:t>
      </w:r>
      <w:proofErr w:type="spellStart"/>
      <w:r w:rsidRPr="00E01239">
        <w:rPr>
          <w:rFonts w:asciiTheme="minorHAnsi" w:hAnsiTheme="minorHAnsi" w:cstheme="minorHAnsi"/>
          <w:spacing w:val="-1"/>
          <w:sz w:val="22"/>
          <w:szCs w:val="22"/>
        </w:rPr>
        <w:t>co</w:t>
      </w:r>
      <w:proofErr w:type="spellEnd"/>
      <w:r w:rsidRPr="00E01239">
        <w:rPr>
          <w:rFonts w:asciiTheme="minorHAnsi" w:hAnsiTheme="minorHAnsi" w:cstheme="minorHAnsi"/>
          <w:spacing w:val="-1"/>
          <w:sz w:val="22"/>
          <w:szCs w:val="22"/>
        </w:rPr>
        <w:t xml:space="preserve">-assument les tâches suivantes : </w:t>
      </w:r>
    </w:p>
    <w:p w14:paraId="09E13DC3" w14:textId="05747120" w:rsidR="00B91B2B" w:rsidRPr="00E01239" w:rsidRDefault="00B91B2B" w:rsidP="00027669">
      <w:pPr>
        <w:pStyle w:val="Paragraphedeliste"/>
        <w:numPr>
          <w:ilvl w:val="0"/>
          <w:numId w:val="158"/>
        </w:numPr>
        <w:spacing w:before="120" w:line="280" w:lineRule="exact"/>
        <w:ind w:left="709"/>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Le </w:t>
      </w:r>
      <w:r w:rsidR="00941521">
        <w:rPr>
          <w:rFonts w:asciiTheme="minorHAnsi" w:hAnsiTheme="minorHAnsi" w:cstheme="minorHAnsi"/>
          <w:spacing w:val="-1"/>
          <w:sz w:val="22"/>
          <w:szCs w:val="22"/>
        </w:rPr>
        <w:t>renseignement</w:t>
      </w:r>
      <w:r w:rsidR="00941521"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de la fiche de screening et la classification des sous projets ;</w:t>
      </w:r>
    </w:p>
    <w:p w14:paraId="210B061B" w14:textId="77777777" w:rsidR="00B91B2B" w:rsidRPr="00E01239" w:rsidRDefault="00B91B2B" w:rsidP="00027669">
      <w:pPr>
        <w:pStyle w:val="Paragraphedeliste"/>
        <w:numPr>
          <w:ilvl w:val="0"/>
          <w:numId w:val="158"/>
        </w:numPr>
        <w:spacing w:before="120" w:line="280" w:lineRule="exact"/>
        <w:ind w:left="709"/>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 suivi externe (national/local) de conformité de préparation et de la mise en œuvre des sous projets aux plans environnemental et social, hygiène, santé et sécurité.</w:t>
      </w:r>
    </w:p>
    <w:p w14:paraId="3EF6105A" w14:textId="581F5053" w:rsidR="00B91B2B" w:rsidRPr="00E01239" w:rsidRDefault="00B91B2B" w:rsidP="00027669">
      <w:pPr>
        <w:pStyle w:val="Paragraphedeliste"/>
        <w:numPr>
          <w:ilvl w:val="0"/>
          <w:numId w:val="158"/>
        </w:numPr>
        <w:spacing w:before="120" w:line="280" w:lineRule="exact"/>
        <w:ind w:left="709"/>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L’approbation de l’évaluation environnementale </w:t>
      </w:r>
      <w:r w:rsidR="001D4476">
        <w:rPr>
          <w:rFonts w:asciiTheme="minorHAnsi" w:hAnsiTheme="minorHAnsi" w:cstheme="minorHAnsi"/>
          <w:spacing w:val="-1"/>
          <w:sz w:val="22"/>
          <w:szCs w:val="22"/>
        </w:rPr>
        <w:t xml:space="preserve">et sociale </w:t>
      </w:r>
      <w:r w:rsidRPr="00E01239">
        <w:rPr>
          <w:rFonts w:asciiTheme="minorHAnsi" w:hAnsiTheme="minorHAnsi" w:cstheme="minorHAnsi"/>
          <w:spacing w:val="-1"/>
          <w:sz w:val="22"/>
          <w:szCs w:val="22"/>
        </w:rPr>
        <w:t>du projet (le présent CGES) et celle des sous projets.</w:t>
      </w:r>
    </w:p>
    <w:p w14:paraId="00DE1EAC" w14:textId="77777777" w:rsidR="00B91B2B" w:rsidRPr="00E01239" w:rsidRDefault="00B91B2B" w:rsidP="00027669">
      <w:pPr>
        <w:pStyle w:val="Paragraphedeliste"/>
        <w:numPr>
          <w:ilvl w:val="0"/>
          <w:numId w:val="154"/>
        </w:numPr>
        <w:spacing w:before="120" w:line="280" w:lineRule="exact"/>
        <w:ind w:left="0" w:firstLine="0"/>
        <w:contextualSpacing w:val="0"/>
        <w:jc w:val="both"/>
        <w:rPr>
          <w:rFonts w:asciiTheme="minorHAnsi" w:hAnsiTheme="minorHAnsi" w:cstheme="minorHAnsi"/>
          <w:b/>
          <w:sz w:val="22"/>
          <w:szCs w:val="22"/>
        </w:rPr>
      </w:pPr>
      <w:r w:rsidRPr="00E01239">
        <w:rPr>
          <w:rFonts w:asciiTheme="minorHAnsi" w:hAnsiTheme="minorHAnsi" w:cstheme="minorHAnsi"/>
          <w:b/>
          <w:sz w:val="22"/>
          <w:szCs w:val="22"/>
        </w:rPr>
        <w:t xml:space="preserve">Les Comités Régionaux de Suivi Environnemental (CRSE) </w:t>
      </w:r>
    </w:p>
    <w:p w14:paraId="644B5505" w14:textId="1EB8B724" w:rsidR="00B91B2B" w:rsidRPr="00E01239" w:rsidRDefault="00B91B2B"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Des Comités Régionaux de Suivi Environnemental (CRSE) existent au niveau </w:t>
      </w:r>
      <w:r w:rsidR="00386E0B" w:rsidRPr="00E01239">
        <w:rPr>
          <w:rFonts w:asciiTheme="minorHAnsi" w:hAnsiTheme="minorHAnsi" w:cstheme="minorHAnsi"/>
          <w:spacing w:val="-1"/>
          <w:sz w:val="22"/>
          <w:szCs w:val="22"/>
        </w:rPr>
        <w:t>de l’ensemble des régions d’intervention du Projet</w:t>
      </w:r>
      <w:r w:rsidRPr="00E01239">
        <w:rPr>
          <w:rFonts w:asciiTheme="minorHAnsi" w:hAnsiTheme="minorHAnsi" w:cstheme="minorHAnsi"/>
          <w:spacing w:val="-1"/>
          <w:sz w:val="22"/>
          <w:szCs w:val="22"/>
        </w:rPr>
        <w:t xml:space="preserve">. Ils sont constitués des services techniques de l’Etat et des collectivités territoriales des régions.  Dans le cadre de la mise en œuvre du CGES, leur mission comprend : </w:t>
      </w:r>
    </w:p>
    <w:p w14:paraId="390984EC" w14:textId="77777777" w:rsidR="00B91B2B" w:rsidRPr="00E01239" w:rsidRDefault="00B91B2B" w:rsidP="00027669">
      <w:pPr>
        <w:pStyle w:val="Paragraphedeliste"/>
        <w:numPr>
          <w:ilvl w:val="0"/>
          <w:numId w:val="158"/>
        </w:numPr>
        <w:spacing w:before="120" w:line="280" w:lineRule="exact"/>
        <w:ind w:left="709"/>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L’appui au screening environnemental et social ;</w:t>
      </w:r>
    </w:p>
    <w:p w14:paraId="3D3D2A73" w14:textId="3273B7F9" w:rsidR="00B91B2B" w:rsidRPr="00E01239" w:rsidRDefault="00B91B2B" w:rsidP="00027669">
      <w:pPr>
        <w:pStyle w:val="Paragraphedeliste"/>
        <w:numPr>
          <w:ilvl w:val="0"/>
          <w:numId w:val="158"/>
        </w:numPr>
        <w:spacing w:before="120" w:line="280" w:lineRule="exact"/>
        <w:ind w:left="709"/>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L’approbation et la supervision du processus d’évaluation environnementale et sociale des sous-projets </w:t>
      </w:r>
      <w:r w:rsidR="00386E0B" w:rsidRPr="00E01239">
        <w:rPr>
          <w:rFonts w:asciiTheme="minorHAnsi" w:hAnsiTheme="minorHAnsi" w:cstheme="minorHAnsi"/>
          <w:spacing w:val="-1"/>
          <w:sz w:val="22"/>
          <w:szCs w:val="22"/>
        </w:rPr>
        <w:t>notamment des instruments préparés</w:t>
      </w:r>
      <w:r w:rsidR="0063348D"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w:t>
      </w:r>
    </w:p>
    <w:p w14:paraId="6E925A03" w14:textId="77777777" w:rsidR="00B91B2B" w:rsidRPr="00E01239" w:rsidRDefault="00B91B2B" w:rsidP="00027669">
      <w:pPr>
        <w:pStyle w:val="Paragraphedeliste"/>
        <w:numPr>
          <w:ilvl w:val="0"/>
          <w:numId w:val="158"/>
        </w:numPr>
        <w:spacing w:before="120" w:line="280" w:lineRule="exact"/>
        <w:ind w:left="709"/>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Le suivi (contrôle régalien) environnemental et social, sous la coordination des DREEC.</w:t>
      </w:r>
    </w:p>
    <w:p w14:paraId="7F9415EE" w14:textId="2A475F27" w:rsidR="00B91B2B" w:rsidRPr="00E01239" w:rsidRDefault="00B91B2B" w:rsidP="00027669">
      <w:pPr>
        <w:pStyle w:val="Paragraphedeliste"/>
        <w:numPr>
          <w:ilvl w:val="0"/>
          <w:numId w:val="154"/>
        </w:numPr>
        <w:spacing w:before="120" w:line="280" w:lineRule="exact"/>
        <w:ind w:left="0" w:firstLine="0"/>
        <w:contextualSpacing w:val="0"/>
        <w:jc w:val="both"/>
        <w:rPr>
          <w:rFonts w:asciiTheme="minorHAnsi" w:hAnsiTheme="minorHAnsi" w:cstheme="minorHAnsi"/>
          <w:b/>
          <w:sz w:val="22"/>
          <w:szCs w:val="22"/>
        </w:rPr>
      </w:pPr>
      <w:r w:rsidRPr="00E01239">
        <w:rPr>
          <w:rFonts w:asciiTheme="minorHAnsi" w:hAnsiTheme="minorHAnsi" w:cstheme="minorHAnsi"/>
          <w:b/>
          <w:sz w:val="22"/>
          <w:szCs w:val="22"/>
        </w:rPr>
        <w:t>L</w:t>
      </w:r>
      <w:r w:rsidR="00386E0B" w:rsidRPr="00E01239">
        <w:rPr>
          <w:rFonts w:asciiTheme="minorHAnsi" w:hAnsiTheme="minorHAnsi" w:cstheme="minorHAnsi"/>
          <w:b/>
          <w:sz w:val="22"/>
          <w:szCs w:val="22"/>
        </w:rPr>
        <w:t>es</w:t>
      </w:r>
      <w:r w:rsidRPr="00E01239">
        <w:rPr>
          <w:rFonts w:asciiTheme="minorHAnsi" w:hAnsiTheme="minorHAnsi" w:cstheme="minorHAnsi"/>
          <w:b/>
          <w:sz w:val="22"/>
          <w:szCs w:val="22"/>
        </w:rPr>
        <w:t xml:space="preserve"> Mission</w:t>
      </w:r>
      <w:r w:rsidR="00386E0B" w:rsidRPr="00E01239">
        <w:rPr>
          <w:rFonts w:asciiTheme="minorHAnsi" w:hAnsiTheme="minorHAnsi" w:cstheme="minorHAnsi"/>
          <w:b/>
          <w:sz w:val="22"/>
          <w:szCs w:val="22"/>
        </w:rPr>
        <w:t>s</w:t>
      </w:r>
      <w:r w:rsidRPr="00E01239">
        <w:rPr>
          <w:rFonts w:asciiTheme="minorHAnsi" w:hAnsiTheme="minorHAnsi" w:cstheme="minorHAnsi"/>
          <w:b/>
          <w:sz w:val="22"/>
          <w:szCs w:val="22"/>
        </w:rPr>
        <w:t xml:space="preserve"> de contrôle </w:t>
      </w:r>
    </w:p>
    <w:p w14:paraId="5C4627FD" w14:textId="523A1FDC" w:rsidR="00B91B2B" w:rsidRPr="00E01239" w:rsidRDefault="00B91B2B"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Elle</w:t>
      </w:r>
      <w:r w:rsidR="00386E0B" w:rsidRPr="00E01239">
        <w:rPr>
          <w:rFonts w:asciiTheme="minorHAnsi" w:hAnsiTheme="minorHAnsi" w:cstheme="minorHAnsi"/>
          <w:spacing w:val="-1"/>
          <w:sz w:val="22"/>
          <w:szCs w:val="22"/>
        </w:rPr>
        <w:t>s</w:t>
      </w:r>
      <w:r w:rsidRPr="00E01239">
        <w:rPr>
          <w:rFonts w:asciiTheme="minorHAnsi" w:hAnsiTheme="minorHAnsi" w:cstheme="minorHAnsi"/>
          <w:spacing w:val="-1"/>
          <w:sz w:val="22"/>
          <w:szCs w:val="22"/>
        </w:rPr>
        <w:t xml:space="preserve"> </w:t>
      </w:r>
      <w:r w:rsidR="00386E0B" w:rsidRPr="00E01239">
        <w:rPr>
          <w:rFonts w:asciiTheme="minorHAnsi" w:hAnsiTheme="minorHAnsi" w:cstheme="minorHAnsi"/>
          <w:spacing w:val="-1"/>
          <w:sz w:val="22"/>
          <w:szCs w:val="22"/>
        </w:rPr>
        <w:t xml:space="preserve">auront </w:t>
      </w:r>
      <w:r w:rsidRPr="00E01239">
        <w:rPr>
          <w:rFonts w:asciiTheme="minorHAnsi" w:hAnsiTheme="minorHAnsi" w:cstheme="minorHAnsi"/>
          <w:spacing w:val="-1"/>
          <w:sz w:val="22"/>
          <w:szCs w:val="22"/>
        </w:rPr>
        <w:t xml:space="preserve">en charge le suivi de la mise en œuvre des travaux et spécifiquement </w:t>
      </w:r>
      <w:r w:rsidR="00386E0B" w:rsidRPr="00E01239">
        <w:rPr>
          <w:rFonts w:asciiTheme="minorHAnsi" w:hAnsiTheme="minorHAnsi" w:cstheme="minorHAnsi"/>
          <w:spacing w:val="-1"/>
          <w:sz w:val="22"/>
          <w:szCs w:val="22"/>
        </w:rPr>
        <w:t xml:space="preserve">des </w:t>
      </w:r>
      <w:r w:rsidRPr="00E01239">
        <w:rPr>
          <w:rFonts w:asciiTheme="minorHAnsi" w:hAnsiTheme="minorHAnsi" w:cstheme="minorHAnsi"/>
          <w:spacing w:val="-1"/>
          <w:sz w:val="22"/>
          <w:szCs w:val="22"/>
        </w:rPr>
        <w:t>PGES-Chantier, comportant des dispositions en matière de Santé et Sécurité avant, pendant et après les travaux de chaque activité du projet.</w:t>
      </w:r>
      <w:r w:rsidR="00386E0B" w:rsidRPr="00E01239">
        <w:rPr>
          <w:rFonts w:asciiTheme="minorHAnsi" w:hAnsiTheme="minorHAnsi" w:cstheme="minorHAnsi"/>
          <w:spacing w:val="-1"/>
          <w:sz w:val="22"/>
          <w:szCs w:val="22"/>
        </w:rPr>
        <w:t xml:space="preserve"> </w:t>
      </w:r>
      <w:r w:rsidRPr="00E01239">
        <w:rPr>
          <w:rFonts w:asciiTheme="minorHAnsi" w:hAnsiTheme="minorHAnsi" w:cstheme="minorHAnsi"/>
          <w:spacing w:val="-1"/>
          <w:sz w:val="22"/>
          <w:szCs w:val="22"/>
        </w:rPr>
        <w:t xml:space="preserve">Par ailleurs, elle aura pour responsabilité de rendre compte à </w:t>
      </w:r>
      <w:r w:rsidR="00386E0B" w:rsidRPr="00E01239">
        <w:rPr>
          <w:rFonts w:asciiTheme="minorHAnsi" w:hAnsiTheme="minorHAnsi" w:cstheme="minorHAnsi"/>
          <w:bCs/>
          <w:sz w:val="22"/>
          <w:szCs w:val="22"/>
        </w:rPr>
        <w:t>l’UCP</w:t>
      </w:r>
      <w:r w:rsidR="00B23F04" w:rsidRPr="00E01239">
        <w:rPr>
          <w:rFonts w:asciiTheme="minorHAnsi" w:hAnsiTheme="minorHAnsi" w:cstheme="minorHAnsi"/>
          <w:bCs/>
          <w:sz w:val="22"/>
          <w:szCs w:val="22"/>
        </w:rPr>
        <w:t xml:space="preserve"> </w:t>
      </w:r>
      <w:r w:rsidR="00386E0B" w:rsidRPr="00E01239">
        <w:rPr>
          <w:rFonts w:asciiTheme="minorHAnsi" w:hAnsiTheme="minorHAnsi" w:cstheme="minorHAnsi"/>
          <w:bCs/>
          <w:sz w:val="22"/>
          <w:szCs w:val="22"/>
        </w:rPr>
        <w:t xml:space="preserve">FSRP/MEPA et </w:t>
      </w:r>
      <w:r w:rsidR="0037324F" w:rsidRPr="00E01239">
        <w:rPr>
          <w:rFonts w:asciiTheme="minorHAnsi" w:hAnsiTheme="minorHAnsi" w:cstheme="minorHAnsi"/>
          <w:bCs/>
          <w:sz w:val="22"/>
          <w:szCs w:val="22"/>
        </w:rPr>
        <w:t xml:space="preserve">à </w:t>
      </w:r>
      <w:r w:rsidR="00386E0B" w:rsidRPr="00E01239">
        <w:rPr>
          <w:rFonts w:asciiTheme="minorHAnsi" w:hAnsiTheme="minorHAnsi" w:cstheme="minorHAnsi"/>
          <w:bCs/>
          <w:sz w:val="22"/>
          <w:szCs w:val="22"/>
        </w:rPr>
        <w:t>l’UCP</w:t>
      </w:r>
      <w:r w:rsidR="00B23F04" w:rsidRPr="00E01239">
        <w:rPr>
          <w:rFonts w:asciiTheme="minorHAnsi" w:hAnsiTheme="minorHAnsi" w:cstheme="minorHAnsi"/>
          <w:bCs/>
          <w:sz w:val="22"/>
          <w:szCs w:val="22"/>
        </w:rPr>
        <w:t xml:space="preserve"> </w:t>
      </w:r>
      <w:r w:rsidR="00386E0B" w:rsidRPr="00E01239">
        <w:rPr>
          <w:rFonts w:asciiTheme="minorHAnsi" w:hAnsiTheme="minorHAnsi" w:cstheme="minorHAnsi"/>
          <w:bCs/>
          <w:sz w:val="22"/>
          <w:szCs w:val="22"/>
        </w:rPr>
        <w:t xml:space="preserve">/FSRP/MAERSA </w:t>
      </w:r>
      <w:r w:rsidRPr="00E01239">
        <w:rPr>
          <w:rFonts w:asciiTheme="minorHAnsi" w:hAnsiTheme="minorHAnsi" w:cstheme="minorHAnsi"/>
          <w:spacing w:val="-1"/>
          <w:sz w:val="22"/>
          <w:szCs w:val="22"/>
        </w:rPr>
        <w:t>de la mise en œuvre des différentes actions de sauvegarde sous forme de rapports périodiques de contrôle.</w:t>
      </w:r>
    </w:p>
    <w:p w14:paraId="0A79083A" w14:textId="77777777" w:rsidR="00B91B2B" w:rsidRPr="00E01239" w:rsidRDefault="00B91B2B" w:rsidP="00027669">
      <w:pPr>
        <w:pStyle w:val="Paragraphedeliste"/>
        <w:numPr>
          <w:ilvl w:val="0"/>
          <w:numId w:val="154"/>
        </w:numPr>
        <w:spacing w:before="120" w:line="280" w:lineRule="exact"/>
        <w:ind w:left="0" w:firstLine="0"/>
        <w:contextualSpacing w:val="0"/>
        <w:jc w:val="both"/>
        <w:rPr>
          <w:rFonts w:asciiTheme="minorHAnsi" w:hAnsiTheme="minorHAnsi" w:cstheme="minorHAnsi"/>
          <w:b/>
          <w:sz w:val="22"/>
          <w:szCs w:val="22"/>
        </w:rPr>
      </w:pPr>
      <w:r w:rsidRPr="00E01239">
        <w:rPr>
          <w:rFonts w:asciiTheme="minorHAnsi" w:hAnsiTheme="minorHAnsi" w:cstheme="minorHAnsi"/>
          <w:b/>
          <w:sz w:val="22"/>
          <w:szCs w:val="22"/>
        </w:rPr>
        <w:t xml:space="preserve">Les entreprises de travaux : </w:t>
      </w:r>
    </w:p>
    <w:p w14:paraId="603D6173" w14:textId="66BF75E5" w:rsidR="00B91B2B" w:rsidRPr="00E01239" w:rsidRDefault="00B91B2B"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Les entreprises préparent et soumettent </w:t>
      </w:r>
      <w:r w:rsidR="0037324F" w:rsidRPr="00E01239">
        <w:rPr>
          <w:rFonts w:asciiTheme="minorHAnsi" w:hAnsiTheme="minorHAnsi" w:cstheme="minorHAnsi"/>
          <w:spacing w:val="-1"/>
          <w:sz w:val="22"/>
          <w:szCs w:val="22"/>
        </w:rPr>
        <w:t>aux</w:t>
      </w:r>
      <w:r w:rsidRPr="00E01239">
        <w:rPr>
          <w:rFonts w:asciiTheme="minorHAnsi" w:hAnsiTheme="minorHAnsi" w:cstheme="minorHAnsi"/>
          <w:spacing w:val="-1"/>
          <w:sz w:val="22"/>
          <w:szCs w:val="22"/>
        </w:rPr>
        <w:t xml:space="preserve"> mission</w:t>
      </w:r>
      <w:r w:rsidR="0037324F" w:rsidRPr="00E01239">
        <w:rPr>
          <w:rFonts w:asciiTheme="minorHAnsi" w:hAnsiTheme="minorHAnsi" w:cstheme="minorHAnsi"/>
          <w:spacing w:val="-1"/>
          <w:sz w:val="22"/>
          <w:szCs w:val="22"/>
        </w:rPr>
        <w:t>s</w:t>
      </w:r>
      <w:r w:rsidRPr="00E01239">
        <w:rPr>
          <w:rFonts w:asciiTheme="minorHAnsi" w:hAnsiTheme="minorHAnsi" w:cstheme="minorHAnsi"/>
          <w:spacing w:val="-1"/>
          <w:sz w:val="22"/>
          <w:szCs w:val="22"/>
        </w:rPr>
        <w:t xml:space="preserve"> de contrôle le</w:t>
      </w:r>
      <w:r w:rsidR="0037324F" w:rsidRPr="00E01239">
        <w:rPr>
          <w:rFonts w:asciiTheme="minorHAnsi" w:hAnsiTheme="minorHAnsi" w:cstheme="minorHAnsi"/>
          <w:spacing w:val="-1"/>
          <w:sz w:val="22"/>
          <w:szCs w:val="22"/>
        </w:rPr>
        <w:t>s</w:t>
      </w:r>
      <w:r w:rsidRPr="00E01239">
        <w:rPr>
          <w:rFonts w:asciiTheme="minorHAnsi" w:hAnsiTheme="minorHAnsi" w:cstheme="minorHAnsi"/>
          <w:spacing w:val="-1"/>
          <w:sz w:val="22"/>
          <w:szCs w:val="22"/>
        </w:rPr>
        <w:t xml:space="preserve"> PGES-Chantier 30 jours avant le début des travaux. Par ailleurs, elle aura pour responsabilité à travers son Expert en Environnement</w:t>
      </w:r>
      <w:r w:rsidR="000779C1">
        <w:rPr>
          <w:rFonts w:asciiTheme="minorHAnsi" w:hAnsiTheme="minorHAnsi" w:cstheme="minorHAnsi"/>
          <w:spacing w:val="-1"/>
          <w:sz w:val="22"/>
          <w:szCs w:val="22"/>
        </w:rPr>
        <w:t xml:space="preserve"> et Développement Social</w:t>
      </w:r>
      <w:r w:rsidRPr="00E01239">
        <w:rPr>
          <w:rFonts w:asciiTheme="minorHAnsi" w:hAnsiTheme="minorHAnsi" w:cstheme="minorHAnsi"/>
          <w:spacing w:val="-1"/>
          <w:sz w:val="22"/>
          <w:szCs w:val="22"/>
        </w:rPr>
        <w:t>, la mise en œuvre des différentes actions de sauvegarde contenues dans son contrat et de rendre compte via des rapports de mise en œuvre desdits PGES.</w:t>
      </w:r>
    </w:p>
    <w:p w14:paraId="2DD06473" w14:textId="77777777" w:rsidR="00B91B2B" w:rsidRPr="00E01239" w:rsidRDefault="00B91B2B" w:rsidP="00027669">
      <w:pPr>
        <w:pStyle w:val="Paragraphedeliste"/>
        <w:numPr>
          <w:ilvl w:val="0"/>
          <w:numId w:val="154"/>
        </w:numPr>
        <w:spacing w:before="120" w:line="280" w:lineRule="exact"/>
        <w:ind w:left="0" w:firstLine="0"/>
        <w:contextualSpacing w:val="0"/>
        <w:jc w:val="both"/>
        <w:rPr>
          <w:rFonts w:asciiTheme="minorHAnsi" w:hAnsiTheme="minorHAnsi" w:cstheme="minorHAnsi"/>
          <w:b/>
          <w:sz w:val="22"/>
          <w:szCs w:val="22"/>
        </w:rPr>
      </w:pPr>
      <w:r w:rsidRPr="00E01239">
        <w:rPr>
          <w:rFonts w:asciiTheme="minorHAnsi" w:hAnsiTheme="minorHAnsi" w:cstheme="minorHAnsi"/>
          <w:b/>
          <w:sz w:val="22"/>
          <w:szCs w:val="22"/>
        </w:rPr>
        <w:lastRenderedPageBreak/>
        <w:t>Les organisations de la société civile et les organisations communautaires de base</w:t>
      </w:r>
    </w:p>
    <w:p w14:paraId="2EAA6A4B" w14:textId="5F2483A2" w:rsidR="00B91B2B" w:rsidRPr="00E01239" w:rsidRDefault="00B91B2B"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 xml:space="preserve">Les organisations de la société civile (OSC) et les associations communautaires : en plus de la mobilisation sociale, elles participeront à la sensibilisation des populations et au suivi de la mise en œuvre du CGES, notamment le PCGES à travers l’interpellation des principaux acteurs du Projet. Ces organisations de la société civile (OSC) participeront également à la mise en œuvre du PMPP, notamment les activités de communication et d’engagement du Projet. Le </w:t>
      </w:r>
      <w:bookmarkEnd w:id="1328"/>
      <w:bookmarkEnd w:id="1329"/>
      <w:r w:rsidRPr="00E01239">
        <w:rPr>
          <w:rFonts w:asciiTheme="minorHAnsi" w:hAnsiTheme="minorHAnsi" w:cstheme="minorHAnsi"/>
          <w:spacing w:val="-1"/>
          <w:sz w:val="22"/>
          <w:szCs w:val="22"/>
        </w:rPr>
        <w:t xml:space="preserve">tableau </w:t>
      </w:r>
      <w:r w:rsidR="005A1684">
        <w:rPr>
          <w:rFonts w:asciiTheme="minorHAnsi" w:hAnsiTheme="minorHAnsi" w:cstheme="minorHAnsi"/>
          <w:spacing w:val="-1"/>
          <w:sz w:val="22"/>
          <w:szCs w:val="22"/>
        </w:rPr>
        <w:t xml:space="preserve">37 </w:t>
      </w:r>
      <w:r w:rsidRPr="00E01239">
        <w:rPr>
          <w:rFonts w:asciiTheme="minorHAnsi" w:hAnsiTheme="minorHAnsi" w:cstheme="minorHAnsi"/>
          <w:spacing w:val="-1"/>
          <w:sz w:val="22"/>
          <w:szCs w:val="22"/>
        </w:rPr>
        <w:t>ci-après résume cet arrangement institutionnel.</w:t>
      </w:r>
    </w:p>
    <w:p w14:paraId="63DB406B" w14:textId="43307787" w:rsidR="0037324F" w:rsidRPr="00E01239" w:rsidRDefault="0037324F" w:rsidP="00263B8A">
      <w:pPr>
        <w:spacing w:before="120" w:line="280" w:lineRule="exact"/>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Au-delà de ces structures, les arrangements institutionnels dans le cadre du FSRP-SN font intervenir un ensemble d’acteurs opérationnels qui disposent, dans leur organigramme, d’un personnel qualifié dans la prise en compte des exigences environnementales et sociales nationales et des normes environnementales et sociales de la Banque mondiale. Il s’agit notamment de :</w:t>
      </w:r>
    </w:p>
    <w:p w14:paraId="14F34C68" w14:textId="1E8D7D2E" w:rsidR="0001510B" w:rsidRPr="00E01239" w:rsidRDefault="002D1A07" w:rsidP="00027669">
      <w:pPr>
        <w:pStyle w:val="Paragraphedeliste"/>
        <w:numPr>
          <w:ilvl w:val="0"/>
          <w:numId w:val="163"/>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Direction de la Protection des Végétaux (</w:t>
      </w:r>
      <w:r w:rsidR="0001510B" w:rsidRPr="00E01239">
        <w:rPr>
          <w:rFonts w:asciiTheme="minorHAnsi" w:hAnsiTheme="minorHAnsi" w:cstheme="minorHAnsi"/>
          <w:spacing w:val="-1"/>
          <w:sz w:val="22"/>
          <w:szCs w:val="22"/>
        </w:rPr>
        <w:t>DPV</w:t>
      </w:r>
      <w:r w:rsidRPr="00E01239">
        <w:rPr>
          <w:rFonts w:asciiTheme="minorHAnsi" w:hAnsiTheme="minorHAnsi" w:cstheme="minorHAnsi"/>
          <w:spacing w:val="-1"/>
          <w:sz w:val="22"/>
          <w:szCs w:val="22"/>
        </w:rPr>
        <w:t>) qui est l’organe référence en matière de lutte contre les nuisibles et capitalise une forte expérience en matière d’élaboration et de mise en œuvre de plans de gestion des pestes et pesticides</w:t>
      </w:r>
    </w:p>
    <w:p w14:paraId="33E91CD6" w14:textId="16DAC1BC" w:rsidR="0001510B" w:rsidRPr="00E01239" w:rsidRDefault="002D1A07" w:rsidP="00027669">
      <w:pPr>
        <w:pStyle w:val="Paragraphedeliste"/>
        <w:numPr>
          <w:ilvl w:val="0"/>
          <w:numId w:val="163"/>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Centre de Suivi Ecologique (</w:t>
      </w:r>
      <w:r w:rsidR="0001510B" w:rsidRPr="00E01239">
        <w:rPr>
          <w:rFonts w:asciiTheme="minorHAnsi" w:hAnsiTheme="minorHAnsi" w:cstheme="minorHAnsi"/>
          <w:spacing w:val="-1"/>
          <w:sz w:val="22"/>
          <w:szCs w:val="22"/>
        </w:rPr>
        <w:t>CSE</w:t>
      </w:r>
      <w:r w:rsidRPr="00E01239">
        <w:rPr>
          <w:rFonts w:asciiTheme="minorHAnsi" w:hAnsiTheme="minorHAnsi" w:cstheme="minorHAnsi"/>
          <w:spacing w:val="-1"/>
          <w:sz w:val="22"/>
          <w:szCs w:val="22"/>
        </w:rPr>
        <w:t xml:space="preserve">) dispose d’une large expérience en matière de suivi des tendances écologiques dans les différentes zones </w:t>
      </w:r>
      <w:r w:rsidR="00DC2110" w:rsidRPr="00E01239">
        <w:rPr>
          <w:rFonts w:asciiTheme="minorHAnsi" w:hAnsiTheme="minorHAnsi" w:cstheme="minorHAnsi"/>
          <w:spacing w:val="-1"/>
          <w:sz w:val="22"/>
          <w:szCs w:val="22"/>
        </w:rPr>
        <w:t>éco-</w:t>
      </w:r>
      <w:r w:rsidRPr="00E01239">
        <w:rPr>
          <w:rFonts w:asciiTheme="minorHAnsi" w:hAnsiTheme="minorHAnsi" w:cstheme="minorHAnsi"/>
          <w:spacing w:val="-1"/>
          <w:sz w:val="22"/>
          <w:szCs w:val="22"/>
        </w:rPr>
        <w:t>géographiques</w:t>
      </w:r>
      <w:r w:rsidR="0079433F" w:rsidRPr="00E01239">
        <w:rPr>
          <w:rFonts w:asciiTheme="minorHAnsi" w:hAnsiTheme="minorHAnsi" w:cstheme="minorHAnsi"/>
          <w:spacing w:val="-1"/>
          <w:sz w:val="22"/>
          <w:szCs w:val="22"/>
        </w:rPr>
        <w:t xml:space="preserve"> du Sénégal notamment le suivi des feux de </w:t>
      </w:r>
      <w:r w:rsidR="000D79BB">
        <w:rPr>
          <w:rFonts w:asciiTheme="minorHAnsi" w:hAnsiTheme="minorHAnsi" w:cstheme="minorHAnsi"/>
          <w:spacing w:val="-1"/>
          <w:sz w:val="22"/>
          <w:szCs w:val="22"/>
        </w:rPr>
        <w:t>forêt et de végétation</w:t>
      </w:r>
      <w:r w:rsidR="0079433F" w:rsidRPr="00E01239">
        <w:rPr>
          <w:rFonts w:asciiTheme="minorHAnsi" w:hAnsiTheme="minorHAnsi" w:cstheme="minorHAnsi"/>
          <w:spacing w:val="-1"/>
          <w:sz w:val="22"/>
          <w:szCs w:val="22"/>
        </w:rPr>
        <w:t>, la vulnérabilité de certaines zones aux changements climatiques, etc.</w:t>
      </w:r>
    </w:p>
    <w:p w14:paraId="6BC34B14" w14:textId="2F9513FA" w:rsidR="002D1A07" w:rsidRPr="00E01239" w:rsidRDefault="002D1A07" w:rsidP="00027669">
      <w:pPr>
        <w:pStyle w:val="Paragraphedeliste"/>
        <w:numPr>
          <w:ilvl w:val="0"/>
          <w:numId w:val="163"/>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SAED</w:t>
      </w:r>
      <w:r w:rsidR="0079433F" w:rsidRPr="00E01239">
        <w:rPr>
          <w:rFonts w:asciiTheme="minorHAnsi" w:hAnsiTheme="minorHAnsi" w:cstheme="minorHAnsi"/>
          <w:spacing w:val="-1"/>
          <w:sz w:val="22"/>
          <w:szCs w:val="22"/>
        </w:rPr>
        <w:t xml:space="preserve"> qui jouit d’une riche expérience dans la mise en œuvre de projets financés par la Banque mondiale dans la vallée du fleuve Sénégal et impliquant notamment </w:t>
      </w:r>
      <w:r w:rsidR="00996501" w:rsidRPr="00E01239">
        <w:rPr>
          <w:rFonts w:asciiTheme="minorHAnsi" w:hAnsiTheme="minorHAnsi" w:cstheme="minorHAnsi"/>
          <w:spacing w:val="-1"/>
          <w:sz w:val="22"/>
          <w:szCs w:val="22"/>
        </w:rPr>
        <w:t xml:space="preserve">différentes formes de pollutions du milieu naturel. La SAED compte dans son organigramme d’un personnel qualifié dans le domaine de la </w:t>
      </w:r>
      <w:r w:rsidR="00DC2110" w:rsidRPr="00E01239">
        <w:rPr>
          <w:rFonts w:asciiTheme="minorHAnsi" w:hAnsiTheme="minorHAnsi" w:cstheme="minorHAnsi"/>
          <w:spacing w:val="-1"/>
          <w:sz w:val="22"/>
          <w:szCs w:val="22"/>
        </w:rPr>
        <w:t>gestion</w:t>
      </w:r>
      <w:r w:rsidR="00996501" w:rsidRPr="00E01239">
        <w:rPr>
          <w:rFonts w:asciiTheme="minorHAnsi" w:hAnsiTheme="minorHAnsi" w:cstheme="minorHAnsi"/>
          <w:spacing w:val="-1"/>
          <w:sz w:val="22"/>
          <w:szCs w:val="22"/>
        </w:rPr>
        <w:t xml:space="preserve"> environnementale et sociale</w:t>
      </w:r>
    </w:p>
    <w:p w14:paraId="35B0145A" w14:textId="1B6C050B" w:rsidR="002D1A07" w:rsidRPr="00E01239" w:rsidRDefault="002D1A07" w:rsidP="00027669">
      <w:pPr>
        <w:pStyle w:val="Paragraphedeliste"/>
        <w:numPr>
          <w:ilvl w:val="0"/>
          <w:numId w:val="163"/>
        </w:numPr>
        <w:spacing w:before="120" w:line="280" w:lineRule="exact"/>
        <w:contextualSpacing w:val="0"/>
        <w:jc w:val="both"/>
        <w:rPr>
          <w:rFonts w:asciiTheme="minorHAnsi" w:hAnsiTheme="minorHAnsi" w:cstheme="minorHAnsi"/>
          <w:spacing w:val="-1"/>
          <w:sz w:val="22"/>
          <w:szCs w:val="22"/>
        </w:rPr>
      </w:pPr>
      <w:r w:rsidRPr="00E01239">
        <w:rPr>
          <w:rFonts w:asciiTheme="minorHAnsi" w:hAnsiTheme="minorHAnsi" w:cstheme="minorHAnsi"/>
          <w:spacing w:val="-1"/>
          <w:sz w:val="22"/>
          <w:szCs w:val="22"/>
        </w:rPr>
        <w:t>Unité de Coordination du PRAPS-2</w:t>
      </w:r>
      <w:r w:rsidR="00996501" w:rsidRPr="00E01239">
        <w:rPr>
          <w:rFonts w:asciiTheme="minorHAnsi" w:hAnsiTheme="minorHAnsi" w:cstheme="minorHAnsi"/>
          <w:spacing w:val="-1"/>
          <w:sz w:val="22"/>
          <w:szCs w:val="22"/>
        </w:rPr>
        <w:t xml:space="preserve"> a capacité une riche expérience de mise en œuvre de projets dans le secteur de l’élevage soumis aux exigences du cadre environnemental et social de la Banque mondiale</w:t>
      </w:r>
    </w:p>
    <w:p w14:paraId="5ABC82E8" w14:textId="052C1BDD" w:rsidR="002D1A07" w:rsidRPr="00E01239" w:rsidRDefault="002D1A07" w:rsidP="00263B8A">
      <w:pPr>
        <w:spacing w:before="120" w:line="280" w:lineRule="exact"/>
        <w:jc w:val="both"/>
        <w:rPr>
          <w:rFonts w:asciiTheme="minorHAnsi" w:hAnsiTheme="minorHAnsi" w:cstheme="minorHAnsi"/>
          <w:spacing w:val="-1"/>
          <w:sz w:val="22"/>
          <w:szCs w:val="22"/>
        </w:rPr>
        <w:sectPr w:rsidR="002D1A07" w:rsidRPr="00E01239" w:rsidSect="00263B8A">
          <w:pgSz w:w="11907" w:h="16840" w:code="9"/>
          <w:pgMar w:top="1276" w:right="1134" w:bottom="1276" w:left="1134" w:header="709" w:footer="781" w:gutter="0"/>
          <w:pgBorders w:offsetFrom="page">
            <w:top w:val="none" w:sz="0" w:space="14" w:color="000000" w:shadow="1"/>
            <w:left w:val="none" w:sz="55" w:space="20" w:color="000030" w:shadow="1" w:frame="1"/>
            <w:bottom w:val="none" w:sz="55" w:space="13" w:color="000030" w:shadow="1" w:frame="1"/>
            <w:right w:val="none" w:sz="0" w:space="14" w:color="0000B4" w:shadow="1"/>
          </w:pgBorders>
          <w:cols w:space="708"/>
          <w:docGrid w:linePitch="360"/>
        </w:sectPr>
      </w:pPr>
      <w:r w:rsidRPr="00E01239">
        <w:rPr>
          <w:rFonts w:asciiTheme="minorHAnsi" w:hAnsiTheme="minorHAnsi" w:cstheme="minorHAnsi"/>
          <w:spacing w:val="-1"/>
          <w:sz w:val="22"/>
          <w:szCs w:val="22"/>
        </w:rPr>
        <w:t xml:space="preserve">La capitalisation des expériences récentes de ces structures en matière de </w:t>
      </w:r>
      <w:r w:rsidR="00DC2110" w:rsidRPr="00E01239">
        <w:rPr>
          <w:rFonts w:asciiTheme="minorHAnsi" w:hAnsiTheme="minorHAnsi" w:cstheme="minorHAnsi"/>
          <w:spacing w:val="-1"/>
          <w:sz w:val="22"/>
          <w:szCs w:val="22"/>
        </w:rPr>
        <w:t>gestion</w:t>
      </w:r>
      <w:r w:rsidRPr="00E01239">
        <w:rPr>
          <w:rFonts w:asciiTheme="minorHAnsi" w:hAnsiTheme="minorHAnsi" w:cstheme="minorHAnsi"/>
          <w:spacing w:val="-1"/>
          <w:sz w:val="22"/>
          <w:szCs w:val="22"/>
        </w:rPr>
        <w:t xml:space="preserve"> environnementale et sociale serait un avantage dans le cadre du FSRP-SN.</w:t>
      </w:r>
    </w:p>
    <w:p w14:paraId="0CF6D8F3" w14:textId="614701A4" w:rsidR="00B91B2B" w:rsidRPr="00E01239" w:rsidRDefault="00B91B2B" w:rsidP="00B91B2B">
      <w:pPr>
        <w:pStyle w:val="Lgende"/>
        <w:jc w:val="center"/>
        <w:rPr>
          <w:rFonts w:asciiTheme="minorHAnsi" w:hAnsiTheme="minorHAnsi" w:cstheme="minorHAnsi"/>
          <w:b w:val="0"/>
          <w:bCs w:val="0"/>
          <w:sz w:val="24"/>
          <w:szCs w:val="24"/>
        </w:rPr>
      </w:pPr>
      <w:bookmarkStart w:id="1330" w:name="_Toc63281798"/>
      <w:bookmarkStart w:id="1331" w:name="_Toc88861288"/>
      <w:bookmarkStart w:id="1332" w:name="_Toc144654217"/>
      <w:r w:rsidRPr="00E01239">
        <w:rPr>
          <w:rFonts w:asciiTheme="minorHAnsi" w:hAnsiTheme="minorHAnsi" w:cstheme="minorHAnsi"/>
          <w:sz w:val="22"/>
          <w:szCs w:val="22"/>
        </w:rPr>
        <w:lastRenderedPageBreak/>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23</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xml:space="preserve">: </w:t>
      </w:r>
      <w:r w:rsidRPr="00E01239">
        <w:rPr>
          <w:rFonts w:asciiTheme="minorHAnsi" w:hAnsiTheme="minorHAnsi" w:cstheme="minorHAnsi"/>
          <w:b w:val="0"/>
          <w:bCs w:val="0"/>
          <w:sz w:val="22"/>
          <w:szCs w:val="22"/>
        </w:rPr>
        <w:t xml:space="preserve">Arrangements Institutionnels dans le cadre de la gestion environnementale et sociale du </w:t>
      </w:r>
      <w:r w:rsidR="002D1A07" w:rsidRPr="00E01239">
        <w:rPr>
          <w:rFonts w:asciiTheme="minorHAnsi" w:hAnsiTheme="minorHAnsi" w:cstheme="minorHAnsi"/>
          <w:b w:val="0"/>
          <w:bCs w:val="0"/>
          <w:sz w:val="22"/>
          <w:szCs w:val="22"/>
        </w:rPr>
        <w:t>FSRP-SN</w:t>
      </w:r>
      <w:bookmarkEnd w:id="1330"/>
      <w:bookmarkEnd w:id="1331"/>
      <w:bookmarkEnd w:id="1332"/>
    </w:p>
    <w:tbl>
      <w:tblPr>
        <w:tblW w:w="531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82"/>
        <w:gridCol w:w="11481"/>
      </w:tblGrid>
      <w:tr w:rsidR="00B91B2B" w:rsidRPr="00E01239" w14:paraId="29AC1E70" w14:textId="77777777" w:rsidTr="7CB1727A">
        <w:trPr>
          <w:trHeight w:val="588"/>
          <w:tblHeader/>
          <w:jc w:val="center"/>
        </w:trPr>
        <w:tc>
          <w:tcPr>
            <w:tcW w:w="1214" w:type="pct"/>
            <w:shd w:val="clear" w:color="auto" w:fill="000000" w:themeFill="text1"/>
            <w:vAlign w:val="center"/>
          </w:tcPr>
          <w:p w14:paraId="74ED8D82" w14:textId="77777777" w:rsidR="00B91B2B" w:rsidRPr="00E01239" w:rsidRDefault="00B91B2B" w:rsidP="008C0C70">
            <w:pPr>
              <w:jc w:val="center"/>
              <w:rPr>
                <w:rFonts w:asciiTheme="minorHAnsi" w:hAnsiTheme="minorHAnsi" w:cstheme="minorHAnsi"/>
                <w:b/>
                <w:sz w:val="21"/>
                <w:szCs w:val="21"/>
              </w:rPr>
            </w:pPr>
            <w:r w:rsidRPr="00E01239">
              <w:rPr>
                <w:rFonts w:asciiTheme="minorHAnsi" w:hAnsiTheme="minorHAnsi" w:cstheme="minorHAnsi"/>
                <w:b/>
                <w:sz w:val="21"/>
                <w:szCs w:val="21"/>
              </w:rPr>
              <w:t>Acteurs</w:t>
            </w:r>
          </w:p>
        </w:tc>
        <w:tc>
          <w:tcPr>
            <w:tcW w:w="3786" w:type="pct"/>
            <w:shd w:val="clear" w:color="auto" w:fill="000000" w:themeFill="text1"/>
            <w:vAlign w:val="center"/>
          </w:tcPr>
          <w:p w14:paraId="585AAD03" w14:textId="77777777" w:rsidR="00B91B2B" w:rsidRPr="00E01239" w:rsidRDefault="00B91B2B" w:rsidP="008C0C70">
            <w:pPr>
              <w:jc w:val="center"/>
              <w:rPr>
                <w:rFonts w:asciiTheme="minorHAnsi" w:hAnsiTheme="minorHAnsi" w:cstheme="minorHAnsi"/>
                <w:b/>
                <w:sz w:val="21"/>
                <w:szCs w:val="21"/>
              </w:rPr>
            </w:pPr>
            <w:r w:rsidRPr="00E01239">
              <w:rPr>
                <w:rFonts w:asciiTheme="minorHAnsi" w:hAnsiTheme="minorHAnsi" w:cstheme="minorHAnsi"/>
                <w:b/>
                <w:sz w:val="21"/>
                <w:szCs w:val="21"/>
              </w:rPr>
              <w:t>Responsabilités</w:t>
            </w:r>
          </w:p>
        </w:tc>
      </w:tr>
      <w:tr w:rsidR="00B91B2B" w:rsidRPr="00E01239" w14:paraId="76BD5505" w14:textId="77777777" w:rsidTr="7CB1727A">
        <w:trPr>
          <w:trHeight w:val="3105"/>
          <w:jc w:val="center"/>
        </w:trPr>
        <w:tc>
          <w:tcPr>
            <w:tcW w:w="1214" w:type="pct"/>
            <w:shd w:val="clear" w:color="auto" w:fill="auto"/>
            <w:vAlign w:val="center"/>
          </w:tcPr>
          <w:p w14:paraId="0A61386E" w14:textId="767D811A" w:rsidR="001D267F" w:rsidRPr="00B84AC2" w:rsidRDefault="00B23F04" w:rsidP="00202CE9">
            <w:pPr>
              <w:pStyle w:val="Paragraphedeliste"/>
              <w:ind w:left="30"/>
              <w:rPr>
                <w:rFonts w:asciiTheme="minorHAnsi" w:hAnsiTheme="minorHAnsi" w:cstheme="minorHAnsi"/>
                <w:sz w:val="22"/>
                <w:szCs w:val="22"/>
                <w:lang w:val="en-US"/>
              </w:rPr>
            </w:pPr>
            <w:r w:rsidRPr="00B84AC2">
              <w:rPr>
                <w:rFonts w:asciiTheme="minorHAnsi" w:hAnsiTheme="minorHAnsi" w:cstheme="minorHAnsi"/>
                <w:sz w:val="22"/>
                <w:szCs w:val="22"/>
                <w:lang w:val="en-US"/>
              </w:rPr>
              <w:t>UCP FSRP/MEPA</w:t>
            </w:r>
          </w:p>
          <w:p w14:paraId="4B187A11" w14:textId="7A551993" w:rsidR="00B91B2B" w:rsidRPr="00B84AC2" w:rsidRDefault="00B23F04" w:rsidP="00202CE9">
            <w:pPr>
              <w:pStyle w:val="Paragraphedeliste"/>
              <w:ind w:left="0"/>
              <w:rPr>
                <w:rFonts w:asciiTheme="minorHAnsi" w:hAnsiTheme="minorHAnsi" w:cstheme="minorHAnsi"/>
                <w:sz w:val="21"/>
                <w:szCs w:val="21"/>
                <w:lang w:val="en-US"/>
              </w:rPr>
            </w:pPr>
            <w:r w:rsidRPr="00B84AC2">
              <w:rPr>
                <w:rFonts w:asciiTheme="minorHAnsi" w:hAnsiTheme="minorHAnsi" w:cstheme="minorHAnsi"/>
                <w:sz w:val="22"/>
                <w:szCs w:val="22"/>
                <w:lang w:val="en-US"/>
              </w:rPr>
              <w:t>UCP FSRP/MAERSA</w:t>
            </w:r>
          </w:p>
        </w:tc>
        <w:tc>
          <w:tcPr>
            <w:tcW w:w="3786" w:type="pct"/>
            <w:shd w:val="clear" w:color="auto" w:fill="auto"/>
            <w:vAlign w:val="center"/>
          </w:tcPr>
          <w:p w14:paraId="050FADAE" w14:textId="0835B00D"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Gestion f</w:t>
            </w:r>
            <w:r w:rsidR="2495D490" w:rsidRPr="00E01239">
              <w:rPr>
                <w:rFonts w:asciiTheme="minorHAnsi" w:hAnsiTheme="minorHAnsi" w:cstheme="minorBidi"/>
                <w:sz w:val="21"/>
                <w:szCs w:val="21"/>
              </w:rPr>
              <w:t xml:space="preserve">iduciaire </w:t>
            </w:r>
            <w:r w:rsidRPr="00E01239">
              <w:rPr>
                <w:rFonts w:asciiTheme="minorHAnsi" w:hAnsiTheme="minorHAnsi" w:cstheme="minorBidi"/>
                <w:sz w:val="21"/>
                <w:szCs w:val="21"/>
              </w:rPr>
              <w:t>des activités environnementales et sociales du Projet</w:t>
            </w:r>
          </w:p>
          <w:p w14:paraId="458694F9"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Coordination du suivi des aspects environnementaux et sociaux et l’interface avec les autres acteurs,</w:t>
            </w:r>
          </w:p>
          <w:p w14:paraId="570DE71A"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 xml:space="preserve">Coordination de la mise en œuvre des Programmes d’Information, d’Éducation et de Sensibilisation avec les autres parties prenantes afin d’informer sur la nature des activités du Projet et les enjeux environnementaux et sociaux lors de la mise en œuvre des activités du projet.  </w:t>
            </w:r>
          </w:p>
          <w:p w14:paraId="4B67B7B2" w14:textId="6DFA8E32"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 xml:space="preserve">Sélection environnementale </w:t>
            </w:r>
            <w:r w:rsidR="00881EF8">
              <w:rPr>
                <w:rFonts w:asciiTheme="minorHAnsi" w:hAnsiTheme="minorHAnsi" w:cstheme="minorBidi"/>
                <w:sz w:val="21"/>
                <w:szCs w:val="21"/>
              </w:rPr>
              <w:t xml:space="preserve">et sociale </w:t>
            </w:r>
            <w:r w:rsidRPr="00E01239">
              <w:rPr>
                <w:rFonts w:asciiTheme="minorHAnsi" w:hAnsiTheme="minorHAnsi" w:cstheme="minorBidi"/>
                <w:sz w:val="21"/>
                <w:szCs w:val="21"/>
              </w:rPr>
              <w:t>des sous-projets</w:t>
            </w:r>
          </w:p>
          <w:p w14:paraId="64FF0D0A"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Elaboration des termes de référence et recrutement des consultants en charge de l’élaboration des études environnementales et sociales</w:t>
            </w:r>
          </w:p>
          <w:p w14:paraId="27A42F9F"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Approbation des livrables</w:t>
            </w:r>
          </w:p>
          <w:p w14:paraId="60C3AB52" w14:textId="3488F43B"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 xml:space="preserve">Intégration des clauses environnementales </w:t>
            </w:r>
            <w:r w:rsidR="00CC1A9A">
              <w:rPr>
                <w:rFonts w:asciiTheme="minorHAnsi" w:hAnsiTheme="minorHAnsi" w:cstheme="minorBidi"/>
                <w:sz w:val="21"/>
                <w:szCs w:val="21"/>
              </w:rPr>
              <w:t xml:space="preserve">et sociales </w:t>
            </w:r>
            <w:r w:rsidRPr="00E01239">
              <w:rPr>
                <w:rFonts w:asciiTheme="minorHAnsi" w:hAnsiTheme="minorHAnsi" w:cstheme="minorBidi"/>
                <w:sz w:val="21"/>
                <w:szCs w:val="21"/>
              </w:rPr>
              <w:t>dans les DAO</w:t>
            </w:r>
          </w:p>
          <w:p w14:paraId="4D904A58"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Validation des profils des experts HSE recrutés par les entreprises de travaux et les missions de contrôle</w:t>
            </w:r>
          </w:p>
          <w:p w14:paraId="0D247116" w14:textId="65748289"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Approbation des rapports de surveillance environnementale et sociale</w:t>
            </w:r>
          </w:p>
          <w:p w14:paraId="41C0C08C" w14:textId="66433E84" w:rsidR="002D1A07" w:rsidRPr="00E01239" w:rsidRDefault="0E3E83C3"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Suivi de la mise en œuvre des plans de réinstallation</w:t>
            </w:r>
          </w:p>
          <w:p w14:paraId="3380FED7" w14:textId="5CE8AE53" w:rsidR="002D1A07" w:rsidRPr="00E01239" w:rsidRDefault="0E3E83C3"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Evaluation à mi-parcours et finale du Projet</w:t>
            </w:r>
          </w:p>
        </w:tc>
      </w:tr>
      <w:tr w:rsidR="00B91B2B" w:rsidRPr="00E01239" w14:paraId="0B7036E6" w14:textId="77777777" w:rsidTr="7CB1727A">
        <w:trPr>
          <w:trHeight w:val="1102"/>
          <w:jc w:val="center"/>
        </w:trPr>
        <w:tc>
          <w:tcPr>
            <w:tcW w:w="1214" w:type="pct"/>
            <w:shd w:val="clear" w:color="auto" w:fill="auto"/>
            <w:vAlign w:val="center"/>
          </w:tcPr>
          <w:p w14:paraId="587395A1" w14:textId="77777777" w:rsidR="00B91B2B" w:rsidRPr="00E01239" w:rsidRDefault="00B91B2B" w:rsidP="00263B8A">
            <w:pPr>
              <w:rPr>
                <w:rFonts w:asciiTheme="minorHAnsi" w:hAnsiTheme="minorHAnsi" w:cstheme="minorHAnsi"/>
                <w:bCs/>
                <w:sz w:val="22"/>
                <w:szCs w:val="22"/>
              </w:rPr>
            </w:pPr>
            <w:r w:rsidRPr="00E01239">
              <w:rPr>
                <w:rFonts w:asciiTheme="minorHAnsi" w:hAnsiTheme="minorHAnsi" w:cstheme="minorHAnsi"/>
                <w:bCs/>
                <w:sz w:val="22"/>
                <w:szCs w:val="22"/>
              </w:rPr>
              <w:t xml:space="preserve">Direction de l’Environnement et des Etablissements Classés (DEEC) &amp; Divisions Régionales de l’Environnement et des Etablissements Classés (DREEC)  </w:t>
            </w:r>
          </w:p>
        </w:tc>
        <w:tc>
          <w:tcPr>
            <w:tcW w:w="3786" w:type="pct"/>
            <w:shd w:val="clear" w:color="auto" w:fill="auto"/>
            <w:vAlign w:val="center"/>
          </w:tcPr>
          <w:p w14:paraId="65402238"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Approbation des études environnementales et sociales des sous-projets</w:t>
            </w:r>
          </w:p>
          <w:p w14:paraId="686DAB4A" w14:textId="7C16E131"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 xml:space="preserve">Délivrance des certificats de conformité environnementale </w:t>
            </w:r>
          </w:p>
          <w:p w14:paraId="525113C4"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Suivi (national/local) de conformité de la mise en œuvre des mesures environnementales et sociales, hygiène, santé et sécurité du Projet.</w:t>
            </w:r>
          </w:p>
        </w:tc>
      </w:tr>
      <w:tr w:rsidR="00B91B2B" w:rsidRPr="00E01239" w14:paraId="77D7A8D5" w14:textId="77777777" w:rsidTr="7CB1727A">
        <w:trPr>
          <w:trHeight w:val="824"/>
          <w:jc w:val="center"/>
        </w:trPr>
        <w:tc>
          <w:tcPr>
            <w:tcW w:w="1214" w:type="pct"/>
            <w:shd w:val="clear" w:color="auto" w:fill="auto"/>
            <w:vAlign w:val="center"/>
          </w:tcPr>
          <w:p w14:paraId="6AF6D039" w14:textId="77777777" w:rsidR="00B91B2B" w:rsidRPr="00E01239" w:rsidRDefault="00B91B2B" w:rsidP="00996501">
            <w:pPr>
              <w:rPr>
                <w:rFonts w:asciiTheme="minorHAnsi" w:hAnsiTheme="minorHAnsi" w:cstheme="minorHAnsi"/>
                <w:bCs/>
                <w:sz w:val="22"/>
                <w:szCs w:val="22"/>
              </w:rPr>
            </w:pPr>
            <w:r w:rsidRPr="00E01239">
              <w:rPr>
                <w:rFonts w:asciiTheme="minorHAnsi" w:hAnsiTheme="minorHAnsi" w:cstheme="minorHAnsi"/>
                <w:bCs/>
                <w:sz w:val="22"/>
                <w:szCs w:val="22"/>
              </w:rPr>
              <w:t xml:space="preserve">Comités Régionaux de Suivi Environnemental (CRSE)  </w:t>
            </w:r>
          </w:p>
        </w:tc>
        <w:tc>
          <w:tcPr>
            <w:tcW w:w="3786" w:type="pct"/>
            <w:shd w:val="clear" w:color="auto" w:fill="auto"/>
            <w:vAlign w:val="center"/>
          </w:tcPr>
          <w:p w14:paraId="199EFD2A"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Appui à l’approbation des études environnementales et sociales des sous-projets</w:t>
            </w:r>
          </w:p>
          <w:p w14:paraId="036301D0"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Suivi (contrôle régalien) environnemental et social, sous la coordination des DREEC</w:t>
            </w:r>
          </w:p>
          <w:p w14:paraId="08493BF8"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Participer au remplissage du formulaire de screening</w:t>
            </w:r>
          </w:p>
          <w:p w14:paraId="7C8E3D6E"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Suivre la mise en œuvre des aspects environnementaux et sociaux des activités</w:t>
            </w:r>
          </w:p>
        </w:tc>
      </w:tr>
      <w:tr w:rsidR="00996501" w:rsidRPr="00E01239" w14:paraId="0A659540" w14:textId="77777777" w:rsidTr="7CB1727A">
        <w:trPr>
          <w:trHeight w:val="824"/>
          <w:jc w:val="center"/>
        </w:trPr>
        <w:tc>
          <w:tcPr>
            <w:tcW w:w="1214" w:type="pct"/>
            <w:shd w:val="clear" w:color="auto" w:fill="auto"/>
            <w:vAlign w:val="center"/>
          </w:tcPr>
          <w:p w14:paraId="0F784393" w14:textId="5E0C8AC7" w:rsidR="00996501" w:rsidRPr="00E01239" w:rsidRDefault="00996501" w:rsidP="00996501">
            <w:pPr>
              <w:rPr>
                <w:rFonts w:asciiTheme="minorHAnsi" w:hAnsiTheme="minorHAnsi" w:cstheme="minorHAnsi"/>
                <w:bCs/>
                <w:sz w:val="22"/>
                <w:szCs w:val="22"/>
              </w:rPr>
            </w:pPr>
            <w:r w:rsidRPr="00E01239">
              <w:rPr>
                <w:rFonts w:asciiTheme="minorHAnsi" w:hAnsiTheme="minorHAnsi" w:cstheme="minorHAnsi"/>
                <w:bCs/>
                <w:sz w:val="22"/>
                <w:szCs w:val="22"/>
              </w:rPr>
              <w:t>Direction de la Protection des Végétaux</w:t>
            </w:r>
          </w:p>
        </w:tc>
        <w:tc>
          <w:tcPr>
            <w:tcW w:w="3786" w:type="pct"/>
            <w:shd w:val="clear" w:color="auto" w:fill="auto"/>
            <w:vAlign w:val="center"/>
          </w:tcPr>
          <w:p w14:paraId="255A71B1" w14:textId="77777777" w:rsidR="00996501" w:rsidRPr="00E01239" w:rsidRDefault="48BB8C1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Appui à l’élaboration du plan de gestion des pestes et pesticides</w:t>
            </w:r>
          </w:p>
          <w:p w14:paraId="42EFC563" w14:textId="77777777" w:rsidR="00996501" w:rsidRPr="00E01239" w:rsidRDefault="48BB8C1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Identification des zones vulnérables en termes d’introduction de produits non homologués</w:t>
            </w:r>
          </w:p>
          <w:p w14:paraId="5AFDCD27" w14:textId="77777777" w:rsidR="00996501" w:rsidRPr="00E01239" w:rsidRDefault="48BB8C1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Identification des filières de gestion des contenants vides de pesticides</w:t>
            </w:r>
          </w:p>
          <w:p w14:paraId="13C5128E" w14:textId="1B2B3365" w:rsidR="00996501" w:rsidRPr="00E01239" w:rsidRDefault="48BB8C1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Appui aux initiatives de lutte contre les nuisibles</w:t>
            </w:r>
          </w:p>
        </w:tc>
      </w:tr>
      <w:tr w:rsidR="00996501" w:rsidRPr="00E01239" w14:paraId="107EC281" w14:textId="77777777" w:rsidTr="7CB1727A">
        <w:trPr>
          <w:trHeight w:val="824"/>
          <w:jc w:val="center"/>
        </w:trPr>
        <w:tc>
          <w:tcPr>
            <w:tcW w:w="1214" w:type="pct"/>
            <w:shd w:val="clear" w:color="auto" w:fill="auto"/>
            <w:vAlign w:val="center"/>
          </w:tcPr>
          <w:p w14:paraId="0EB100CA" w14:textId="0EAF9022" w:rsidR="00996501" w:rsidRPr="00E01239" w:rsidRDefault="00996501" w:rsidP="00996501">
            <w:pPr>
              <w:rPr>
                <w:rFonts w:asciiTheme="minorHAnsi" w:hAnsiTheme="minorHAnsi" w:cstheme="minorHAnsi"/>
                <w:bCs/>
                <w:sz w:val="22"/>
                <w:szCs w:val="22"/>
              </w:rPr>
            </w:pPr>
            <w:r w:rsidRPr="00E01239">
              <w:rPr>
                <w:rFonts w:asciiTheme="minorHAnsi" w:hAnsiTheme="minorHAnsi" w:cstheme="minorHAnsi"/>
                <w:bCs/>
                <w:sz w:val="22"/>
                <w:szCs w:val="22"/>
              </w:rPr>
              <w:t xml:space="preserve">Centre de suivi </w:t>
            </w:r>
            <w:r w:rsidR="00353D7E" w:rsidRPr="00E01239">
              <w:rPr>
                <w:rFonts w:asciiTheme="minorHAnsi" w:hAnsiTheme="minorHAnsi" w:cstheme="minorHAnsi"/>
                <w:bCs/>
                <w:sz w:val="22"/>
                <w:szCs w:val="22"/>
              </w:rPr>
              <w:t>écologique</w:t>
            </w:r>
          </w:p>
        </w:tc>
        <w:tc>
          <w:tcPr>
            <w:tcW w:w="3786" w:type="pct"/>
            <w:shd w:val="clear" w:color="auto" w:fill="auto"/>
            <w:vAlign w:val="center"/>
          </w:tcPr>
          <w:p w14:paraId="53F77CE7" w14:textId="77777777" w:rsidR="00996501" w:rsidRPr="00E01239" w:rsidRDefault="48BB8C1F"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Identification des zones à forte valeur écologique dans la zone d’intervention du FRSP-SN</w:t>
            </w:r>
          </w:p>
          <w:p w14:paraId="50A8ABB3" w14:textId="77777777" w:rsidR="00996501" w:rsidRPr="00E01239" w:rsidRDefault="3ED6751C"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 xml:space="preserve">Appui dans l’élaboration des plans d’occupation des sols </w:t>
            </w:r>
          </w:p>
          <w:p w14:paraId="3777F856" w14:textId="424B87AD" w:rsidR="00A32CB2" w:rsidRPr="00E01239" w:rsidRDefault="3ED6751C"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Renforcement du plan de lutte contre les feux de brousse</w:t>
            </w:r>
          </w:p>
        </w:tc>
      </w:tr>
      <w:tr w:rsidR="00A32CB2" w:rsidRPr="00E01239" w14:paraId="2E7E1EC7" w14:textId="77777777" w:rsidTr="7CB1727A">
        <w:trPr>
          <w:trHeight w:val="824"/>
          <w:jc w:val="center"/>
        </w:trPr>
        <w:tc>
          <w:tcPr>
            <w:tcW w:w="1214" w:type="pct"/>
            <w:shd w:val="clear" w:color="auto" w:fill="auto"/>
            <w:vAlign w:val="center"/>
          </w:tcPr>
          <w:p w14:paraId="53F241CC" w14:textId="1672263B" w:rsidR="00A32CB2" w:rsidRPr="00E01239" w:rsidRDefault="00A32CB2" w:rsidP="00996501">
            <w:pPr>
              <w:rPr>
                <w:rFonts w:asciiTheme="minorHAnsi" w:hAnsiTheme="minorHAnsi" w:cstheme="minorHAnsi"/>
                <w:bCs/>
                <w:sz w:val="22"/>
                <w:szCs w:val="22"/>
              </w:rPr>
            </w:pPr>
            <w:r w:rsidRPr="00E01239">
              <w:rPr>
                <w:rFonts w:asciiTheme="minorHAnsi" w:hAnsiTheme="minorHAnsi" w:cstheme="minorHAnsi"/>
                <w:bCs/>
                <w:sz w:val="22"/>
                <w:szCs w:val="22"/>
              </w:rPr>
              <w:lastRenderedPageBreak/>
              <w:t>SAED</w:t>
            </w:r>
          </w:p>
        </w:tc>
        <w:tc>
          <w:tcPr>
            <w:tcW w:w="3786" w:type="pct"/>
            <w:shd w:val="clear" w:color="auto" w:fill="auto"/>
            <w:vAlign w:val="center"/>
          </w:tcPr>
          <w:p w14:paraId="36D6CA6E" w14:textId="77777777" w:rsidR="00A32CB2" w:rsidRPr="00E01239" w:rsidRDefault="3ED6751C"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Capitalisation des expériences récentes de la SAED en matière de mise en œuvre de projets d’aménagements hydroagricoles</w:t>
            </w:r>
          </w:p>
          <w:p w14:paraId="3970D446" w14:textId="00391EAE" w:rsidR="00A32CB2" w:rsidRPr="00E01239" w:rsidRDefault="3ED6751C"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 xml:space="preserve">Appui à la détermination des techniques d’irrigation basées sur la technologique </w:t>
            </w:r>
            <w:r w:rsidR="7637AD47" w:rsidRPr="00E01239">
              <w:rPr>
                <w:rFonts w:asciiTheme="minorHAnsi" w:hAnsiTheme="minorHAnsi" w:cstheme="minorBidi"/>
                <w:sz w:val="21"/>
                <w:szCs w:val="21"/>
              </w:rPr>
              <w:t>photovoltaïque</w:t>
            </w:r>
          </w:p>
          <w:p w14:paraId="1FC2D7E6" w14:textId="77777777" w:rsidR="00A32CB2" w:rsidRPr="00E01239" w:rsidRDefault="3ED6751C"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Appui à la détermination de solutions alternatives de gestion des eaux de drainage</w:t>
            </w:r>
          </w:p>
          <w:p w14:paraId="0FD30BF3" w14:textId="3ACB5DF7" w:rsidR="00A32CB2" w:rsidRPr="00E01239" w:rsidRDefault="3ED6751C"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Appui à l’identification de plans organisationnels de renforcement des producteurs sur les bonnes pratiques en matière de gestion des engrais chimiques, des pesticides et autres matières dangereuses</w:t>
            </w:r>
          </w:p>
        </w:tc>
      </w:tr>
      <w:tr w:rsidR="00B91B2B" w:rsidRPr="00E01239" w14:paraId="61A87F3A" w14:textId="77777777" w:rsidTr="7CB1727A">
        <w:trPr>
          <w:trHeight w:val="697"/>
          <w:jc w:val="center"/>
        </w:trPr>
        <w:tc>
          <w:tcPr>
            <w:tcW w:w="1214" w:type="pct"/>
            <w:shd w:val="clear" w:color="auto" w:fill="auto"/>
            <w:vAlign w:val="center"/>
          </w:tcPr>
          <w:p w14:paraId="2774E798" w14:textId="77777777" w:rsidR="00B91B2B" w:rsidRPr="00E01239" w:rsidRDefault="00B91B2B" w:rsidP="00263B8A">
            <w:pPr>
              <w:rPr>
                <w:rFonts w:asciiTheme="minorHAnsi" w:hAnsiTheme="minorHAnsi" w:cstheme="minorHAnsi"/>
                <w:bCs/>
                <w:sz w:val="22"/>
                <w:szCs w:val="22"/>
              </w:rPr>
            </w:pPr>
            <w:r w:rsidRPr="00E01239">
              <w:rPr>
                <w:rFonts w:asciiTheme="minorHAnsi" w:hAnsiTheme="minorHAnsi" w:cstheme="minorHAnsi"/>
                <w:bCs/>
                <w:sz w:val="22"/>
                <w:szCs w:val="22"/>
              </w:rPr>
              <w:t xml:space="preserve">Entreprises contractantes </w:t>
            </w:r>
          </w:p>
        </w:tc>
        <w:tc>
          <w:tcPr>
            <w:tcW w:w="3786" w:type="pct"/>
            <w:shd w:val="clear" w:color="auto" w:fill="auto"/>
            <w:vAlign w:val="center"/>
          </w:tcPr>
          <w:p w14:paraId="4AE58191"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Préparer et mettre en œuvre leurs propres PGES-Chantier, incluant le plan Santé et Sécurité. A cet effet, les entreprises devront disposer d’une équipe composée d’un spécialiste en Santé - Sécurité et d’un Environnementaliste</w:t>
            </w:r>
          </w:p>
        </w:tc>
      </w:tr>
      <w:tr w:rsidR="00B91B2B" w:rsidRPr="00E01239" w14:paraId="2FFF0C11" w14:textId="77777777" w:rsidTr="7CB1727A">
        <w:trPr>
          <w:trHeight w:val="539"/>
          <w:jc w:val="center"/>
        </w:trPr>
        <w:tc>
          <w:tcPr>
            <w:tcW w:w="1214" w:type="pct"/>
            <w:shd w:val="clear" w:color="auto" w:fill="auto"/>
            <w:vAlign w:val="center"/>
          </w:tcPr>
          <w:p w14:paraId="1825AEF6" w14:textId="77777777" w:rsidR="00B91B2B" w:rsidRPr="00E01239" w:rsidRDefault="00B91B2B" w:rsidP="00263B8A">
            <w:pPr>
              <w:rPr>
                <w:rFonts w:asciiTheme="minorHAnsi" w:hAnsiTheme="minorHAnsi" w:cstheme="minorHAnsi"/>
                <w:bCs/>
                <w:sz w:val="22"/>
                <w:szCs w:val="22"/>
              </w:rPr>
            </w:pPr>
            <w:r w:rsidRPr="00E01239">
              <w:rPr>
                <w:rFonts w:asciiTheme="minorHAnsi" w:hAnsiTheme="minorHAnsi" w:cstheme="minorHAnsi"/>
                <w:bCs/>
                <w:sz w:val="22"/>
                <w:szCs w:val="22"/>
              </w:rPr>
              <w:t xml:space="preserve">Consultants (consultant individuel ou Bureaux d’études et de contrôle) </w:t>
            </w:r>
          </w:p>
        </w:tc>
        <w:tc>
          <w:tcPr>
            <w:tcW w:w="3786" w:type="pct"/>
            <w:shd w:val="clear" w:color="auto" w:fill="auto"/>
            <w:vAlign w:val="center"/>
          </w:tcPr>
          <w:p w14:paraId="78B5D381"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Assurer le contrôle de l’effectivité et de l’efficience de l’exécution des mesures environnementales et sociales ;</w:t>
            </w:r>
          </w:p>
          <w:p w14:paraId="727FE848"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Assurer le suivi de la mise en œuvre des PGES-Chantier, en ayant dans leur équipe un superviseur spécialisé en Hygiène-Sécurité-Environnement.</w:t>
            </w:r>
          </w:p>
        </w:tc>
      </w:tr>
      <w:tr w:rsidR="00B91B2B" w:rsidRPr="00E01239" w14:paraId="57909041" w14:textId="77777777" w:rsidTr="7CB1727A">
        <w:trPr>
          <w:trHeight w:val="707"/>
          <w:jc w:val="center"/>
        </w:trPr>
        <w:tc>
          <w:tcPr>
            <w:tcW w:w="1214" w:type="pct"/>
            <w:shd w:val="clear" w:color="auto" w:fill="auto"/>
            <w:vAlign w:val="center"/>
          </w:tcPr>
          <w:p w14:paraId="667EB008" w14:textId="77777777" w:rsidR="00B91B2B" w:rsidRPr="00E01239" w:rsidRDefault="00B91B2B" w:rsidP="00263B8A">
            <w:pPr>
              <w:rPr>
                <w:rFonts w:asciiTheme="minorHAnsi" w:hAnsiTheme="minorHAnsi" w:cstheme="minorHAnsi"/>
                <w:bCs/>
                <w:sz w:val="22"/>
                <w:szCs w:val="22"/>
              </w:rPr>
            </w:pPr>
            <w:r w:rsidRPr="00E01239">
              <w:rPr>
                <w:rFonts w:asciiTheme="minorHAnsi" w:hAnsiTheme="minorHAnsi" w:cstheme="minorHAnsi"/>
                <w:bCs/>
                <w:sz w:val="22"/>
                <w:szCs w:val="22"/>
              </w:rPr>
              <w:t>OSC et OCB, les Populations</w:t>
            </w:r>
          </w:p>
        </w:tc>
        <w:tc>
          <w:tcPr>
            <w:tcW w:w="3786" w:type="pct"/>
            <w:shd w:val="clear" w:color="auto" w:fill="auto"/>
            <w:vAlign w:val="center"/>
          </w:tcPr>
          <w:p w14:paraId="2534042A" w14:textId="77777777" w:rsidR="00B91B2B" w:rsidRPr="00E01239" w:rsidRDefault="4CA66A4B" w:rsidP="00027669">
            <w:pPr>
              <w:numPr>
                <w:ilvl w:val="0"/>
                <w:numId w:val="156"/>
              </w:numPr>
              <w:ind w:left="324" w:hanging="283"/>
              <w:jc w:val="both"/>
              <w:rPr>
                <w:rFonts w:asciiTheme="minorHAnsi" w:hAnsiTheme="minorHAnsi" w:cstheme="minorHAnsi"/>
                <w:sz w:val="21"/>
                <w:szCs w:val="21"/>
              </w:rPr>
            </w:pPr>
            <w:r w:rsidRPr="00E01239">
              <w:rPr>
                <w:rFonts w:asciiTheme="minorHAnsi" w:hAnsiTheme="minorHAnsi" w:cstheme="minorBidi"/>
                <w:sz w:val="21"/>
                <w:szCs w:val="21"/>
              </w:rPr>
              <w:t>Participer au suivi de proximité de la mise en œuvre des recommandations du PGES et du PMPP, surtout à l’information et la sensibilisation des populations.</w:t>
            </w:r>
          </w:p>
        </w:tc>
      </w:tr>
    </w:tbl>
    <w:p w14:paraId="5FFAF503" w14:textId="77777777" w:rsidR="00B91B2B" w:rsidRPr="00E01239" w:rsidRDefault="00B91B2B" w:rsidP="00B91B2B">
      <w:pPr>
        <w:rPr>
          <w:rFonts w:asciiTheme="minorHAnsi" w:hAnsiTheme="minorHAnsi" w:cstheme="minorHAnsi"/>
        </w:rPr>
      </w:pPr>
    </w:p>
    <w:p w14:paraId="39966768" w14:textId="77777777" w:rsidR="00B91B2B" w:rsidRPr="00E01239" w:rsidRDefault="00B91B2B" w:rsidP="00B91B2B">
      <w:pPr>
        <w:rPr>
          <w:rFonts w:asciiTheme="minorHAnsi" w:hAnsiTheme="minorHAnsi" w:cstheme="minorHAnsi"/>
        </w:rPr>
        <w:sectPr w:rsidR="00B91B2B" w:rsidRPr="00E01239" w:rsidSect="005D0728">
          <w:pgSz w:w="16840" w:h="11907" w:orient="landscape" w:code="9"/>
          <w:pgMar w:top="1134" w:right="1701" w:bottom="1134" w:left="851" w:header="709" w:footer="782" w:gutter="0"/>
          <w:pgBorders w:offsetFrom="page">
            <w:top w:val="none" w:sz="0" w:space="14" w:color="000000" w:shadow="1"/>
            <w:left w:val="none" w:sz="55" w:space="20" w:color="000030" w:shadow="1" w:frame="1"/>
            <w:bottom w:val="none" w:sz="55" w:space="13" w:color="000030" w:shadow="1" w:frame="1"/>
            <w:right w:val="none" w:sz="0" w:space="14" w:color="0000B4" w:shadow="1"/>
          </w:pgBorders>
          <w:cols w:space="708"/>
          <w:docGrid w:linePitch="360"/>
        </w:sectPr>
      </w:pPr>
    </w:p>
    <w:p w14:paraId="5A09C929" w14:textId="77777777" w:rsidR="00B91B2B" w:rsidRPr="00E01239" w:rsidRDefault="00B91B2B" w:rsidP="0011733B">
      <w:pPr>
        <w:pStyle w:val="Titre3"/>
        <w:ind w:left="1560" w:hanging="851"/>
        <w:contextualSpacing w:val="0"/>
        <w:rPr>
          <w:rFonts w:asciiTheme="minorHAnsi" w:hAnsiTheme="minorHAnsi" w:cstheme="minorHAnsi"/>
        </w:rPr>
      </w:pPr>
      <w:bookmarkStart w:id="1333" w:name="_Toc63285604"/>
      <w:bookmarkStart w:id="1334" w:name="_Toc88861482"/>
      <w:bookmarkStart w:id="1335" w:name="_Toc144654169"/>
      <w:r w:rsidRPr="00E01239">
        <w:rPr>
          <w:rFonts w:asciiTheme="minorHAnsi" w:hAnsiTheme="minorHAnsi" w:cstheme="minorHAnsi"/>
        </w:rPr>
        <w:lastRenderedPageBreak/>
        <w:t>Evaluation des capacités des parties prenantes en matière de gestion environnementale et sociale et mesures de renforcement</w:t>
      </w:r>
      <w:bookmarkEnd w:id="1333"/>
      <w:bookmarkEnd w:id="1334"/>
      <w:bookmarkEnd w:id="1335"/>
      <w:r w:rsidRPr="00E01239">
        <w:rPr>
          <w:rFonts w:asciiTheme="minorHAnsi" w:hAnsiTheme="minorHAnsi" w:cstheme="minorHAnsi"/>
        </w:rPr>
        <w:t xml:space="preserve"> </w:t>
      </w:r>
    </w:p>
    <w:p w14:paraId="44771591" w14:textId="51F99EB5" w:rsidR="00B91B2B" w:rsidRPr="00E01239" w:rsidRDefault="00B91B2B" w:rsidP="00263B8A">
      <w:pPr>
        <w:spacing w:before="120" w:line="280" w:lineRule="exact"/>
        <w:jc w:val="both"/>
        <w:rPr>
          <w:rFonts w:asciiTheme="minorHAnsi" w:hAnsiTheme="minorHAnsi" w:cstheme="minorHAnsi"/>
          <w:bCs/>
          <w:sz w:val="22"/>
          <w:szCs w:val="22"/>
        </w:rPr>
      </w:pPr>
      <w:r w:rsidRPr="00E01239">
        <w:rPr>
          <w:rFonts w:asciiTheme="minorHAnsi" w:hAnsiTheme="minorHAnsi" w:cstheme="minorHAnsi"/>
          <w:bCs/>
          <w:sz w:val="22"/>
          <w:szCs w:val="22"/>
        </w:rPr>
        <w:t xml:space="preserve">La gestion environnementale et sociale du </w:t>
      </w:r>
      <w:r w:rsidR="00A32CB2" w:rsidRPr="00E01239">
        <w:rPr>
          <w:rFonts w:asciiTheme="minorHAnsi" w:hAnsiTheme="minorHAnsi" w:cstheme="minorHAnsi"/>
          <w:bCs/>
          <w:sz w:val="22"/>
          <w:szCs w:val="22"/>
        </w:rPr>
        <w:t xml:space="preserve">FSRP-SN </w:t>
      </w:r>
      <w:r w:rsidRPr="00E01239">
        <w:rPr>
          <w:rFonts w:asciiTheme="minorHAnsi" w:hAnsiTheme="minorHAnsi" w:cstheme="minorHAnsi"/>
          <w:bCs/>
          <w:sz w:val="22"/>
          <w:szCs w:val="22"/>
        </w:rPr>
        <w:t xml:space="preserve">implique diverses parties prenantes dont les qualifications et les expériences doivent répondre aux exigences du CGES conformément aux NES de la Banque mondiale et celles de la législation nationale applicables au Projet. L’analyse des capacités en matière de gestion environnementale et sociale est résumée dans le tableau </w:t>
      </w:r>
      <w:r w:rsidR="009D5351">
        <w:rPr>
          <w:rFonts w:asciiTheme="minorHAnsi" w:hAnsiTheme="minorHAnsi" w:cstheme="minorHAnsi"/>
          <w:bCs/>
          <w:sz w:val="22"/>
          <w:szCs w:val="22"/>
        </w:rPr>
        <w:t xml:space="preserve">38 </w:t>
      </w:r>
      <w:r w:rsidRPr="00E01239">
        <w:rPr>
          <w:rFonts w:asciiTheme="minorHAnsi" w:hAnsiTheme="minorHAnsi" w:cstheme="minorHAnsi"/>
          <w:bCs/>
          <w:sz w:val="22"/>
          <w:szCs w:val="22"/>
        </w:rPr>
        <w:t>suivant.</w:t>
      </w:r>
    </w:p>
    <w:p w14:paraId="27833631" w14:textId="77777777" w:rsidR="00B91B2B" w:rsidRPr="00E01239" w:rsidRDefault="00B91B2B" w:rsidP="00B91B2B">
      <w:pPr>
        <w:jc w:val="both"/>
        <w:rPr>
          <w:rFonts w:asciiTheme="minorHAnsi" w:hAnsiTheme="minorHAnsi" w:cstheme="minorHAnsi"/>
          <w:bCs/>
          <w:sz w:val="22"/>
          <w:szCs w:val="22"/>
        </w:rPr>
      </w:pPr>
    </w:p>
    <w:p w14:paraId="6FC2B975" w14:textId="77777777" w:rsidR="00B91B2B" w:rsidRPr="00E01239" w:rsidRDefault="00B91B2B" w:rsidP="00B91B2B">
      <w:pPr>
        <w:pStyle w:val="Lgende"/>
        <w:jc w:val="center"/>
        <w:rPr>
          <w:rFonts w:asciiTheme="minorHAnsi" w:hAnsiTheme="minorHAnsi" w:cstheme="minorHAnsi"/>
          <w:sz w:val="18"/>
          <w:szCs w:val="18"/>
        </w:rPr>
        <w:sectPr w:rsidR="00B91B2B" w:rsidRPr="00E01239" w:rsidSect="002A1D26">
          <w:pgSz w:w="11907" w:h="16840" w:code="9"/>
          <w:pgMar w:top="1418" w:right="1418" w:bottom="1418" w:left="1418" w:header="720" w:footer="720" w:gutter="0"/>
          <w:cols w:space="60"/>
          <w:noEndnote/>
        </w:sectPr>
      </w:pPr>
    </w:p>
    <w:p w14:paraId="1C51BE88" w14:textId="14CA153B" w:rsidR="00B91B2B" w:rsidRPr="00E01239" w:rsidRDefault="00B91B2B" w:rsidP="00B91B2B">
      <w:pPr>
        <w:pStyle w:val="Lgende"/>
        <w:jc w:val="center"/>
        <w:rPr>
          <w:rFonts w:asciiTheme="minorHAnsi" w:hAnsiTheme="minorHAnsi" w:cstheme="minorHAnsi"/>
          <w:sz w:val="22"/>
          <w:szCs w:val="22"/>
        </w:rPr>
      </w:pPr>
      <w:bookmarkStart w:id="1336" w:name="_Toc63281799"/>
      <w:bookmarkStart w:id="1337" w:name="_Toc88861289"/>
      <w:bookmarkStart w:id="1338" w:name="_Toc144654218"/>
      <w:r w:rsidRPr="00E01239">
        <w:rPr>
          <w:rFonts w:asciiTheme="minorHAnsi" w:hAnsiTheme="minorHAnsi" w:cstheme="minorHAnsi"/>
          <w:sz w:val="22"/>
          <w:szCs w:val="22"/>
        </w:rPr>
        <w:lastRenderedPageBreak/>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24</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xml:space="preserve">: </w:t>
      </w:r>
      <w:r w:rsidRPr="00E01239">
        <w:rPr>
          <w:rFonts w:asciiTheme="minorHAnsi" w:hAnsiTheme="minorHAnsi" w:cstheme="minorHAnsi"/>
          <w:b w:val="0"/>
          <w:bCs w:val="0"/>
          <w:sz w:val="22"/>
          <w:szCs w:val="22"/>
        </w:rPr>
        <w:t>Synthèse des capacités de gestion environnementale et sociale des acteurs et mesures de renforcement</w:t>
      </w:r>
      <w:bookmarkEnd w:id="1336"/>
      <w:bookmarkEnd w:id="1337"/>
      <w:bookmarkEnd w:id="1338"/>
      <w:r w:rsidRPr="00E01239">
        <w:rPr>
          <w:rFonts w:asciiTheme="minorHAnsi" w:hAnsiTheme="minorHAnsi" w:cstheme="minorHAnsi"/>
          <w:sz w:val="22"/>
          <w:szCs w:val="22"/>
        </w:rPr>
        <w:t xml:space="preserve"> </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96"/>
        <w:gridCol w:w="3261"/>
        <w:gridCol w:w="4677"/>
        <w:gridCol w:w="4360"/>
      </w:tblGrid>
      <w:tr w:rsidR="00B91B2B" w:rsidRPr="00E01239" w14:paraId="7B05E3EE" w14:textId="77777777" w:rsidTr="00202CE9">
        <w:trPr>
          <w:trHeight w:val="113"/>
          <w:tblHeader/>
          <w:jc w:val="center"/>
        </w:trPr>
        <w:tc>
          <w:tcPr>
            <w:tcW w:w="1696" w:type="dxa"/>
            <w:vMerge w:val="restart"/>
            <w:shd w:val="clear" w:color="auto" w:fill="1F3864" w:themeFill="accent5" w:themeFillShade="80"/>
            <w:vAlign w:val="center"/>
          </w:tcPr>
          <w:p w14:paraId="07073928" w14:textId="77777777" w:rsidR="00B91B2B" w:rsidRPr="00E01239" w:rsidRDefault="00B91B2B" w:rsidP="00F73EAB">
            <w:pPr>
              <w:jc w:val="center"/>
              <w:rPr>
                <w:rFonts w:asciiTheme="minorHAnsi" w:hAnsiTheme="minorHAnsi" w:cstheme="minorHAnsi"/>
                <w:bCs/>
                <w:sz w:val="20"/>
                <w:szCs w:val="20"/>
              </w:rPr>
            </w:pPr>
            <w:r w:rsidRPr="00E01239">
              <w:rPr>
                <w:rFonts w:asciiTheme="minorHAnsi" w:hAnsiTheme="minorHAnsi" w:cstheme="minorHAnsi"/>
                <w:bCs/>
                <w:sz w:val="20"/>
                <w:szCs w:val="20"/>
              </w:rPr>
              <w:t>Acteurs</w:t>
            </w:r>
          </w:p>
        </w:tc>
        <w:tc>
          <w:tcPr>
            <w:tcW w:w="7938" w:type="dxa"/>
            <w:gridSpan w:val="2"/>
            <w:shd w:val="clear" w:color="auto" w:fill="1F3864" w:themeFill="accent5" w:themeFillShade="80"/>
            <w:vAlign w:val="center"/>
          </w:tcPr>
          <w:p w14:paraId="3B286D87" w14:textId="77777777" w:rsidR="00B91B2B" w:rsidRPr="00E01239" w:rsidRDefault="00B91B2B" w:rsidP="00F73EAB">
            <w:pPr>
              <w:jc w:val="center"/>
              <w:rPr>
                <w:rFonts w:asciiTheme="minorHAnsi" w:hAnsiTheme="minorHAnsi" w:cstheme="minorHAnsi"/>
                <w:bCs/>
                <w:sz w:val="20"/>
                <w:szCs w:val="20"/>
              </w:rPr>
            </w:pPr>
            <w:r w:rsidRPr="00E01239">
              <w:rPr>
                <w:rFonts w:asciiTheme="minorHAnsi" w:hAnsiTheme="minorHAnsi" w:cstheme="minorHAnsi"/>
                <w:bCs/>
                <w:sz w:val="20"/>
                <w:szCs w:val="20"/>
              </w:rPr>
              <w:t>Capacités</w:t>
            </w:r>
          </w:p>
        </w:tc>
        <w:tc>
          <w:tcPr>
            <w:tcW w:w="4360" w:type="dxa"/>
            <w:vMerge w:val="restart"/>
            <w:shd w:val="clear" w:color="auto" w:fill="1F3864" w:themeFill="accent5" w:themeFillShade="80"/>
            <w:vAlign w:val="center"/>
          </w:tcPr>
          <w:p w14:paraId="18FE9E26" w14:textId="77777777" w:rsidR="00B91B2B" w:rsidRPr="00E01239" w:rsidRDefault="00B91B2B" w:rsidP="00F73EAB">
            <w:pPr>
              <w:jc w:val="center"/>
              <w:rPr>
                <w:rFonts w:asciiTheme="minorHAnsi" w:hAnsiTheme="minorHAnsi" w:cstheme="minorHAnsi"/>
                <w:bCs/>
                <w:sz w:val="20"/>
                <w:szCs w:val="20"/>
              </w:rPr>
            </w:pPr>
            <w:r w:rsidRPr="00E01239">
              <w:rPr>
                <w:rFonts w:asciiTheme="minorHAnsi" w:hAnsiTheme="minorHAnsi" w:cstheme="minorHAnsi"/>
                <w:bCs/>
                <w:sz w:val="20"/>
                <w:szCs w:val="20"/>
              </w:rPr>
              <w:t xml:space="preserve">Mesures de renforcement </w:t>
            </w:r>
          </w:p>
        </w:tc>
      </w:tr>
      <w:tr w:rsidR="00B91B2B" w:rsidRPr="00E01239" w14:paraId="04B012E7" w14:textId="77777777" w:rsidTr="00F73EAB">
        <w:trPr>
          <w:trHeight w:val="488"/>
          <w:jc w:val="center"/>
        </w:trPr>
        <w:tc>
          <w:tcPr>
            <w:tcW w:w="1696" w:type="dxa"/>
            <w:vMerge/>
            <w:shd w:val="clear" w:color="auto" w:fill="1F3864" w:themeFill="accent5" w:themeFillShade="80"/>
            <w:vAlign w:val="center"/>
          </w:tcPr>
          <w:p w14:paraId="2C061048" w14:textId="77777777" w:rsidR="00B91B2B" w:rsidRPr="00E01239" w:rsidRDefault="00B91B2B" w:rsidP="00F73EAB">
            <w:pPr>
              <w:jc w:val="both"/>
              <w:rPr>
                <w:rFonts w:asciiTheme="minorHAnsi" w:hAnsiTheme="minorHAnsi" w:cstheme="minorHAnsi"/>
                <w:bCs/>
                <w:sz w:val="20"/>
                <w:szCs w:val="20"/>
              </w:rPr>
            </w:pPr>
          </w:p>
        </w:tc>
        <w:tc>
          <w:tcPr>
            <w:tcW w:w="3261" w:type="dxa"/>
            <w:shd w:val="clear" w:color="auto" w:fill="1F3864" w:themeFill="accent5" w:themeFillShade="80"/>
            <w:vAlign w:val="center"/>
          </w:tcPr>
          <w:p w14:paraId="7FAB6681" w14:textId="77777777" w:rsidR="00B91B2B" w:rsidRPr="00E01239" w:rsidRDefault="00B91B2B" w:rsidP="00F73EAB">
            <w:pPr>
              <w:jc w:val="center"/>
              <w:rPr>
                <w:rFonts w:asciiTheme="minorHAnsi" w:hAnsiTheme="minorHAnsi" w:cstheme="minorHAnsi"/>
                <w:bCs/>
                <w:sz w:val="20"/>
                <w:szCs w:val="20"/>
              </w:rPr>
            </w:pPr>
            <w:r w:rsidRPr="00E01239">
              <w:rPr>
                <w:rFonts w:asciiTheme="minorHAnsi" w:hAnsiTheme="minorHAnsi" w:cstheme="minorHAnsi"/>
                <w:bCs/>
                <w:sz w:val="20"/>
                <w:szCs w:val="20"/>
              </w:rPr>
              <w:t>Atouts</w:t>
            </w:r>
          </w:p>
        </w:tc>
        <w:tc>
          <w:tcPr>
            <w:tcW w:w="4677" w:type="dxa"/>
            <w:shd w:val="clear" w:color="auto" w:fill="1F3864" w:themeFill="accent5" w:themeFillShade="80"/>
            <w:vAlign w:val="center"/>
          </w:tcPr>
          <w:p w14:paraId="6D886696" w14:textId="77777777" w:rsidR="00B91B2B" w:rsidRPr="00E01239" w:rsidRDefault="00B91B2B" w:rsidP="00F73EAB">
            <w:pPr>
              <w:jc w:val="center"/>
              <w:rPr>
                <w:rFonts w:asciiTheme="minorHAnsi" w:hAnsiTheme="minorHAnsi" w:cstheme="minorHAnsi"/>
                <w:bCs/>
                <w:sz w:val="20"/>
                <w:szCs w:val="20"/>
              </w:rPr>
            </w:pPr>
            <w:r w:rsidRPr="00E01239">
              <w:rPr>
                <w:rFonts w:asciiTheme="minorHAnsi" w:hAnsiTheme="minorHAnsi" w:cstheme="minorHAnsi"/>
                <w:bCs/>
                <w:sz w:val="20"/>
                <w:szCs w:val="20"/>
              </w:rPr>
              <w:t>Limites</w:t>
            </w:r>
          </w:p>
        </w:tc>
        <w:tc>
          <w:tcPr>
            <w:tcW w:w="4360" w:type="dxa"/>
            <w:vMerge/>
            <w:shd w:val="clear" w:color="auto" w:fill="1F3864" w:themeFill="accent5" w:themeFillShade="80"/>
            <w:vAlign w:val="center"/>
          </w:tcPr>
          <w:p w14:paraId="24D46EEC" w14:textId="77777777" w:rsidR="00B91B2B" w:rsidRPr="00E01239" w:rsidRDefault="00B91B2B" w:rsidP="00F73EAB">
            <w:pPr>
              <w:jc w:val="both"/>
              <w:rPr>
                <w:rFonts w:asciiTheme="minorHAnsi" w:hAnsiTheme="minorHAnsi" w:cstheme="minorHAnsi"/>
                <w:bCs/>
                <w:sz w:val="20"/>
                <w:szCs w:val="20"/>
              </w:rPr>
            </w:pPr>
          </w:p>
        </w:tc>
      </w:tr>
      <w:tr w:rsidR="00B91B2B" w:rsidRPr="00E01239" w14:paraId="13C8A636" w14:textId="77777777" w:rsidTr="00F73EAB">
        <w:trPr>
          <w:trHeight w:val="1969"/>
          <w:jc w:val="center"/>
        </w:trPr>
        <w:tc>
          <w:tcPr>
            <w:tcW w:w="1696" w:type="dxa"/>
            <w:vAlign w:val="center"/>
          </w:tcPr>
          <w:p w14:paraId="5272C8D2" w14:textId="5C300B3F" w:rsidR="00B23F04" w:rsidRPr="00E01239" w:rsidRDefault="00B23F04" w:rsidP="00F73EAB">
            <w:pPr>
              <w:rPr>
                <w:rFonts w:asciiTheme="minorHAnsi" w:hAnsiTheme="minorHAnsi" w:cstheme="minorHAnsi"/>
                <w:sz w:val="20"/>
                <w:szCs w:val="20"/>
              </w:rPr>
            </w:pPr>
            <w:r w:rsidRPr="00E01239">
              <w:rPr>
                <w:rFonts w:asciiTheme="minorHAnsi" w:hAnsiTheme="minorHAnsi" w:cstheme="minorHAnsi"/>
                <w:sz w:val="20"/>
                <w:szCs w:val="20"/>
              </w:rPr>
              <w:t>MEPA</w:t>
            </w:r>
          </w:p>
          <w:p w14:paraId="71D1E01D" w14:textId="4D7796C4" w:rsidR="00B91B2B" w:rsidRPr="00E01239" w:rsidRDefault="00B23F04" w:rsidP="00F73EAB">
            <w:pPr>
              <w:rPr>
                <w:rFonts w:asciiTheme="minorHAnsi" w:hAnsiTheme="minorHAnsi" w:cstheme="minorHAnsi"/>
                <w:sz w:val="20"/>
                <w:szCs w:val="20"/>
              </w:rPr>
            </w:pPr>
            <w:r w:rsidRPr="00E01239">
              <w:rPr>
                <w:rFonts w:asciiTheme="minorHAnsi" w:hAnsiTheme="minorHAnsi" w:cstheme="minorHAnsi"/>
                <w:sz w:val="20"/>
                <w:szCs w:val="20"/>
              </w:rPr>
              <w:t>MAERSA</w:t>
            </w:r>
          </w:p>
        </w:tc>
        <w:tc>
          <w:tcPr>
            <w:tcW w:w="3261" w:type="dxa"/>
            <w:vAlign w:val="center"/>
          </w:tcPr>
          <w:p w14:paraId="62B70937" w14:textId="064198EA" w:rsidR="00B91B2B" w:rsidRPr="00E01239" w:rsidRDefault="00081A8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Plusieurs projets identifiés et préparés suivant les exigences du CES de la Banque mondiale</w:t>
            </w:r>
          </w:p>
        </w:tc>
        <w:tc>
          <w:tcPr>
            <w:tcW w:w="4677" w:type="dxa"/>
            <w:vAlign w:val="center"/>
          </w:tcPr>
          <w:p w14:paraId="55C5476A"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Absence d’expertise sur les questions de VBG/EAS/HS</w:t>
            </w:r>
          </w:p>
          <w:p w14:paraId="0C518FAB" w14:textId="71D6A22C" w:rsidR="00081A8B" w:rsidRPr="00E01239" w:rsidRDefault="00081A8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 xml:space="preserve">Les </w:t>
            </w:r>
            <w:r w:rsidR="00697B37" w:rsidRPr="00E01239">
              <w:rPr>
                <w:rFonts w:asciiTheme="minorHAnsi" w:hAnsiTheme="minorHAnsi" w:cstheme="minorHAnsi"/>
                <w:sz w:val="20"/>
                <w:szCs w:val="20"/>
              </w:rPr>
              <w:t>Ministères</w:t>
            </w:r>
            <w:r w:rsidRPr="00E01239">
              <w:rPr>
                <w:rFonts w:asciiTheme="minorHAnsi" w:hAnsiTheme="minorHAnsi" w:cstheme="minorHAnsi"/>
                <w:sz w:val="20"/>
                <w:szCs w:val="20"/>
              </w:rPr>
              <w:t xml:space="preserve"> ne sont pas dotés, dans leur organigramme, d’une entité en charge de la gestion environnementale et sociale capable de piloter la phase d’identification et de </w:t>
            </w:r>
            <w:r w:rsidR="00697B37" w:rsidRPr="00E01239">
              <w:rPr>
                <w:rFonts w:asciiTheme="minorHAnsi" w:hAnsiTheme="minorHAnsi" w:cstheme="minorHAnsi"/>
                <w:sz w:val="20"/>
                <w:szCs w:val="20"/>
              </w:rPr>
              <w:t>préparation</w:t>
            </w:r>
            <w:r w:rsidRPr="00E01239">
              <w:rPr>
                <w:rFonts w:asciiTheme="minorHAnsi" w:hAnsiTheme="minorHAnsi" w:cstheme="minorHAnsi"/>
                <w:sz w:val="20"/>
                <w:szCs w:val="20"/>
              </w:rPr>
              <w:t xml:space="preserve"> des projets</w:t>
            </w:r>
          </w:p>
          <w:p w14:paraId="22E9794B" w14:textId="79B2A057" w:rsidR="00081A8B" w:rsidRPr="00E01239" w:rsidRDefault="00081A8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Les ministères s’adossent sur l’expertise de personnel mobilisé dans des unités de coordination</w:t>
            </w:r>
            <w:r w:rsidR="00D342E9" w:rsidRPr="00E01239">
              <w:rPr>
                <w:rFonts w:asciiTheme="minorHAnsi" w:hAnsiTheme="minorHAnsi" w:cstheme="minorHAnsi"/>
                <w:sz w:val="20"/>
                <w:szCs w:val="20"/>
              </w:rPr>
              <w:t xml:space="preserve"> des projets</w:t>
            </w:r>
            <w:r w:rsidRPr="00E01239">
              <w:rPr>
                <w:rFonts w:asciiTheme="minorHAnsi" w:hAnsiTheme="minorHAnsi" w:cstheme="minorHAnsi"/>
                <w:sz w:val="20"/>
                <w:szCs w:val="20"/>
              </w:rPr>
              <w:t xml:space="preserve"> existantes</w:t>
            </w:r>
            <w:r w:rsidR="00D342E9" w:rsidRPr="00E01239">
              <w:rPr>
                <w:rFonts w:asciiTheme="minorHAnsi" w:hAnsiTheme="minorHAnsi" w:cstheme="minorHAnsi"/>
                <w:sz w:val="20"/>
                <w:szCs w:val="20"/>
              </w:rPr>
              <w:t xml:space="preserve">, ce qui augmente la charge de travail de ces experts </w:t>
            </w:r>
          </w:p>
        </w:tc>
        <w:tc>
          <w:tcPr>
            <w:tcW w:w="4360" w:type="dxa"/>
            <w:vAlign w:val="center"/>
          </w:tcPr>
          <w:p w14:paraId="46127A5A"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Recrutement d’un expert Genre et VBG</w:t>
            </w:r>
          </w:p>
          <w:p w14:paraId="71DF04D0" w14:textId="05EEC4F2" w:rsidR="00D342E9" w:rsidRPr="00E01239" w:rsidRDefault="00D342E9"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 xml:space="preserve">Mettre en place des cellules E&amp;S au sein des ministères </w:t>
            </w:r>
          </w:p>
        </w:tc>
      </w:tr>
      <w:tr w:rsidR="00B91B2B" w:rsidRPr="00E01239" w14:paraId="05A9A3F5" w14:textId="77777777" w:rsidTr="00F73EAB">
        <w:trPr>
          <w:trHeight w:val="2932"/>
          <w:jc w:val="center"/>
        </w:trPr>
        <w:tc>
          <w:tcPr>
            <w:tcW w:w="1696" w:type="dxa"/>
            <w:vAlign w:val="center"/>
          </w:tcPr>
          <w:p w14:paraId="2E3F5BD3" w14:textId="77777777" w:rsidR="00B91B2B" w:rsidRDefault="00B91B2B" w:rsidP="00F73EAB">
            <w:pPr>
              <w:rPr>
                <w:rFonts w:asciiTheme="minorHAnsi" w:hAnsiTheme="minorHAnsi" w:cstheme="minorHAnsi"/>
                <w:sz w:val="20"/>
                <w:szCs w:val="20"/>
              </w:rPr>
            </w:pPr>
            <w:r w:rsidRPr="00E01239">
              <w:rPr>
                <w:rFonts w:asciiTheme="minorHAnsi" w:hAnsiTheme="minorHAnsi" w:cstheme="minorHAnsi"/>
                <w:sz w:val="20"/>
                <w:szCs w:val="20"/>
              </w:rPr>
              <w:t>DEEC</w:t>
            </w:r>
          </w:p>
          <w:p w14:paraId="139D28D5" w14:textId="4BD010C5" w:rsidR="0025277A" w:rsidRPr="00E01239" w:rsidRDefault="0025277A" w:rsidP="00F73EAB">
            <w:pPr>
              <w:rPr>
                <w:rFonts w:asciiTheme="minorHAnsi" w:hAnsiTheme="minorHAnsi" w:cstheme="minorHAnsi"/>
                <w:sz w:val="20"/>
                <w:szCs w:val="20"/>
              </w:rPr>
            </w:pPr>
            <w:r w:rsidRPr="00E01239">
              <w:rPr>
                <w:rFonts w:asciiTheme="minorHAnsi" w:hAnsiTheme="minorHAnsi" w:cstheme="minorHAnsi"/>
                <w:sz w:val="22"/>
                <w:szCs w:val="22"/>
              </w:rPr>
              <w:t>DREEC</w:t>
            </w:r>
          </w:p>
        </w:tc>
        <w:tc>
          <w:tcPr>
            <w:tcW w:w="3261" w:type="dxa"/>
            <w:vAlign w:val="center"/>
          </w:tcPr>
          <w:p w14:paraId="0F34243C"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Existence des cadres</w:t>
            </w:r>
            <w:r w:rsidRPr="00E01239">
              <w:rPr>
                <w:rFonts w:asciiTheme="minorHAnsi" w:hAnsiTheme="minorHAnsi" w:cstheme="minorHAnsi"/>
                <w:sz w:val="20"/>
                <w:szCs w:val="20"/>
              </w:rPr>
              <w:br/>
              <w:t>maitrisant les outils d’évaluations environnementales et sociales</w:t>
            </w:r>
          </w:p>
          <w:p w14:paraId="5E5ED5C1"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Forte expérience en matière de screening et d’instruction des évaluations environnementales et sociales</w:t>
            </w:r>
          </w:p>
          <w:p w14:paraId="773B43A6"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 xml:space="preserve">Forte maitrise des procédures réglementaires nationales en matière de gestion environnementale et sociale </w:t>
            </w:r>
          </w:p>
        </w:tc>
        <w:tc>
          <w:tcPr>
            <w:tcW w:w="4677" w:type="dxa"/>
            <w:vAlign w:val="center"/>
          </w:tcPr>
          <w:p w14:paraId="379F1EC8"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 xml:space="preserve">Moyens techniques et logistiques faibles </w:t>
            </w:r>
          </w:p>
          <w:p w14:paraId="6E6CB2A6" w14:textId="049C6B7F"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Absence de cadres spécialisés dans le suivi environnemental</w:t>
            </w:r>
            <w:r w:rsidR="0043436F">
              <w:rPr>
                <w:rFonts w:asciiTheme="minorHAnsi" w:hAnsiTheme="minorHAnsi" w:cstheme="minorHAnsi"/>
                <w:sz w:val="20"/>
                <w:szCs w:val="20"/>
              </w:rPr>
              <w:t xml:space="preserve"> et social</w:t>
            </w:r>
          </w:p>
          <w:p w14:paraId="5B0E7BE5"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Faible maitrise des normes environnementales et sociales de la Banque mondiale</w:t>
            </w:r>
          </w:p>
        </w:tc>
        <w:tc>
          <w:tcPr>
            <w:tcW w:w="4360" w:type="dxa"/>
            <w:vAlign w:val="center"/>
          </w:tcPr>
          <w:p w14:paraId="55B3E81E"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Mettre en place un protocole de collaboration pour faciliter l’accomplissent de leur mission</w:t>
            </w:r>
          </w:p>
          <w:p w14:paraId="71DC9E43"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Formation des agents de la DEEC sur les NES de la Banque mondiale</w:t>
            </w:r>
          </w:p>
          <w:p w14:paraId="2523D19C" w14:textId="2BBE1E3C"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Formation des agents de la DEEC sur les mécanismes de suivi environnemental</w:t>
            </w:r>
            <w:r w:rsidR="00A64C25" w:rsidRPr="00E01239">
              <w:rPr>
                <w:rFonts w:asciiTheme="minorHAnsi" w:hAnsiTheme="minorHAnsi" w:cstheme="minorHAnsi"/>
                <w:sz w:val="20"/>
                <w:szCs w:val="20"/>
              </w:rPr>
              <w:t xml:space="preserve"> et social</w:t>
            </w:r>
            <w:r w:rsidRPr="00E01239">
              <w:rPr>
                <w:rFonts w:asciiTheme="minorHAnsi" w:hAnsiTheme="minorHAnsi" w:cstheme="minorHAnsi"/>
                <w:sz w:val="20"/>
                <w:szCs w:val="20"/>
              </w:rPr>
              <w:t xml:space="preserve"> et sur la mesure des indicateurs</w:t>
            </w:r>
          </w:p>
          <w:p w14:paraId="37B0689A" w14:textId="54B6B44C" w:rsidR="00A32CB2" w:rsidRPr="00E01239" w:rsidRDefault="00A32CB2"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Renforcement du cadre réglementaire par l’élaboration d’une norme encadrant les rejets d’effluents agricoles</w:t>
            </w:r>
          </w:p>
        </w:tc>
      </w:tr>
      <w:tr w:rsidR="00B91B2B" w:rsidRPr="00E01239" w14:paraId="46F656BF" w14:textId="77777777" w:rsidTr="00F73EAB">
        <w:trPr>
          <w:trHeight w:val="1058"/>
          <w:jc w:val="center"/>
        </w:trPr>
        <w:tc>
          <w:tcPr>
            <w:tcW w:w="1696" w:type="dxa"/>
            <w:vAlign w:val="center"/>
          </w:tcPr>
          <w:p w14:paraId="58039078" w14:textId="77777777" w:rsidR="00B91B2B" w:rsidRPr="00E01239" w:rsidRDefault="00B91B2B" w:rsidP="00F73EAB">
            <w:pPr>
              <w:rPr>
                <w:rFonts w:asciiTheme="minorHAnsi" w:hAnsiTheme="minorHAnsi" w:cstheme="minorHAnsi"/>
                <w:sz w:val="20"/>
                <w:szCs w:val="20"/>
              </w:rPr>
            </w:pPr>
            <w:r w:rsidRPr="00E01239">
              <w:rPr>
                <w:rFonts w:asciiTheme="minorHAnsi" w:hAnsiTheme="minorHAnsi" w:cstheme="minorHAnsi"/>
                <w:sz w:val="20"/>
                <w:szCs w:val="20"/>
              </w:rPr>
              <w:t>CRSE</w:t>
            </w:r>
          </w:p>
        </w:tc>
        <w:tc>
          <w:tcPr>
            <w:tcW w:w="3261" w:type="dxa"/>
            <w:vAlign w:val="center"/>
          </w:tcPr>
          <w:p w14:paraId="1BCA3AB7"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Existence des cadres maitrisant les procédures de screening et d’évaluations environnementales et sociales</w:t>
            </w:r>
          </w:p>
        </w:tc>
        <w:tc>
          <w:tcPr>
            <w:tcW w:w="4677" w:type="dxa"/>
            <w:vAlign w:val="center"/>
          </w:tcPr>
          <w:p w14:paraId="383B4045"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Moyens techniques et logistiques faibles</w:t>
            </w:r>
          </w:p>
          <w:p w14:paraId="541D5CF9" w14:textId="6C41AB14"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Absence de cadres spécialisés dans le suivi environnemental</w:t>
            </w:r>
            <w:r w:rsidR="00D701A1">
              <w:rPr>
                <w:rFonts w:asciiTheme="minorHAnsi" w:hAnsiTheme="minorHAnsi" w:cstheme="minorHAnsi"/>
                <w:sz w:val="20"/>
                <w:szCs w:val="20"/>
              </w:rPr>
              <w:t xml:space="preserve"> et social</w:t>
            </w:r>
          </w:p>
          <w:p w14:paraId="0584A85C"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Faible maitrise des normes environnementales et sociales de la Banque mondiale</w:t>
            </w:r>
          </w:p>
        </w:tc>
        <w:tc>
          <w:tcPr>
            <w:tcW w:w="4360" w:type="dxa"/>
            <w:vAlign w:val="center"/>
          </w:tcPr>
          <w:p w14:paraId="4D3B741D"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 xml:space="preserve">Mettre en place un protocole de collaboration pour faciliter l’accomplissent de leur mission </w:t>
            </w:r>
          </w:p>
          <w:p w14:paraId="7CE25A31" w14:textId="5D17E4ED"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Elaborer un manuel de suivi environnemental</w:t>
            </w:r>
            <w:r w:rsidR="005D037F" w:rsidRPr="00E01239">
              <w:rPr>
                <w:rFonts w:asciiTheme="minorHAnsi" w:hAnsiTheme="minorHAnsi" w:cstheme="minorHAnsi"/>
                <w:sz w:val="20"/>
                <w:szCs w:val="20"/>
              </w:rPr>
              <w:t xml:space="preserve"> et social</w:t>
            </w:r>
            <w:r w:rsidRPr="00E01239">
              <w:rPr>
                <w:rFonts w:asciiTheme="minorHAnsi" w:hAnsiTheme="minorHAnsi" w:cstheme="minorHAnsi"/>
                <w:sz w:val="20"/>
                <w:szCs w:val="20"/>
              </w:rPr>
              <w:t xml:space="preserve"> et former les membres du CRSE à leur utilisation</w:t>
            </w:r>
          </w:p>
          <w:p w14:paraId="12AB0BF4" w14:textId="77777777" w:rsidR="00B91B2B" w:rsidRPr="00E01239" w:rsidRDefault="00B91B2B" w:rsidP="00027669">
            <w:pPr>
              <w:pStyle w:val="Textedebulles"/>
              <w:numPr>
                <w:ilvl w:val="0"/>
                <w:numId w:val="157"/>
              </w:numPr>
              <w:ind w:left="315" w:hanging="283"/>
              <w:jc w:val="both"/>
              <w:rPr>
                <w:rFonts w:asciiTheme="minorHAnsi" w:hAnsiTheme="minorHAnsi" w:cstheme="minorHAnsi"/>
                <w:sz w:val="20"/>
                <w:szCs w:val="20"/>
              </w:rPr>
            </w:pPr>
            <w:r w:rsidRPr="00E01239">
              <w:rPr>
                <w:rFonts w:asciiTheme="minorHAnsi" w:hAnsiTheme="minorHAnsi" w:cstheme="minorHAnsi"/>
                <w:sz w:val="20"/>
                <w:szCs w:val="20"/>
              </w:rPr>
              <w:t>Elaborer des canevas de rapports de suivi à soumettre au CRSE pour le rapportage des missions de suivi</w:t>
            </w:r>
          </w:p>
        </w:tc>
      </w:tr>
    </w:tbl>
    <w:p w14:paraId="1FC38DBE" w14:textId="77777777" w:rsidR="00B91B2B" w:rsidRPr="00E01239" w:rsidRDefault="00B91B2B" w:rsidP="00B91B2B">
      <w:pPr>
        <w:rPr>
          <w:rFonts w:asciiTheme="minorHAnsi" w:hAnsiTheme="minorHAnsi" w:cstheme="minorHAnsi"/>
          <w:bCs/>
        </w:rPr>
        <w:sectPr w:rsidR="00B91B2B" w:rsidRPr="00E01239" w:rsidSect="00396ECB">
          <w:pgSz w:w="16840" w:h="11907" w:orient="landscape" w:code="9"/>
          <w:pgMar w:top="1418" w:right="1418" w:bottom="1418" w:left="1418" w:header="720" w:footer="720" w:gutter="0"/>
          <w:cols w:space="60"/>
          <w:noEndnote/>
        </w:sectPr>
      </w:pPr>
    </w:p>
    <w:p w14:paraId="5F40516E" w14:textId="59B7BDC4" w:rsidR="00002FDE" w:rsidRPr="00E01239" w:rsidRDefault="00CE1330" w:rsidP="009E5299">
      <w:pPr>
        <w:pStyle w:val="Titre2"/>
        <w:tabs>
          <w:tab w:val="clear" w:pos="-720"/>
          <w:tab w:val="left" w:pos="567"/>
        </w:tabs>
        <w:ind w:hanging="502"/>
        <w:rPr>
          <w:rFonts w:asciiTheme="minorHAnsi" w:hAnsiTheme="minorHAnsi" w:cstheme="minorHAnsi"/>
          <w:color w:val="auto"/>
        </w:rPr>
      </w:pPr>
      <w:bookmarkStart w:id="1339" w:name="_Toc58790904"/>
      <w:bookmarkStart w:id="1340" w:name="_Toc58790905"/>
      <w:bookmarkStart w:id="1341" w:name="_Toc58790906"/>
      <w:bookmarkStart w:id="1342" w:name="_Toc63285605"/>
      <w:bookmarkStart w:id="1343" w:name="_Toc88861483"/>
      <w:bookmarkStart w:id="1344" w:name="_Toc130714108"/>
      <w:bookmarkStart w:id="1345" w:name="_Toc142378218"/>
      <w:bookmarkStart w:id="1346" w:name="_Toc144654170"/>
      <w:bookmarkEnd w:id="1339"/>
      <w:bookmarkEnd w:id="1340"/>
      <w:bookmarkEnd w:id="1341"/>
      <w:r w:rsidRPr="00E01239">
        <w:rPr>
          <w:rFonts w:asciiTheme="minorHAnsi" w:hAnsiTheme="minorHAnsi" w:cstheme="minorHAnsi"/>
          <w:color w:val="auto"/>
        </w:rPr>
        <w:lastRenderedPageBreak/>
        <w:t xml:space="preserve">BUDGET DU PCGES ET CALENDRIER DE MISE EN </w:t>
      </w:r>
      <w:r w:rsidR="00582C4E" w:rsidRPr="00E01239">
        <w:rPr>
          <w:rFonts w:asciiTheme="minorHAnsi" w:hAnsiTheme="minorHAnsi" w:cstheme="minorHAnsi"/>
          <w:color w:val="auto"/>
        </w:rPr>
        <w:t>ŒUVRE</w:t>
      </w:r>
      <w:bookmarkEnd w:id="1342"/>
      <w:bookmarkEnd w:id="1343"/>
      <w:bookmarkEnd w:id="1344"/>
      <w:bookmarkEnd w:id="1345"/>
      <w:bookmarkEnd w:id="1346"/>
    </w:p>
    <w:p w14:paraId="446A20CF" w14:textId="149AA9A6" w:rsidR="00B91B2B" w:rsidRPr="00E01239" w:rsidRDefault="00B91B2B"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 tableau</w:t>
      </w:r>
      <w:r w:rsidR="003E7D71">
        <w:rPr>
          <w:rFonts w:asciiTheme="minorHAnsi" w:hAnsiTheme="minorHAnsi" w:cstheme="minorHAnsi"/>
          <w:sz w:val="22"/>
          <w:szCs w:val="22"/>
        </w:rPr>
        <w:t xml:space="preserve"> 39</w:t>
      </w:r>
      <w:r w:rsidRPr="00E01239">
        <w:rPr>
          <w:rFonts w:asciiTheme="minorHAnsi" w:hAnsiTheme="minorHAnsi" w:cstheme="minorHAnsi"/>
          <w:sz w:val="22"/>
          <w:szCs w:val="22"/>
        </w:rPr>
        <w:t xml:space="preserve"> suivant récapitule les coûts de mise en œuvre de la gestion environnementale et sociale du Projet </w:t>
      </w:r>
      <w:r w:rsidR="00D56CE9" w:rsidRPr="00E01239">
        <w:rPr>
          <w:rFonts w:asciiTheme="minorHAnsi" w:hAnsiTheme="minorHAnsi" w:cstheme="minorHAnsi"/>
          <w:sz w:val="22"/>
          <w:szCs w:val="22"/>
        </w:rPr>
        <w:t>de résilience des systèmes alimentaires au Sénégal (FSRP-SN)</w:t>
      </w:r>
      <w:r w:rsidRPr="00E01239">
        <w:rPr>
          <w:rFonts w:asciiTheme="minorHAnsi" w:hAnsiTheme="minorHAnsi" w:cstheme="minorHAnsi"/>
          <w:sz w:val="22"/>
          <w:szCs w:val="22"/>
        </w:rPr>
        <w:t>.</w:t>
      </w:r>
    </w:p>
    <w:p w14:paraId="36798DF3" w14:textId="6F8C5C2F" w:rsidR="00B91B2B" w:rsidRPr="00E01239" w:rsidRDefault="00B91B2B"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budget de mise en œuvre du PCGES ci-après présenté est à la charge de </w:t>
      </w:r>
      <w:r w:rsidR="00D56CE9" w:rsidRPr="00E01239">
        <w:rPr>
          <w:rFonts w:asciiTheme="minorHAnsi" w:hAnsiTheme="minorHAnsi" w:cstheme="minorHAnsi"/>
          <w:sz w:val="22"/>
          <w:szCs w:val="22"/>
        </w:rPr>
        <w:t>l’UCP</w:t>
      </w:r>
      <w:r w:rsidR="00B23F04" w:rsidRPr="00E01239">
        <w:rPr>
          <w:rFonts w:asciiTheme="minorHAnsi" w:hAnsiTheme="minorHAnsi" w:cstheme="minorHAnsi"/>
          <w:sz w:val="22"/>
          <w:szCs w:val="22"/>
        </w:rPr>
        <w:t xml:space="preserve"> </w:t>
      </w:r>
      <w:r w:rsidR="00D56CE9" w:rsidRPr="00E01239">
        <w:rPr>
          <w:rFonts w:asciiTheme="minorHAnsi" w:hAnsiTheme="minorHAnsi" w:cstheme="minorHAnsi"/>
          <w:sz w:val="22"/>
          <w:szCs w:val="22"/>
        </w:rPr>
        <w:t>FSRP/MEPA et de l’UCP</w:t>
      </w:r>
      <w:r w:rsidR="00B23F04" w:rsidRPr="00E01239">
        <w:rPr>
          <w:rFonts w:asciiTheme="minorHAnsi" w:hAnsiTheme="minorHAnsi" w:cstheme="minorHAnsi"/>
          <w:sz w:val="22"/>
          <w:szCs w:val="22"/>
        </w:rPr>
        <w:t xml:space="preserve"> </w:t>
      </w:r>
      <w:r w:rsidR="00D56CE9" w:rsidRPr="00E01239">
        <w:rPr>
          <w:rFonts w:asciiTheme="minorHAnsi" w:hAnsiTheme="minorHAnsi" w:cstheme="minorHAnsi"/>
          <w:sz w:val="22"/>
          <w:szCs w:val="22"/>
        </w:rPr>
        <w:t>FSRP/MAERSA</w:t>
      </w:r>
      <w:r w:rsidRPr="00E01239">
        <w:rPr>
          <w:rFonts w:asciiTheme="minorHAnsi" w:hAnsiTheme="minorHAnsi" w:cstheme="minorHAnsi"/>
          <w:sz w:val="22"/>
          <w:szCs w:val="22"/>
        </w:rPr>
        <w:t>.</w:t>
      </w:r>
    </w:p>
    <w:p w14:paraId="392D4180" w14:textId="279D38CC" w:rsidR="009773EC" w:rsidRPr="00E01239" w:rsidRDefault="009773EC" w:rsidP="00047AA4">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Il est </w:t>
      </w:r>
      <w:r w:rsidR="00FD5B6A">
        <w:rPr>
          <w:rFonts w:asciiTheme="minorHAnsi" w:hAnsiTheme="minorHAnsi" w:cstheme="minorHAnsi"/>
          <w:sz w:val="22"/>
          <w:szCs w:val="22"/>
        </w:rPr>
        <w:t>estimé</w:t>
      </w:r>
      <w:r w:rsidR="00FD5B6A" w:rsidRPr="00E01239">
        <w:rPr>
          <w:rFonts w:asciiTheme="minorHAnsi" w:hAnsiTheme="minorHAnsi" w:cstheme="minorHAnsi"/>
          <w:sz w:val="22"/>
          <w:szCs w:val="22"/>
        </w:rPr>
        <w:t xml:space="preserve"> </w:t>
      </w:r>
      <w:r w:rsidRPr="00E01239">
        <w:rPr>
          <w:rFonts w:asciiTheme="minorHAnsi" w:hAnsiTheme="minorHAnsi" w:cstheme="minorHAnsi"/>
          <w:sz w:val="22"/>
          <w:szCs w:val="22"/>
        </w:rPr>
        <w:t xml:space="preserve">à la somme de 396 500 000 F CFA soit environ 662.760,53 dollars </w:t>
      </w:r>
      <w:r w:rsidRPr="00E01239">
        <w:rPr>
          <w:rFonts w:asciiTheme="minorHAnsi" w:hAnsiTheme="minorHAnsi" w:cstheme="minorHAnsi"/>
          <w:b/>
          <w:bCs/>
          <w:color w:val="000000"/>
          <w:sz w:val="22"/>
          <w:szCs w:val="22"/>
        </w:rPr>
        <w:t>USD</w:t>
      </w:r>
      <w:r w:rsidRPr="00E01239">
        <w:rPr>
          <w:rFonts w:asciiTheme="minorHAnsi" w:hAnsiTheme="minorHAnsi" w:cstheme="minorHAnsi"/>
          <w:sz w:val="22"/>
          <w:szCs w:val="22"/>
        </w:rPr>
        <w:t>.</w:t>
      </w:r>
    </w:p>
    <w:p w14:paraId="70477A91" w14:textId="57EE535C" w:rsidR="00B91B2B" w:rsidRPr="00E01239" w:rsidRDefault="00B91B2B"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Les coûts relatifs aux rubriques suivantes seront intégrés dans le protocole liant </w:t>
      </w:r>
      <w:r w:rsidR="00D56CE9" w:rsidRPr="00E01239">
        <w:rPr>
          <w:rFonts w:asciiTheme="minorHAnsi" w:hAnsiTheme="minorHAnsi" w:cstheme="minorHAnsi"/>
          <w:sz w:val="22"/>
          <w:szCs w:val="22"/>
        </w:rPr>
        <w:t>l’UCP</w:t>
      </w:r>
      <w:r w:rsidR="00B23F04" w:rsidRPr="00E01239">
        <w:rPr>
          <w:rFonts w:asciiTheme="minorHAnsi" w:hAnsiTheme="minorHAnsi" w:cstheme="minorHAnsi"/>
          <w:sz w:val="22"/>
          <w:szCs w:val="22"/>
        </w:rPr>
        <w:t xml:space="preserve"> </w:t>
      </w:r>
      <w:r w:rsidR="00D56CE9" w:rsidRPr="00E01239">
        <w:rPr>
          <w:rFonts w:asciiTheme="minorHAnsi" w:hAnsiTheme="minorHAnsi" w:cstheme="minorHAnsi"/>
          <w:sz w:val="22"/>
          <w:szCs w:val="22"/>
        </w:rPr>
        <w:t>FSRP/MEPA et l’UCP</w:t>
      </w:r>
      <w:r w:rsidR="00B23F04" w:rsidRPr="00E01239">
        <w:rPr>
          <w:rFonts w:asciiTheme="minorHAnsi" w:hAnsiTheme="minorHAnsi" w:cstheme="minorHAnsi"/>
          <w:sz w:val="22"/>
          <w:szCs w:val="22"/>
        </w:rPr>
        <w:t xml:space="preserve"> </w:t>
      </w:r>
      <w:r w:rsidR="00D56CE9" w:rsidRPr="00E01239">
        <w:rPr>
          <w:rFonts w:asciiTheme="minorHAnsi" w:hAnsiTheme="minorHAnsi" w:cstheme="minorHAnsi"/>
          <w:sz w:val="22"/>
          <w:szCs w:val="22"/>
        </w:rPr>
        <w:t xml:space="preserve">FSRP/MAERSA </w:t>
      </w:r>
      <w:r w:rsidRPr="00E01239">
        <w:rPr>
          <w:rFonts w:asciiTheme="minorHAnsi" w:hAnsiTheme="minorHAnsi" w:cstheme="minorHAnsi"/>
          <w:sz w:val="22"/>
          <w:szCs w:val="22"/>
        </w:rPr>
        <w:t>et la DEEC :</w:t>
      </w:r>
    </w:p>
    <w:p w14:paraId="0135FDF9" w14:textId="77C26AE6" w:rsidR="00B91B2B" w:rsidRPr="007713BD" w:rsidRDefault="00B91B2B" w:rsidP="00E1610C">
      <w:pPr>
        <w:pStyle w:val="Paragraphedeliste"/>
        <w:numPr>
          <w:ilvl w:val="0"/>
          <w:numId w:val="159"/>
        </w:numPr>
        <w:spacing w:before="120" w:line="280" w:lineRule="exact"/>
        <w:contextualSpacing w:val="0"/>
        <w:jc w:val="both"/>
        <w:rPr>
          <w:rFonts w:asciiTheme="minorHAnsi" w:hAnsiTheme="minorHAnsi" w:cstheme="minorHAnsi"/>
          <w:sz w:val="22"/>
          <w:szCs w:val="22"/>
        </w:rPr>
      </w:pPr>
      <w:r w:rsidRPr="007713BD">
        <w:rPr>
          <w:rFonts w:asciiTheme="minorHAnsi" w:hAnsiTheme="minorHAnsi" w:cstheme="minorHAnsi"/>
          <w:sz w:val="22"/>
          <w:szCs w:val="22"/>
        </w:rPr>
        <w:t>Formation / renforcement des capacités (</w:t>
      </w:r>
      <w:r w:rsidR="007713BD" w:rsidRPr="007713BD">
        <w:rPr>
          <w:rFonts w:asciiTheme="minorHAnsi" w:hAnsiTheme="minorHAnsi" w:cstheme="minorHAnsi"/>
          <w:sz w:val="22"/>
          <w:szCs w:val="22"/>
        </w:rPr>
        <w:t>MEPA, MAERSA</w:t>
      </w:r>
      <w:r w:rsidR="00E1610C">
        <w:rPr>
          <w:rFonts w:asciiTheme="minorHAnsi" w:hAnsiTheme="minorHAnsi" w:cstheme="minorHAnsi"/>
          <w:sz w:val="22"/>
          <w:szCs w:val="22"/>
        </w:rPr>
        <w:t>,</w:t>
      </w:r>
      <w:r w:rsidR="007713BD" w:rsidRPr="007713BD">
        <w:rPr>
          <w:rFonts w:asciiTheme="minorHAnsi" w:hAnsiTheme="minorHAnsi" w:cstheme="minorHAnsi"/>
          <w:sz w:val="22"/>
          <w:szCs w:val="22"/>
        </w:rPr>
        <w:t xml:space="preserve"> </w:t>
      </w:r>
      <w:r w:rsidR="00C2246B" w:rsidRPr="007713BD">
        <w:rPr>
          <w:rFonts w:asciiTheme="minorHAnsi" w:hAnsiTheme="minorHAnsi" w:cstheme="minorHAnsi"/>
          <w:sz w:val="22"/>
          <w:szCs w:val="22"/>
        </w:rPr>
        <w:t xml:space="preserve">DEEC, </w:t>
      </w:r>
      <w:r w:rsidRPr="007713BD">
        <w:rPr>
          <w:rFonts w:asciiTheme="minorHAnsi" w:hAnsiTheme="minorHAnsi" w:cstheme="minorHAnsi"/>
          <w:sz w:val="22"/>
          <w:szCs w:val="22"/>
        </w:rPr>
        <w:t>DREEC, CRSE, Collectivités territoriales, etc.) sur les exigences environnementales et sociales, HSS</w:t>
      </w:r>
    </w:p>
    <w:p w14:paraId="0F5CDF26" w14:textId="77777777" w:rsidR="00B91B2B" w:rsidRPr="00E01239" w:rsidRDefault="00B91B2B" w:rsidP="00027669">
      <w:pPr>
        <w:pStyle w:val="Paragraphedeliste"/>
        <w:numPr>
          <w:ilvl w:val="0"/>
          <w:numId w:val="159"/>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Screening des sous-projets par les services techniques départementaux</w:t>
      </w:r>
    </w:p>
    <w:p w14:paraId="78E9764A" w14:textId="3681CCBD" w:rsidR="00B91B2B" w:rsidRPr="00E01239" w:rsidRDefault="00B91B2B" w:rsidP="00027669">
      <w:pPr>
        <w:pStyle w:val="Paragraphedeliste"/>
        <w:numPr>
          <w:ilvl w:val="0"/>
          <w:numId w:val="159"/>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Suivi environnemental </w:t>
      </w:r>
      <w:r w:rsidR="005D037F" w:rsidRPr="00E01239">
        <w:rPr>
          <w:rFonts w:asciiTheme="minorHAnsi" w:hAnsiTheme="minorHAnsi" w:cstheme="minorHAnsi"/>
          <w:sz w:val="22"/>
          <w:szCs w:val="22"/>
        </w:rPr>
        <w:t xml:space="preserve">et social </w:t>
      </w:r>
      <w:r w:rsidRPr="00E01239">
        <w:rPr>
          <w:rFonts w:asciiTheme="minorHAnsi" w:hAnsiTheme="minorHAnsi" w:cstheme="minorHAnsi"/>
          <w:sz w:val="22"/>
          <w:szCs w:val="22"/>
        </w:rPr>
        <w:t>permanent de la mise en œuvre des mesures environnementales et sociales par les services techniques départementaux (appuis divers aux répondants des services techniques)</w:t>
      </w:r>
    </w:p>
    <w:p w14:paraId="2F6BF726" w14:textId="34C58177" w:rsidR="00B91B2B" w:rsidRPr="00E01239" w:rsidRDefault="00B91B2B" w:rsidP="00027669">
      <w:pPr>
        <w:pStyle w:val="Paragraphedeliste"/>
        <w:numPr>
          <w:ilvl w:val="0"/>
          <w:numId w:val="159"/>
        </w:numPr>
        <w:spacing w:before="120" w:line="280" w:lineRule="exact"/>
        <w:contextualSpacing w:val="0"/>
        <w:jc w:val="both"/>
        <w:rPr>
          <w:rFonts w:asciiTheme="minorHAnsi" w:hAnsiTheme="minorHAnsi" w:cstheme="minorHAnsi"/>
          <w:sz w:val="22"/>
          <w:szCs w:val="22"/>
        </w:rPr>
      </w:pPr>
      <w:r w:rsidRPr="00E01239">
        <w:rPr>
          <w:rFonts w:asciiTheme="minorHAnsi" w:hAnsiTheme="minorHAnsi" w:cstheme="minorHAnsi"/>
          <w:sz w:val="22"/>
          <w:szCs w:val="22"/>
        </w:rPr>
        <w:t>Elaboration de manuel de bonnes pratiques environnementales</w:t>
      </w:r>
      <w:r w:rsidR="005D037F" w:rsidRPr="00E01239">
        <w:rPr>
          <w:rFonts w:asciiTheme="minorHAnsi" w:hAnsiTheme="minorHAnsi" w:cstheme="minorHAnsi"/>
          <w:sz w:val="22"/>
          <w:szCs w:val="22"/>
        </w:rPr>
        <w:t xml:space="preserve">, </w:t>
      </w:r>
      <w:r w:rsidR="007243AA" w:rsidRPr="00E01239">
        <w:rPr>
          <w:rFonts w:asciiTheme="minorHAnsi" w:hAnsiTheme="minorHAnsi" w:cstheme="minorHAnsi"/>
          <w:sz w:val="22"/>
          <w:szCs w:val="22"/>
        </w:rPr>
        <w:t>sociales et</w:t>
      </w:r>
      <w:r w:rsidRPr="00E01239">
        <w:rPr>
          <w:rFonts w:asciiTheme="minorHAnsi" w:hAnsiTheme="minorHAnsi" w:cstheme="minorHAnsi"/>
          <w:sz w:val="22"/>
          <w:szCs w:val="22"/>
        </w:rPr>
        <w:t xml:space="preserve"> HSS et de suivi environnemental</w:t>
      </w:r>
      <w:r w:rsidR="005D037F" w:rsidRPr="00E01239">
        <w:rPr>
          <w:rFonts w:asciiTheme="minorHAnsi" w:hAnsiTheme="minorHAnsi" w:cstheme="minorHAnsi"/>
          <w:sz w:val="22"/>
          <w:szCs w:val="22"/>
        </w:rPr>
        <w:t xml:space="preserve"> et social </w:t>
      </w:r>
    </w:p>
    <w:p w14:paraId="64007171" w14:textId="781EF464" w:rsidR="00B91B2B" w:rsidRPr="00E01239" w:rsidRDefault="00B91B2B" w:rsidP="00263B8A">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calendrier d’exécution des activités du CGES est présenté dans le tableau </w:t>
      </w:r>
      <w:r w:rsidR="00853372">
        <w:rPr>
          <w:rFonts w:asciiTheme="minorHAnsi" w:hAnsiTheme="minorHAnsi" w:cstheme="minorHAnsi"/>
          <w:sz w:val="22"/>
          <w:szCs w:val="22"/>
        </w:rPr>
        <w:t>40</w:t>
      </w:r>
      <w:r w:rsidR="00D33E27">
        <w:rPr>
          <w:rFonts w:asciiTheme="minorHAnsi" w:hAnsiTheme="minorHAnsi" w:cstheme="minorHAnsi"/>
          <w:sz w:val="22"/>
          <w:szCs w:val="22"/>
        </w:rPr>
        <w:t xml:space="preserve"> </w:t>
      </w:r>
      <w:r w:rsidRPr="00E01239">
        <w:rPr>
          <w:rFonts w:asciiTheme="minorHAnsi" w:hAnsiTheme="minorHAnsi" w:cstheme="minorHAnsi"/>
          <w:sz w:val="22"/>
          <w:szCs w:val="22"/>
        </w:rPr>
        <w:t>suivant.</w:t>
      </w:r>
    </w:p>
    <w:p w14:paraId="000CDA9D" w14:textId="77777777" w:rsidR="00B91B2B" w:rsidRPr="00E01239" w:rsidRDefault="00B91B2B" w:rsidP="00B91B2B">
      <w:pPr>
        <w:rPr>
          <w:rFonts w:asciiTheme="minorHAnsi" w:hAnsiTheme="minorHAnsi" w:cstheme="minorHAnsi"/>
        </w:rPr>
        <w:sectPr w:rsidR="00B91B2B" w:rsidRPr="00E01239" w:rsidSect="008C0C70">
          <w:pgSz w:w="11907" w:h="16840" w:code="9"/>
          <w:pgMar w:top="1418" w:right="1418" w:bottom="1418" w:left="1418" w:header="720" w:footer="720" w:gutter="0"/>
          <w:cols w:space="60"/>
          <w:noEndnote/>
        </w:sectPr>
      </w:pPr>
    </w:p>
    <w:p w14:paraId="082B755B" w14:textId="5598C512" w:rsidR="00B91B2B" w:rsidRPr="00E01239" w:rsidRDefault="00B91B2B" w:rsidP="00B91B2B">
      <w:pPr>
        <w:pStyle w:val="Lgende"/>
        <w:tabs>
          <w:tab w:val="left" w:pos="7371"/>
        </w:tabs>
        <w:ind w:right="-1"/>
        <w:jc w:val="center"/>
        <w:rPr>
          <w:rFonts w:asciiTheme="minorHAnsi" w:hAnsiTheme="minorHAnsi" w:cstheme="minorHAnsi"/>
          <w:sz w:val="22"/>
          <w:szCs w:val="22"/>
        </w:rPr>
      </w:pPr>
      <w:bookmarkStart w:id="1347" w:name="_Toc63281800"/>
      <w:bookmarkStart w:id="1348" w:name="_Toc88861290"/>
      <w:bookmarkStart w:id="1349" w:name="_Toc144654219"/>
      <w:r w:rsidRPr="00E01239">
        <w:rPr>
          <w:rFonts w:asciiTheme="minorHAnsi" w:hAnsiTheme="minorHAnsi" w:cstheme="minorHAnsi"/>
          <w:sz w:val="22"/>
          <w:szCs w:val="22"/>
        </w:rPr>
        <w:lastRenderedPageBreak/>
        <w:t xml:space="preserve">Tableau </w:t>
      </w:r>
      <w:r w:rsidRPr="00E01239">
        <w:rPr>
          <w:rFonts w:asciiTheme="minorHAnsi" w:hAnsiTheme="minorHAnsi" w:cstheme="minorHAnsi"/>
          <w:sz w:val="22"/>
          <w:szCs w:val="22"/>
        </w:rPr>
        <w:fldChar w:fldCharType="begin"/>
      </w:r>
      <w:r w:rsidRPr="00E01239">
        <w:rPr>
          <w:rFonts w:asciiTheme="minorHAnsi" w:hAnsiTheme="minorHAnsi" w:cstheme="minorHAnsi"/>
          <w:sz w:val="22"/>
          <w:szCs w:val="22"/>
        </w:rPr>
        <w:instrText xml:space="preserve"> SEQ Tableau \* ARABIC </w:instrText>
      </w:r>
      <w:r w:rsidRPr="00E01239">
        <w:rPr>
          <w:rFonts w:asciiTheme="minorHAnsi" w:hAnsiTheme="minorHAnsi" w:cstheme="minorHAnsi"/>
          <w:sz w:val="22"/>
          <w:szCs w:val="22"/>
        </w:rPr>
        <w:fldChar w:fldCharType="separate"/>
      </w:r>
      <w:r w:rsidR="005C3166">
        <w:rPr>
          <w:rFonts w:asciiTheme="minorHAnsi" w:hAnsiTheme="minorHAnsi" w:cstheme="minorHAnsi"/>
          <w:noProof/>
          <w:sz w:val="22"/>
          <w:szCs w:val="22"/>
        </w:rPr>
        <w:t>25</w:t>
      </w:r>
      <w:r w:rsidRPr="00E01239">
        <w:rPr>
          <w:rFonts w:asciiTheme="minorHAnsi" w:hAnsiTheme="minorHAnsi" w:cstheme="minorHAnsi"/>
          <w:sz w:val="22"/>
          <w:szCs w:val="22"/>
        </w:rPr>
        <w:fldChar w:fldCharType="end"/>
      </w:r>
      <w:r w:rsidRPr="00E01239">
        <w:rPr>
          <w:rFonts w:asciiTheme="minorHAnsi" w:hAnsiTheme="minorHAnsi" w:cstheme="minorHAnsi"/>
          <w:sz w:val="22"/>
          <w:szCs w:val="22"/>
        </w:rPr>
        <w:t xml:space="preserve">: </w:t>
      </w:r>
      <w:r w:rsidRPr="00E01239">
        <w:rPr>
          <w:rFonts w:asciiTheme="minorHAnsi" w:hAnsiTheme="minorHAnsi" w:cstheme="minorHAnsi"/>
          <w:b w:val="0"/>
          <w:bCs w:val="0"/>
          <w:sz w:val="22"/>
          <w:szCs w:val="22"/>
        </w:rPr>
        <w:t>Coûts de Mise en Œuvre du CGES</w:t>
      </w:r>
      <w:bookmarkEnd w:id="1347"/>
      <w:bookmarkEnd w:id="1348"/>
      <w:bookmarkEnd w:id="1349"/>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8359"/>
        <w:gridCol w:w="1417"/>
        <w:gridCol w:w="897"/>
        <w:gridCol w:w="1371"/>
        <w:gridCol w:w="1950"/>
      </w:tblGrid>
      <w:tr w:rsidR="00B91B2B" w:rsidRPr="00E01239" w14:paraId="1C4A5BCB" w14:textId="77777777" w:rsidTr="008C0C70">
        <w:trPr>
          <w:trHeight w:val="450"/>
        </w:trPr>
        <w:tc>
          <w:tcPr>
            <w:tcW w:w="8359" w:type="dxa"/>
            <w:vMerge w:val="restart"/>
            <w:shd w:val="clear" w:color="000000" w:fill="000000"/>
            <w:vAlign w:val="center"/>
            <w:hideMark/>
          </w:tcPr>
          <w:p w14:paraId="0641E002" w14:textId="77777777" w:rsidR="00B91B2B" w:rsidRPr="00E01239" w:rsidRDefault="00B91B2B" w:rsidP="008C0C70">
            <w:pPr>
              <w:jc w:val="center"/>
              <w:rPr>
                <w:rFonts w:asciiTheme="minorHAnsi" w:hAnsiTheme="minorHAnsi" w:cstheme="minorHAnsi"/>
                <w:color w:val="FFFFFF"/>
                <w:sz w:val="20"/>
                <w:szCs w:val="20"/>
                <w:lang w:eastAsia="fr-SN"/>
              </w:rPr>
            </w:pPr>
            <w:r w:rsidRPr="00E01239">
              <w:rPr>
                <w:rFonts w:asciiTheme="minorHAnsi" w:hAnsiTheme="minorHAnsi" w:cstheme="minorHAnsi"/>
                <w:color w:val="FFFFFF"/>
                <w:sz w:val="20"/>
                <w:szCs w:val="20"/>
                <w:lang w:eastAsia="fr-SN"/>
              </w:rPr>
              <w:t>Activité</w:t>
            </w:r>
          </w:p>
        </w:tc>
        <w:tc>
          <w:tcPr>
            <w:tcW w:w="1417" w:type="dxa"/>
            <w:vMerge w:val="restart"/>
            <w:shd w:val="clear" w:color="000000" w:fill="000000"/>
            <w:vAlign w:val="center"/>
            <w:hideMark/>
          </w:tcPr>
          <w:p w14:paraId="283B537C" w14:textId="77777777" w:rsidR="00B91B2B" w:rsidRPr="00E01239" w:rsidRDefault="00B91B2B" w:rsidP="008C0C70">
            <w:pPr>
              <w:jc w:val="center"/>
              <w:rPr>
                <w:rFonts w:asciiTheme="minorHAnsi" w:hAnsiTheme="minorHAnsi" w:cstheme="minorHAnsi"/>
                <w:color w:val="FFFFFF"/>
                <w:sz w:val="20"/>
                <w:szCs w:val="20"/>
                <w:lang w:eastAsia="fr-SN"/>
              </w:rPr>
            </w:pPr>
            <w:r w:rsidRPr="00E01239">
              <w:rPr>
                <w:rFonts w:asciiTheme="minorHAnsi" w:hAnsiTheme="minorHAnsi" w:cstheme="minorHAnsi"/>
                <w:color w:val="FFFFFF"/>
                <w:sz w:val="20"/>
                <w:szCs w:val="20"/>
                <w:lang w:eastAsia="fr-SN"/>
              </w:rPr>
              <w:t>Unité</w:t>
            </w:r>
          </w:p>
        </w:tc>
        <w:tc>
          <w:tcPr>
            <w:tcW w:w="897" w:type="dxa"/>
            <w:vMerge w:val="restart"/>
            <w:shd w:val="clear" w:color="000000" w:fill="000000"/>
            <w:vAlign w:val="center"/>
            <w:hideMark/>
          </w:tcPr>
          <w:p w14:paraId="06FE8A85" w14:textId="77777777" w:rsidR="00B91B2B" w:rsidRPr="00E01239" w:rsidRDefault="00B91B2B" w:rsidP="008C0C70">
            <w:pPr>
              <w:jc w:val="center"/>
              <w:rPr>
                <w:rFonts w:asciiTheme="minorHAnsi" w:hAnsiTheme="minorHAnsi" w:cstheme="minorHAnsi"/>
                <w:color w:val="FFFFFF"/>
                <w:sz w:val="20"/>
                <w:szCs w:val="20"/>
                <w:lang w:eastAsia="fr-SN"/>
              </w:rPr>
            </w:pPr>
            <w:r w:rsidRPr="00E01239">
              <w:rPr>
                <w:rFonts w:asciiTheme="minorHAnsi" w:hAnsiTheme="minorHAnsi" w:cstheme="minorHAnsi"/>
                <w:color w:val="FFFFFF"/>
                <w:sz w:val="20"/>
                <w:szCs w:val="20"/>
                <w:lang w:eastAsia="fr-SN"/>
              </w:rPr>
              <w:t>Quantité</w:t>
            </w:r>
          </w:p>
        </w:tc>
        <w:tc>
          <w:tcPr>
            <w:tcW w:w="1371" w:type="dxa"/>
            <w:shd w:val="clear" w:color="000000" w:fill="000000"/>
            <w:vAlign w:val="center"/>
            <w:hideMark/>
          </w:tcPr>
          <w:p w14:paraId="6E14C2BE" w14:textId="77777777" w:rsidR="00B91B2B" w:rsidRPr="00E01239" w:rsidRDefault="00B91B2B" w:rsidP="008C0C70">
            <w:pPr>
              <w:jc w:val="center"/>
              <w:rPr>
                <w:rFonts w:asciiTheme="minorHAnsi" w:hAnsiTheme="minorHAnsi" w:cstheme="minorHAnsi"/>
                <w:color w:val="FFFFFF"/>
                <w:sz w:val="20"/>
                <w:szCs w:val="20"/>
                <w:lang w:eastAsia="fr-SN"/>
              </w:rPr>
            </w:pPr>
            <w:r w:rsidRPr="00E01239">
              <w:rPr>
                <w:rFonts w:asciiTheme="minorHAnsi" w:hAnsiTheme="minorHAnsi" w:cstheme="minorHAnsi"/>
                <w:color w:val="FFFFFF"/>
                <w:sz w:val="20"/>
                <w:szCs w:val="20"/>
                <w:lang w:eastAsia="fr-SN"/>
              </w:rPr>
              <w:t>Coût unitaire</w:t>
            </w:r>
          </w:p>
        </w:tc>
        <w:tc>
          <w:tcPr>
            <w:tcW w:w="1950" w:type="dxa"/>
            <w:shd w:val="clear" w:color="000000" w:fill="000000"/>
            <w:vAlign w:val="center"/>
            <w:hideMark/>
          </w:tcPr>
          <w:p w14:paraId="2D7FD63B" w14:textId="77777777" w:rsidR="00B91B2B" w:rsidRPr="00E01239" w:rsidRDefault="00B91B2B" w:rsidP="008C0C70">
            <w:pPr>
              <w:jc w:val="center"/>
              <w:rPr>
                <w:rFonts w:asciiTheme="minorHAnsi" w:hAnsiTheme="minorHAnsi" w:cstheme="minorHAnsi"/>
                <w:color w:val="FFFFFF"/>
                <w:sz w:val="20"/>
                <w:szCs w:val="20"/>
                <w:lang w:eastAsia="fr-SN"/>
              </w:rPr>
            </w:pPr>
            <w:r w:rsidRPr="00E01239">
              <w:rPr>
                <w:rFonts w:asciiTheme="minorHAnsi" w:hAnsiTheme="minorHAnsi" w:cstheme="minorHAnsi"/>
                <w:color w:val="FFFFFF"/>
                <w:sz w:val="20"/>
                <w:szCs w:val="20"/>
                <w:lang w:eastAsia="fr-SN"/>
              </w:rPr>
              <w:t>Coût total</w:t>
            </w:r>
          </w:p>
        </w:tc>
      </w:tr>
      <w:tr w:rsidR="00B91B2B" w:rsidRPr="00E01239" w14:paraId="0317EE21" w14:textId="77777777" w:rsidTr="008C0C70">
        <w:trPr>
          <w:trHeight w:val="300"/>
        </w:trPr>
        <w:tc>
          <w:tcPr>
            <w:tcW w:w="8359" w:type="dxa"/>
            <w:vMerge/>
            <w:vAlign w:val="center"/>
            <w:hideMark/>
          </w:tcPr>
          <w:p w14:paraId="6BB043B9" w14:textId="77777777" w:rsidR="00B91B2B" w:rsidRPr="00E01239" w:rsidRDefault="00B91B2B" w:rsidP="008C0C70">
            <w:pPr>
              <w:rPr>
                <w:rFonts w:asciiTheme="minorHAnsi" w:hAnsiTheme="minorHAnsi" w:cstheme="minorHAnsi"/>
                <w:color w:val="FFFFFF"/>
                <w:sz w:val="20"/>
                <w:szCs w:val="20"/>
                <w:lang w:eastAsia="fr-SN"/>
              </w:rPr>
            </w:pPr>
          </w:p>
        </w:tc>
        <w:tc>
          <w:tcPr>
            <w:tcW w:w="1417" w:type="dxa"/>
            <w:vMerge/>
            <w:vAlign w:val="center"/>
            <w:hideMark/>
          </w:tcPr>
          <w:p w14:paraId="64230D43" w14:textId="77777777" w:rsidR="00B91B2B" w:rsidRPr="00E01239" w:rsidRDefault="00B91B2B" w:rsidP="008C0C70">
            <w:pPr>
              <w:rPr>
                <w:rFonts w:asciiTheme="minorHAnsi" w:hAnsiTheme="minorHAnsi" w:cstheme="minorHAnsi"/>
                <w:color w:val="FFFFFF"/>
                <w:sz w:val="20"/>
                <w:szCs w:val="20"/>
                <w:lang w:eastAsia="fr-SN"/>
              </w:rPr>
            </w:pPr>
          </w:p>
        </w:tc>
        <w:tc>
          <w:tcPr>
            <w:tcW w:w="897" w:type="dxa"/>
            <w:vMerge/>
            <w:vAlign w:val="center"/>
            <w:hideMark/>
          </w:tcPr>
          <w:p w14:paraId="2FC0A353" w14:textId="77777777" w:rsidR="00B91B2B" w:rsidRPr="00E01239" w:rsidRDefault="00B91B2B" w:rsidP="008C0C70">
            <w:pPr>
              <w:rPr>
                <w:rFonts w:asciiTheme="minorHAnsi" w:hAnsiTheme="minorHAnsi" w:cstheme="minorHAnsi"/>
                <w:color w:val="FFFFFF"/>
                <w:sz w:val="20"/>
                <w:szCs w:val="20"/>
                <w:lang w:eastAsia="fr-SN"/>
              </w:rPr>
            </w:pPr>
          </w:p>
        </w:tc>
        <w:tc>
          <w:tcPr>
            <w:tcW w:w="1371" w:type="dxa"/>
            <w:shd w:val="clear" w:color="000000" w:fill="000000"/>
            <w:vAlign w:val="center"/>
            <w:hideMark/>
          </w:tcPr>
          <w:p w14:paraId="0C4674C8" w14:textId="77777777" w:rsidR="00B91B2B" w:rsidRPr="00E01239" w:rsidRDefault="00B91B2B" w:rsidP="008C0C70">
            <w:pPr>
              <w:jc w:val="center"/>
              <w:rPr>
                <w:rFonts w:asciiTheme="minorHAnsi" w:hAnsiTheme="minorHAnsi" w:cstheme="minorHAnsi"/>
                <w:color w:val="FFFFFF"/>
                <w:sz w:val="20"/>
                <w:szCs w:val="20"/>
                <w:lang w:eastAsia="fr-SN"/>
              </w:rPr>
            </w:pPr>
            <w:r w:rsidRPr="00E01239">
              <w:rPr>
                <w:rFonts w:asciiTheme="minorHAnsi" w:hAnsiTheme="minorHAnsi" w:cstheme="minorHAnsi"/>
                <w:color w:val="FFFFFF"/>
                <w:sz w:val="20"/>
                <w:szCs w:val="20"/>
                <w:lang w:eastAsia="fr-SN"/>
              </w:rPr>
              <w:t>(F CFA)</w:t>
            </w:r>
          </w:p>
        </w:tc>
        <w:tc>
          <w:tcPr>
            <w:tcW w:w="1950" w:type="dxa"/>
            <w:shd w:val="clear" w:color="000000" w:fill="000000"/>
            <w:vAlign w:val="center"/>
            <w:hideMark/>
          </w:tcPr>
          <w:p w14:paraId="05FAD707" w14:textId="77777777" w:rsidR="00B91B2B" w:rsidRPr="00E01239" w:rsidRDefault="00B91B2B" w:rsidP="008C0C70">
            <w:pPr>
              <w:jc w:val="center"/>
              <w:rPr>
                <w:rFonts w:asciiTheme="minorHAnsi" w:hAnsiTheme="minorHAnsi" w:cstheme="minorHAnsi"/>
                <w:color w:val="FFFFFF"/>
                <w:sz w:val="20"/>
                <w:szCs w:val="20"/>
                <w:lang w:eastAsia="fr-SN"/>
              </w:rPr>
            </w:pPr>
            <w:r w:rsidRPr="00E01239">
              <w:rPr>
                <w:rFonts w:asciiTheme="minorHAnsi" w:hAnsiTheme="minorHAnsi" w:cstheme="minorHAnsi"/>
                <w:color w:val="FFFFFF"/>
                <w:sz w:val="20"/>
                <w:szCs w:val="20"/>
                <w:lang w:eastAsia="fr-SN"/>
              </w:rPr>
              <w:t>(F CFA)</w:t>
            </w:r>
          </w:p>
        </w:tc>
      </w:tr>
      <w:tr w:rsidR="00B91B2B" w:rsidRPr="00E01239" w14:paraId="2EE4115F" w14:textId="77777777" w:rsidTr="008C0C70">
        <w:trPr>
          <w:trHeight w:val="854"/>
        </w:trPr>
        <w:tc>
          <w:tcPr>
            <w:tcW w:w="8359" w:type="dxa"/>
            <w:shd w:val="clear" w:color="auto" w:fill="auto"/>
            <w:vAlign w:val="center"/>
            <w:hideMark/>
          </w:tcPr>
          <w:p w14:paraId="48171F83" w14:textId="449134F7" w:rsidR="00B91B2B" w:rsidRPr="00E01239" w:rsidRDefault="00B91B2B" w:rsidP="008C0C70">
            <w:pP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Formation / renforcement des capacités (</w:t>
            </w:r>
            <w:r w:rsidR="00E1610C" w:rsidRPr="00E1610C">
              <w:rPr>
                <w:rFonts w:asciiTheme="minorHAnsi" w:hAnsiTheme="minorHAnsi" w:cstheme="minorHAnsi"/>
                <w:color w:val="000000"/>
                <w:sz w:val="20"/>
                <w:szCs w:val="20"/>
                <w:lang w:eastAsia="fr-SN"/>
              </w:rPr>
              <w:t>MEPA, MAERSA, DEEC,</w:t>
            </w:r>
            <w:r w:rsidR="00E1610C">
              <w:rPr>
                <w:rFonts w:asciiTheme="minorHAnsi" w:hAnsiTheme="minorHAnsi" w:cstheme="minorHAnsi"/>
                <w:color w:val="000000"/>
                <w:sz w:val="20"/>
                <w:szCs w:val="20"/>
                <w:lang w:eastAsia="fr-SN"/>
              </w:rPr>
              <w:t xml:space="preserve"> </w:t>
            </w:r>
            <w:r w:rsidRPr="00E01239">
              <w:rPr>
                <w:rFonts w:asciiTheme="minorHAnsi" w:hAnsiTheme="minorHAnsi" w:cstheme="minorHAnsi"/>
                <w:color w:val="000000"/>
                <w:sz w:val="20"/>
                <w:szCs w:val="20"/>
                <w:lang w:eastAsia="fr-SN"/>
              </w:rPr>
              <w:t>DREEC, CRSE, Collectivités territoriales, etc.) sur les exigences environnementales et sociales, HSS</w:t>
            </w:r>
          </w:p>
        </w:tc>
        <w:tc>
          <w:tcPr>
            <w:tcW w:w="1417" w:type="dxa"/>
            <w:shd w:val="clear" w:color="auto" w:fill="auto"/>
            <w:vAlign w:val="center"/>
            <w:hideMark/>
          </w:tcPr>
          <w:p w14:paraId="3A20AEEC" w14:textId="18048089" w:rsidR="00B91B2B" w:rsidRPr="00E01239" w:rsidRDefault="005D037F"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Région</w:t>
            </w:r>
          </w:p>
        </w:tc>
        <w:tc>
          <w:tcPr>
            <w:tcW w:w="897" w:type="dxa"/>
            <w:shd w:val="clear" w:color="auto" w:fill="auto"/>
            <w:vAlign w:val="center"/>
            <w:hideMark/>
          </w:tcPr>
          <w:p w14:paraId="12E36569" w14:textId="389EE697" w:rsidR="00B91B2B" w:rsidRPr="00E01239" w:rsidRDefault="00D56CE9"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w:t>
            </w:r>
            <w:r w:rsidR="00B91B2B" w:rsidRPr="00E01239">
              <w:rPr>
                <w:rFonts w:asciiTheme="minorHAnsi" w:hAnsiTheme="minorHAnsi" w:cstheme="minorHAnsi"/>
                <w:color w:val="000000"/>
                <w:sz w:val="20"/>
                <w:szCs w:val="20"/>
                <w:lang w:eastAsia="fr-SN"/>
              </w:rPr>
              <w:t>3</w:t>
            </w:r>
          </w:p>
        </w:tc>
        <w:tc>
          <w:tcPr>
            <w:tcW w:w="1371" w:type="dxa"/>
            <w:shd w:val="clear" w:color="auto" w:fill="auto"/>
            <w:vAlign w:val="center"/>
            <w:hideMark/>
          </w:tcPr>
          <w:p w14:paraId="38B6202C"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3 500 000</w:t>
            </w:r>
          </w:p>
        </w:tc>
        <w:tc>
          <w:tcPr>
            <w:tcW w:w="1950" w:type="dxa"/>
            <w:shd w:val="clear" w:color="auto" w:fill="auto"/>
            <w:vAlign w:val="center"/>
            <w:hideMark/>
          </w:tcPr>
          <w:p w14:paraId="3DFD0636" w14:textId="43865E7F" w:rsidR="00B91B2B" w:rsidRPr="00E01239" w:rsidRDefault="00D56CE9"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 xml:space="preserve">45 </w:t>
            </w:r>
            <w:r w:rsidR="00B91B2B" w:rsidRPr="00E01239">
              <w:rPr>
                <w:rFonts w:asciiTheme="minorHAnsi" w:hAnsiTheme="minorHAnsi" w:cstheme="minorHAnsi"/>
                <w:color w:val="000000"/>
                <w:sz w:val="20"/>
                <w:szCs w:val="20"/>
                <w:lang w:eastAsia="fr-SN"/>
              </w:rPr>
              <w:t>500 000</w:t>
            </w:r>
          </w:p>
        </w:tc>
      </w:tr>
      <w:tr w:rsidR="00B91B2B" w:rsidRPr="00E01239" w14:paraId="4D815DE9" w14:textId="77777777" w:rsidTr="008C0C70">
        <w:trPr>
          <w:trHeight w:val="837"/>
        </w:trPr>
        <w:tc>
          <w:tcPr>
            <w:tcW w:w="8359" w:type="dxa"/>
            <w:shd w:val="clear" w:color="auto" w:fill="auto"/>
            <w:vAlign w:val="center"/>
            <w:hideMark/>
          </w:tcPr>
          <w:p w14:paraId="7E7B357C" w14:textId="77777777" w:rsidR="00B91B2B" w:rsidRPr="00E01239" w:rsidRDefault="00B91B2B" w:rsidP="008C0C70">
            <w:pP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 xml:space="preserve">Campagnes d’Information d'Education et de Communication à l’endroit des organisations productives, des groupes vulnérables </w:t>
            </w:r>
          </w:p>
        </w:tc>
        <w:tc>
          <w:tcPr>
            <w:tcW w:w="1417" w:type="dxa"/>
            <w:shd w:val="clear" w:color="auto" w:fill="auto"/>
            <w:vAlign w:val="center"/>
            <w:hideMark/>
          </w:tcPr>
          <w:p w14:paraId="57BFDD4B" w14:textId="7FC3B420" w:rsidR="00B91B2B" w:rsidRPr="00E01239" w:rsidRDefault="005D037F"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Région</w:t>
            </w:r>
          </w:p>
        </w:tc>
        <w:tc>
          <w:tcPr>
            <w:tcW w:w="897" w:type="dxa"/>
            <w:shd w:val="clear" w:color="auto" w:fill="auto"/>
            <w:vAlign w:val="center"/>
            <w:hideMark/>
          </w:tcPr>
          <w:p w14:paraId="76995AD6" w14:textId="2735EAC1" w:rsidR="00B91B2B" w:rsidRPr="00E01239" w:rsidRDefault="00D56CE9"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w:t>
            </w:r>
            <w:r w:rsidR="00B91B2B" w:rsidRPr="00E01239">
              <w:rPr>
                <w:rFonts w:asciiTheme="minorHAnsi" w:hAnsiTheme="minorHAnsi" w:cstheme="minorHAnsi"/>
                <w:color w:val="000000"/>
                <w:sz w:val="20"/>
                <w:szCs w:val="20"/>
                <w:lang w:eastAsia="fr-SN"/>
              </w:rPr>
              <w:t>3</w:t>
            </w:r>
          </w:p>
        </w:tc>
        <w:tc>
          <w:tcPr>
            <w:tcW w:w="1371" w:type="dxa"/>
            <w:shd w:val="clear" w:color="auto" w:fill="auto"/>
            <w:vAlign w:val="center"/>
            <w:hideMark/>
          </w:tcPr>
          <w:p w14:paraId="743EC6B7"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3 000 000</w:t>
            </w:r>
          </w:p>
        </w:tc>
        <w:tc>
          <w:tcPr>
            <w:tcW w:w="1950" w:type="dxa"/>
            <w:shd w:val="clear" w:color="auto" w:fill="auto"/>
            <w:vAlign w:val="center"/>
            <w:hideMark/>
          </w:tcPr>
          <w:p w14:paraId="275A47CD" w14:textId="5A7BAACE" w:rsidR="00B91B2B" w:rsidRPr="00E01239" w:rsidRDefault="00D56CE9"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3</w:t>
            </w:r>
            <w:r w:rsidR="00B91B2B" w:rsidRPr="00E01239">
              <w:rPr>
                <w:rFonts w:asciiTheme="minorHAnsi" w:hAnsiTheme="minorHAnsi" w:cstheme="minorHAnsi"/>
                <w:color w:val="000000"/>
                <w:sz w:val="20"/>
                <w:szCs w:val="20"/>
                <w:lang w:eastAsia="fr-SN"/>
              </w:rPr>
              <w:t>9 000 000</w:t>
            </w:r>
          </w:p>
        </w:tc>
      </w:tr>
      <w:tr w:rsidR="00B91B2B" w:rsidRPr="00E01239" w14:paraId="6FC87692" w14:textId="77777777" w:rsidTr="008C0C70">
        <w:trPr>
          <w:trHeight w:val="519"/>
        </w:trPr>
        <w:tc>
          <w:tcPr>
            <w:tcW w:w="8359" w:type="dxa"/>
            <w:shd w:val="clear" w:color="auto" w:fill="auto"/>
            <w:vAlign w:val="center"/>
            <w:hideMark/>
          </w:tcPr>
          <w:p w14:paraId="76FC96B2" w14:textId="0C4665A8" w:rsidR="00B91B2B" w:rsidRPr="00E01239" w:rsidRDefault="00B91B2B" w:rsidP="008C0C70">
            <w:pP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Screening des sous-projets</w:t>
            </w:r>
          </w:p>
        </w:tc>
        <w:tc>
          <w:tcPr>
            <w:tcW w:w="1417" w:type="dxa"/>
            <w:shd w:val="clear" w:color="auto" w:fill="auto"/>
            <w:vAlign w:val="center"/>
            <w:hideMark/>
          </w:tcPr>
          <w:p w14:paraId="532E2FD0" w14:textId="11E21DD9" w:rsidR="00B91B2B" w:rsidRPr="00E01239" w:rsidRDefault="005D037F"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Forfait</w:t>
            </w:r>
          </w:p>
        </w:tc>
        <w:tc>
          <w:tcPr>
            <w:tcW w:w="897" w:type="dxa"/>
            <w:shd w:val="clear" w:color="auto" w:fill="auto"/>
            <w:vAlign w:val="center"/>
            <w:hideMark/>
          </w:tcPr>
          <w:p w14:paraId="2DED0FDC" w14:textId="25B0C7FC" w:rsidR="00B91B2B" w:rsidRPr="00E01239" w:rsidRDefault="00D56CE9"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w:t>
            </w:r>
            <w:r w:rsidR="00B91B2B" w:rsidRPr="00E01239">
              <w:rPr>
                <w:rFonts w:asciiTheme="minorHAnsi" w:hAnsiTheme="minorHAnsi" w:cstheme="minorHAnsi"/>
                <w:color w:val="000000"/>
                <w:sz w:val="20"/>
                <w:szCs w:val="20"/>
                <w:lang w:eastAsia="fr-SN"/>
              </w:rPr>
              <w:t>3</w:t>
            </w:r>
          </w:p>
        </w:tc>
        <w:tc>
          <w:tcPr>
            <w:tcW w:w="1371" w:type="dxa"/>
            <w:shd w:val="clear" w:color="auto" w:fill="auto"/>
            <w:vAlign w:val="center"/>
            <w:hideMark/>
          </w:tcPr>
          <w:p w14:paraId="7A8647D4" w14:textId="10D0392F"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w:t>
            </w:r>
            <w:r w:rsidR="00D56CE9" w:rsidRPr="00E01239">
              <w:rPr>
                <w:rFonts w:asciiTheme="minorHAnsi" w:hAnsiTheme="minorHAnsi" w:cstheme="minorHAnsi"/>
                <w:color w:val="000000"/>
                <w:sz w:val="20"/>
                <w:szCs w:val="20"/>
                <w:lang w:eastAsia="fr-SN"/>
              </w:rPr>
              <w:t xml:space="preserve"> 5</w:t>
            </w:r>
            <w:r w:rsidRPr="00E01239">
              <w:rPr>
                <w:rFonts w:asciiTheme="minorHAnsi" w:hAnsiTheme="minorHAnsi" w:cstheme="minorHAnsi"/>
                <w:color w:val="000000"/>
                <w:sz w:val="20"/>
                <w:szCs w:val="20"/>
                <w:lang w:eastAsia="fr-SN"/>
              </w:rPr>
              <w:t>00 000</w:t>
            </w:r>
          </w:p>
        </w:tc>
        <w:tc>
          <w:tcPr>
            <w:tcW w:w="1950" w:type="dxa"/>
            <w:shd w:val="clear" w:color="auto" w:fill="auto"/>
            <w:vAlign w:val="center"/>
            <w:hideMark/>
          </w:tcPr>
          <w:p w14:paraId="0C7E9936" w14:textId="52FCE670" w:rsidR="00B91B2B" w:rsidRPr="00E01239" w:rsidRDefault="00D56CE9"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19 5</w:t>
            </w:r>
            <w:r w:rsidR="00B91B2B" w:rsidRPr="00E01239">
              <w:rPr>
                <w:rFonts w:asciiTheme="minorHAnsi" w:hAnsiTheme="minorHAnsi" w:cstheme="minorHAnsi"/>
                <w:color w:val="000000"/>
                <w:sz w:val="20"/>
                <w:szCs w:val="20"/>
                <w:lang w:eastAsia="fr-SN"/>
              </w:rPr>
              <w:t>00 000</w:t>
            </w:r>
          </w:p>
        </w:tc>
      </w:tr>
      <w:tr w:rsidR="00B91B2B" w:rsidRPr="00E01239" w14:paraId="2C1581E9" w14:textId="77777777" w:rsidTr="008C0C70">
        <w:trPr>
          <w:trHeight w:val="838"/>
        </w:trPr>
        <w:tc>
          <w:tcPr>
            <w:tcW w:w="8359" w:type="dxa"/>
            <w:shd w:val="clear" w:color="auto" w:fill="auto"/>
            <w:vAlign w:val="center"/>
            <w:hideMark/>
          </w:tcPr>
          <w:p w14:paraId="7879A397" w14:textId="62BEDC52" w:rsidR="00B91B2B" w:rsidRPr="00E01239" w:rsidRDefault="00B91B2B" w:rsidP="008C0C70">
            <w:pP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 xml:space="preserve">Suivi environnemental </w:t>
            </w:r>
            <w:r w:rsidR="00042AF3">
              <w:rPr>
                <w:rFonts w:asciiTheme="minorHAnsi" w:hAnsiTheme="minorHAnsi" w:cstheme="minorHAnsi"/>
                <w:color w:val="000000"/>
                <w:sz w:val="20"/>
                <w:szCs w:val="20"/>
                <w:lang w:eastAsia="fr-SN"/>
              </w:rPr>
              <w:t xml:space="preserve">et social </w:t>
            </w:r>
            <w:r w:rsidRPr="00E01239">
              <w:rPr>
                <w:rFonts w:asciiTheme="minorHAnsi" w:hAnsiTheme="minorHAnsi" w:cstheme="minorHAnsi"/>
                <w:color w:val="000000"/>
                <w:sz w:val="20"/>
                <w:szCs w:val="20"/>
                <w:lang w:eastAsia="fr-SN"/>
              </w:rPr>
              <w:t>permanent de la mise en œuvre des mesures environnementales et sociales</w:t>
            </w:r>
          </w:p>
        </w:tc>
        <w:tc>
          <w:tcPr>
            <w:tcW w:w="1417" w:type="dxa"/>
            <w:shd w:val="clear" w:color="auto" w:fill="auto"/>
            <w:vAlign w:val="center"/>
            <w:hideMark/>
          </w:tcPr>
          <w:p w14:paraId="6D85CF10" w14:textId="2A9FC8CD" w:rsidR="00B91B2B" w:rsidRPr="00E01239" w:rsidRDefault="005D037F"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Forfait</w:t>
            </w:r>
          </w:p>
        </w:tc>
        <w:tc>
          <w:tcPr>
            <w:tcW w:w="897" w:type="dxa"/>
            <w:shd w:val="clear" w:color="auto" w:fill="auto"/>
            <w:vAlign w:val="center"/>
            <w:hideMark/>
          </w:tcPr>
          <w:p w14:paraId="416598B7" w14:textId="32ECC505" w:rsidR="00B91B2B" w:rsidRPr="00E01239" w:rsidRDefault="00D56CE9"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13</w:t>
            </w:r>
          </w:p>
        </w:tc>
        <w:tc>
          <w:tcPr>
            <w:tcW w:w="1371" w:type="dxa"/>
            <w:shd w:val="clear" w:color="auto" w:fill="auto"/>
            <w:vAlign w:val="center"/>
            <w:hideMark/>
          </w:tcPr>
          <w:p w14:paraId="71A080B7"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2 500 000</w:t>
            </w:r>
          </w:p>
        </w:tc>
        <w:tc>
          <w:tcPr>
            <w:tcW w:w="1950" w:type="dxa"/>
            <w:shd w:val="clear" w:color="auto" w:fill="auto"/>
            <w:vAlign w:val="center"/>
            <w:hideMark/>
          </w:tcPr>
          <w:p w14:paraId="3576DD53" w14:textId="28F7A56F" w:rsidR="00B91B2B" w:rsidRPr="00E01239" w:rsidRDefault="00D56CE9"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32 5</w:t>
            </w:r>
            <w:r w:rsidR="00B91B2B" w:rsidRPr="00E01239">
              <w:rPr>
                <w:rFonts w:asciiTheme="minorHAnsi" w:hAnsiTheme="minorHAnsi" w:cstheme="minorHAnsi"/>
                <w:color w:val="000000"/>
                <w:sz w:val="20"/>
                <w:szCs w:val="20"/>
                <w:lang w:eastAsia="fr-SN"/>
              </w:rPr>
              <w:t>00 000</w:t>
            </w:r>
          </w:p>
        </w:tc>
      </w:tr>
      <w:tr w:rsidR="00B91B2B" w:rsidRPr="00E01239" w14:paraId="28D79FD6" w14:textId="77777777" w:rsidTr="008C0C70">
        <w:trPr>
          <w:trHeight w:val="428"/>
        </w:trPr>
        <w:tc>
          <w:tcPr>
            <w:tcW w:w="8359" w:type="dxa"/>
            <w:shd w:val="clear" w:color="auto" w:fill="auto"/>
            <w:vAlign w:val="center"/>
            <w:hideMark/>
          </w:tcPr>
          <w:p w14:paraId="5025896E" w14:textId="77777777" w:rsidR="00B91B2B" w:rsidRPr="00E01239" w:rsidRDefault="00B91B2B" w:rsidP="008C0C70">
            <w:pP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Audit de la mise en œuvre du CGES</w:t>
            </w:r>
          </w:p>
        </w:tc>
        <w:tc>
          <w:tcPr>
            <w:tcW w:w="1417" w:type="dxa"/>
            <w:shd w:val="clear" w:color="auto" w:fill="auto"/>
            <w:vAlign w:val="center"/>
            <w:hideMark/>
          </w:tcPr>
          <w:p w14:paraId="4B162D3B" w14:textId="4EE73870" w:rsidR="00B91B2B" w:rsidRPr="00E01239" w:rsidRDefault="005D037F"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Forfait</w:t>
            </w:r>
          </w:p>
        </w:tc>
        <w:tc>
          <w:tcPr>
            <w:tcW w:w="897" w:type="dxa"/>
            <w:shd w:val="clear" w:color="auto" w:fill="auto"/>
            <w:vAlign w:val="center"/>
            <w:hideMark/>
          </w:tcPr>
          <w:p w14:paraId="2CD21C55"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w:t>
            </w:r>
          </w:p>
        </w:tc>
        <w:tc>
          <w:tcPr>
            <w:tcW w:w="1371" w:type="dxa"/>
            <w:shd w:val="clear" w:color="auto" w:fill="auto"/>
            <w:vAlign w:val="center"/>
            <w:hideMark/>
          </w:tcPr>
          <w:p w14:paraId="1395B1F0"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30 000 000</w:t>
            </w:r>
          </w:p>
        </w:tc>
        <w:tc>
          <w:tcPr>
            <w:tcW w:w="1950" w:type="dxa"/>
            <w:shd w:val="clear" w:color="auto" w:fill="auto"/>
            <w:vAlign w:val="center"/>
            <w:hideMark/>
          </w:tcPr>
          <w:p w14:paraId="70D7FB7B"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30 000 000</w:t>
            </w:r>
          </w:p>
        </w:tc>
      </w:tr>
      <w:tr w:rsidR="00B91B2B" w:rsidRPr="00E01239" w14:paraId="0C9AAA57" w14:textId="77777777" w:rsidTr="008C0C70">
        <w:trPr>
          <w:trHeight w:val="545"/>
        </w:trPr>
        <w:tc>
          <w:tcPr>
            <w:tcW w:w="8359" w:type="dxa"/>
            <w:shd w:val="clear" w:color="auto" w:fill="auto"/>
            <w:vAlign w:val="center"/>
            <w:hideMark/>
          </w:tcPr>
          <w:p w14:paraId="731B9BD9" w14:textId="6F370AF6" w:rsidR="00B91B2B" w:rsidRPr="00E01239" w:rsidRDefault="00B91B2B" w:rsidP="008C0C70">
            <w:pP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Elaboration de manuel de bonnes pratiques environnementales</w:t>
            </w:r>
            <w:r w:rsidR="000D5A9B">
              <w:rPr>
                <w:rFonts w:asciiTheme="minorHAnsi" w:hAnsiTheme="minorHAnsi" w:cstheme="minorHAnsi"/>
                <w:color w:val="000000"/>
                <w:sz w:val="20"/>
                <w:szCs w:val="20"/>
                <w:lang w:eastAsia="fr-SN"/>
              </w:rPr>
              <w:t>,</w:t>
            </w:r>
            <w:r w:rsidR="00042AF3">
              <w:rPr>
                <w:rFonts w:asciiTheme="minorHAnsi" w:hAnsiTheme="minorHAnsi" w:cstheme="minorHAnsi"/>
                <w:color w:val="000000"/>
                <w:sz w:val="20"/>
                <w:szCs w:val="20"/>
                <w:lang w:eastAsia="fr-SN"/>
              </w:rPr>
              <w:t xml:space="preserve"> sociales</w:t>
            </w:r>
            <w:r w:rsidRPr="00E01239">
              <w:rPr>
                <w:rFonts w:asciiTheme="minorHAnsi" w:hAnsiTheme="minorHAnsi" w:cstheme="minorHAnsi"/>
                <w:color w:val="000000"/>
                <w:sz w:val="20"/>
                <w:szCs w:val="20"/>
                <w:lang w:eastAsia="fr-SN"/>
              </w:rPr>
              <w:t xml:space="preserve"> et HSS et de suivi environnemental</w:t>
            </w:r>
            <w:r w:rsidR="00D40107">
              <w:rPr>
                <w:rFonts w:asciiTheme="minorHAnsi" w:hAnsiTheme="minorHAnsi" w:cstheme="minorHAnsi"/>
                <w:color w:val="000000"/>
                <w:sz w:val="20"/>
                <w:szCs w:val="20"/>
                <w:lang w:eastAsia="fr-SN"/>
              </w:rPr>
              <w:t xml:space="preserve"> et social</w:t>
            </w:r>
          </w:p>
        </w:tc>
        <w:tc>
          <w:tcPr>
            <w:tcW w:w="1417" w:type="dxa"/>
            <w:shd w:val="clear" w:color="auto" w:fill="auto"/>
            <w:vAlign w:val="center"/>
            <w:hideMark/>
          </w:tcPr>
          <w:p w14:paraId="0536BC23" w14:textId="176D03F8" w:rsidR="00B91B2B" w:rsidRPr="00E01239" w:rsidRDefault="005D037F"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Forfait</w:t>
            </w:r>
          </w:p>
        </w:tc>
        <w:tc>
          <w:tcPr>
            <w:tcW w:w="897" w:type="dxa"/>
            <w:shd w:val="clear" w:color="auto" w:fill="auto"/>
            <w:vAlign w:val="center"/>
            <w:hideMark/>
          </w:tcPr>
          <w:p w14:paraId="1FDC3833"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w:t>
            </w:r>
          </w:p>
        </w:tc>
        <w:tc>
          <w:tcPr>
            <w:tcW w:w="1371" w:type="dxa"/>
            <w:shd w:val="clear" w:color="auto" w:fill="auto"/>
            <w:vAlign w:val="center"/>
            <w:hideMark/>
          </w:tcPr>
          <w:p w14:paraId="5E64B9D1"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25 000 000</w:t>
            </w:r>
          </w:p>
        </w:tc>
        <w:tc>
          <w:tcPr>
            <w:tcW w:w="1950" w:type="dxa"/>
            <w:shd w:val="clear" w:color="auto" w:fill="auto"/>
            <w:vAlign w:val="center"/>
            <w:hideMark/>
          </w:tcPr>
          <w:p w14:paraId="59397718"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25 000 000</w:t>
            </w:r>
          </w:p>
        </w:tc>
      </w:tr>
      <w:tr w:rsidR="00B91B2B" w:rsidRPr="00E01239" w14:paraId="06C0E4A6" w14:textId="77777777" w:rsidTr="008C0C70">
        <w:trPr>
          <w:trHeight w:val="411"/>
        </w:trPr>
        <w:tc>
          <w:tcPr>
            <w:tcW w:w="8359" w:type="dxa"/>
            <w:shd w:val="clear" w:color="auto" w:fill="auto"/>
            <w:vAlign w:val="center"/>
            <w:hideMark/>
          </w:tcPr>
          <w:p w14:paraId="24857E2F" w14:textId="4C3E0E6B" w:rsidR="00B91B2B" w:rsidRPr="00E01239" w:rsidRDefault="00B91B2B" w:rsidP="00A4514B">
            <w:pP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Réalisation et mise en œuvre d</w:t>
            </w:r>
            <w:r w:rsidR="00A4514B" w:rsidRPr="00E01239">
              <w:rPr>
                <w:rFonts w:asciiTheme="minorHAnsi" w:hAnsiTheme="minorHAnsi" w:cstheme="minorHAnsi"/>
                <w:color w:val="000000"/>
                <w:sz w:val="20"/>
                <w:szCs w:val="20"/>
                <w:lang w:eastAsia="fr-SN"/>
              </w:rPr>
              <w:t xml:space="preserve">es </w:t>
            </w:r>
            <w:r w:rsidRPr="00E01239">
              <w:rPr>
                <w:rFonts w:asciiTheme="minorHAnsi" w:hAnsiTheme="minorHAnsi" w:cstheme="minorHAnsi"/>
                <w:color w:val="000000"/>
                <w:sz w:val="20"/>
                <w:szCs w:val="20"/>
                <w:lang w:eastAsia="fr-SN"/>
              </w:rPr>
              <w:t xml:space="preserve">EIES et PGES  </w:t>
            </w:r>
          </w:p>
        </w:tc>
        <w:tc>
          <w:tcPr>
            <w:tcW w:w="1417" w:type="dxa"/>
            <w:shd w:val="clear" w:color="auto" w:fill="auto"/>
            <w:vAlign w:val="center"/>
            <w:hideMark/>
          </w:tcPr>
          <w:p w14:paraId="30469BDB" w14:textId="03BC0A19" w:rsidR="00B91B2B" w:rsidRPr="00E01239" w:rsidRDefault="005D037F"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Forfait</w:t>
            </w:r>
          </w:p>
        </w:tc>
        <w:tc>
          <w:tcPr>
            <w:tcW w:w="897" w:type="dxa"/>
            <w:shd w:val="clear" w:color="auto" w:fill="auto"/>
            <w:vAlign w:val="center"/>
            <w:hideMark/>
          </w:tcPr>
          <w:p w14:paraId="1FD5DEAD"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w:t>
            </w:r>
          </w:p>
        </w:tc>
        <w:tc>
          <w:tcPr>
            <w:tcW w:w="1371" w:type="dxa"/>
            <w:shd w:val="clear" w:color="auto" w:fill="auto"/>
            <w:vAlign w:val="center"/>
            <w:hideMark/>
          </w:tcPr>
          <w:p w14:paraId="6ACC5C93"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150 000 000</w:t>
            </w:r>
          </w:p>
        </w:tc>
        <w:tc>
          <w:tcPr>
            <w:tcW w:w="1950" w:type="dxa"/>
            <w:shd w:val="clear" w:color="auto" w:fill="auto"/>
            <w:vAlign w:val="center"/>
            <w:hideMark/>
          </w:tcPr>
          <w:p w14:paraId="3D08696A"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150 000 000</w:t>
            </w:r>
          </w:p>
        </w:tc>
      </w:tr>
      <w:tr w:rsidR="00B91B2B" w:rsidRPr="00E01239" w14:paraId="328F60BC" w14:textId="77777777" w:rsidTr="008C0C70">
        <w:trPr>
          <w:trHeight w:val="417"/>
        </w:trPr>
        <w:tc>
          <w:tcPr>
            <w:tcW w:w="8359" w:type="dxa"/>
            <w:shd w:val="clear" w:color="auto" w:fill="auto"/>
            <w:vAlign w:val="center"/>
            <w:hideMark/>
          </w:tcPr>
          <w:p w14:paraId="31105F51" w14:textId="77777777" w:rsidR="00B91B2B" w:rsidRPr="00E01239" w:rsidRDefault="00B91B2B" w:rsidP="008C0C70">
            <w:pP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Situation de référence et mise en place d’une base de données</w:t>
            </w:r>
          </w:p>
        </w:tc>
        <w:tc>
          <w:tcPr>
            <w:tcW w:w="1417" w:type="dxa"/>
            <w:shd w:val="clear" w:color="auto" w:fill="auto"/>
            <w:vAlign w:val="center"/>
            <w:hideMark/>
          </w:tcPr>
          <w:p w14:paraId="5C2563F1" w14:textId="5FDC11C9" w:rsidR="00B91B2B" w:rsidRPr="00E01239" w:rsidRDefault="005D037F"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Forfait</w:t>
            </w:r>
          </w:p>
        </w:tc>
        <w:tc>
          <w:tcPr>
            <w:tcW w:w="897" w:type="dxa"/>
            <w:shd w:val="clear" w:color="auto" w:fill="auto"/>
            <w:vAlign w:val="center"/>
            <w:hideMark/>
          </w:tcPr>
          <w:p w14:paraId="2177F343"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w:t>
            </w:r>
          </w:p>
        </w:tc>
        <w:tc>
          <w:tcPr>
            <w:tcW w:w="1371" w:type="dxa"/>
            <w:shd w:val="clear" w:color="auto" w:fill="auto"/>
            <w:vAlign w:val="center"/>
            <w:hideMark/>
          </w:tcPr>
          <w:p w14:paraId="11BC1B99"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30 000 000</w:t>
            </w:r>
          </w:p>
        </w:tc>
        <w:tc>
          <w:tcPr>
            <w:tcW w:w="1950" w:type="dxa"/>
            <w:shd w:val="clear" w:color="auto" w:fill="auto"/>
            <w:vAlign w:val="center"/>
            <w:hideMark/>
          </w:tcPr>
          <w:p w14:paraId="787B7048"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30 000 000</w:t>
            </w:r>
          </w:p>
        </w:tc>
      </w:tr>
      <w:tr w:rsidR="00B91B2B" w:rsidRPr="00E01239" w14:paraId="6BBA494F" w14:textId="77777777" w:rsidTr="008C0C70">
        <w:trPr>
          <w:trHeight w:val="422"/>
        </w:trPr>
        <w:tc>
          <w:tcPr>
            <w:tcW w:w="8359" w:type="dxa"/>
            <w:shd w:val="clear" w:color="auto" w:fill="auto"/>
            <w:vAlign w:val="center"/>
            <w:hideMark/>
          </w:tcPr>
          <w:p w14:paraId="417ED966" w14:textId="77777777" w:rsidR="00B91B2B" w:rsidRPr="00E01239" w:rsidRDefault="00B91B2B" w:rsidP="008C0C70">
            <w:pP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Evaluation finale du PGES</w:t>
            </w:r>
          </w:p>
        </w:tc>
        <w:tc>
          <w:tcPr>
            <w:tcW w:w="1417" w:type="dxa"/>
            <w:shd w:val="clear" w:color="auto" w:fill="auto"/>
            <w:vAlign w:val="center"/>
            <w:hideMark/>
          </w:tcPr>
          <w:p w14:paraId="3A66F45F" w14:textId="18A32869" w:rsidR="00B91B2B" w:rsidRPr="00E01239" w:rsidRDefault="005D037F"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Forfait</w:t>
            </w:r>
          </w:p>
        </w:tc>
        <w:tc>
          <w:tcPr>
            <w:tcW w:w="897" w:type="dxa"/>
            <w:shd w:val="clear" w:color="auto" w:fill="auto"/>
            <w:vAlign w:val="center"/>
            <w:hideMark/>
          </w:tcPr>
          <w:p w14:paraId="1AB9C3F2"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1</w:t>
            </w:r>
          </w:p>
        </w:tc>
        <w:tc>
          <w:tcPr>
            <w:tcW w:w="1371" w:type="dxa"/>
            <w:shd w:val="clear" w:color="auto" w:fill="auto"/>
            <w:vAlign w:val="center"/>
            <w:hideMark/>
          </w:tcPr>
          <w:p w14:paraId="639ECFD0"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25 000 000</w:t>
            </w:r>
          </w:p>
        </w:tc>
        <w:tc>
          <w:tcPr>
            <w:tcW w:w="1950" w:type="dxa"/>
            <w:shd w:val="clear" w:color="auto" w:fill="auto"/>
            <w:vAlign w:val="center"/>
            <w:hideMark/>
          </w:tcPr>
          <w:p w14:paraId="5E97418B" w14:textId="77777777" w:rsidR="00B91B2B" w:rsidRPr="00E01239" w:rsidRDefault="00B91B2B" w:rsidP="008C0C70">
            <w:pPr>
              <w:jc w:val="center"/>
              <w:rPr>
                <w:rFonts w:asciiTheme="minorHAnsi" w:hAnsiTheme="minorHAnsi" w:cstheme="minorHAnsi"/>
                <w:color w:val="000000"/>
                <w:sz w:val="20"/>
                <w:szCs w:val="20"/>
                <w:lang w:eastAsia="fr-SN"/>
              </w:rPr>
            </w:pPr>
            <w:r w:rsidRPr="00E01239">
              <w:rPr>
                <w:rFonts w:asciiTheme="minorHAnsi" w:hAnsiTheme="minorHAnsi" w:cstheme="minorHAnsi"/>
                <w:color w:val="000000"/>
                <w:sz w:val="20"/>
                <w:szCs w:val="20"/>
                <w:lang w:eastAsia="fr-SN"/>
              </w:rPr>
              <w:t>25 000 000</w:t>
            </w:r>
          </w:p>
        </w:tc>
      </w:tr>
      <w:tr w:rsidR="00B91B2B" w:rsidRPr="00E01239" w14:paraId="42844EAD" w14:textId="77777777" w:rsidTr="008C0C70">
        <w:trPr>
          <w:trHeight w:val="300"/>
        </w:trPr>
        <w:tc>
          <w:tcPr>
            <w:tcW w:w="12044" w:type="dxa"/>
            <w:gridSpan w:val="4"/>
            <w:shd w:val="clear" w:color="auto" w:fill="auto"/>
            <w:vAlign w:val="center"/>
            <w:hideMark/>
          </w:tcPr>
          <w:p w14:paraId="649B5767" w14:textId="77777777" w:rsidR="00B91B2B" w:rsidRPr="00E01239" w:rsidRDefault="00B91B2B" w:rsidP="008C0C70">
            <w:pPr>
              <w:jc w:val="center"/>
              <w:rPr>
                <w:rFonts w:asciiTheme="minorHAnsi" w:hAnsiTheme="minorHAnsi" w:cstheme="minorHAnsi"/>
                <w:b/>
                <w:bCs/>
                <w:color w:val="000000"/>
                <w:sz w:val="20"/>
                <w:szCs w:val="20"/>
                <w:lang w:eastAsia="fr-SN"/>
              </w:rPr>
            </w:pPr>
            <w:r w:rsidRPr="00E01239">
              <w:rPr>
                <w:rFonts w:asciiTheme="minorHAnsi" w:hAnsiTheme="minorHAnsi" w:cstheme="minorHAnsi"/>
                <w:b/>
                <w:bCs/>
                <w:color w:val="000000"/>
                <w:sz w:val="20"/>
                <w:szCs w:val="20"/>
                <w:lang w:eastAsia="fr-SN"/>
              </w:rPr>
              <w:t>Coût Total (F CFA)</w:t>
            </w:r>
          </w:p>
        </w:tc>
        <w:tc>
          <w:tcPr>
            <w:tcW w:w="1950" w:type="dxa"/>
            <w:shd w:val="clear" w:color="000000" w:fill="FFF2CC"/>
            <w:vAlign w:val="center"/>
            <w:hideMark/>
          </w:tcPr>
          <w:p w14:paraId="3675066D" w14:textId="3F9255B6" w:rsidR="00B91B2B" w:rsidRPr="00E01239" w:rsidRDefault="00A82363" w:rsidP="008C0C70">
            <w:pPr>
              <w:jc w:val="center"/>
              <w:rPr>
                <w:rFonts w:asciiTheme="minorHAnsi" w:hAnsiTheme="minorHAnsi" w:cstheme="minorHAnsi"/>
                <w:b/>
                <w:color w:val="000000"/>
                <w:sz w:val="20"/>
                <w:szCs w:val="20"/>
                <w:lang w:eastAsia="fr-SN"/>
              </w:rPr>
            </w:pPr>
            <w:r w:rsidRPr="00E01239">
              <w:rPr>
                <w:rFonts w:asciiTheme="minorHAnsi" w:hAnsiTheme="minorHAnsi" w:cstheme="minorHAnsi"/>
                <w:b/>
                <w:color w:val="000000"/>
                <w:sz w:val="20"/>
                <w:szCs w:val="20"/>
                <w:lang w:eastAsia="fr-SN"/>
              </w:rPr>
              <w:t xml:space="preserve">396 </w:t>
            </w:r>
            <w:r w:rsidR="00B91B2B" w:rsidRPr="00E01239">
              <w:rPr>
                <w:rFonts w:asciiTheme="minorHAnsi" w:hAnsiTheme="minorHAnsi" w:cstheme="minorHAnsi"/>
                <w:b/>
                <w:color w:val="000000"/>
                <w:sz w:val="20"/>
                <w:szCs w:val="20"/>
                <w:lang w:eastAsia="fr-SN"/>
              </w:rPr>
              <w:t>500 000</w:t>
            </w:r>
          </w:p>
        </w:tc>
      </w:tr>
    </w:tbl>
    <w:p w14:paraId="68CB1CD6" w14:textId="77777777" w:rsidR="00B91B2B" w:rsidRPr="00E01239" w:rsidRDefault="00B91B2B" w:rsidP="00B91B2B">
      <w:pPr>
        <w:rPr>
          <w:rFonts w:asciiTheme="minorHAnsi" w:hAnsiTheme="minorHAnsi" w:cstheme="minorHAnsi"/>
          <w:b/>
        </w:rPr>
      </w:pPr>
    </w:p>
    <w:p w14:paraId="531E1D5A" w14:textId="77777777" w:rsidR="00B91B2B" w:rsidRPr="00E01239" w:rsidRDefault="00B91B2B" w:rsidP="00B91B2B">
      <w:pPr>
        <w:rPr>
          <w:rFonts w:asciiTheme="minorHAnsi" w:hAnsiTheme="minorHAnsi" w:cstheme="minorHAnsi"/>
          <w:b/>
          <w:sz w:val="22"/>
        </w:rPr>
      </w:pPr>
      <w:r w:rsidRPr="00E01239">
        <w:rPr>
          <w:rFonts w:asciiTheme="minorHAnsi" w:hAnsiTheme="minorHAnsi" w:cstheme="minorHAnsi"/>
        </w:rPr>
        <w:br w:type="page"/>
      </w:r>
    </w:p>
    <w:p w14:paraId="4558D6D8" w14:textId="60CD3102" w:rsidR="00B91B2B" w:rsidRPr="00E01239" w:rsidRDefault="00B91B2B" w:rsidP="00B91B2B">
      <w:pPr>
        <w:pStyle w:val="LgendeTab"/>
        <w:spacing w:before="0" w:after="0" w:line="240" w:lineRule="auto"/>
        <w:jc w:val="center"/>
        <w:rPr>
          <w:rFonts w:asciiTheme="minorHAnsi" w:hAnsiTheme="minorHAnsi" w:cstheme="minorHAnsi"/>
          <w:b w:val="0"/>
          <w:bCs/>
        </w:rPr>
      </w:pPr>
      <w:bookmarkStart w:id="1350" w:name="_Toc63281801"/>
      <w:bookmarkStart w:id="1351" w:name="_Toc88861291"/>
      <w:bookmarkStart w:id="1352" w:name="_Toc144654220"/>
      <w:r w:rsidRPr="00E01239">
        <w:rPr>
          <w:rFonts w:asciiTheme="minorHAnsi" w:hAnsiTheme="minorHAnsi" w:cstheme="minorHAnsi"/>
        </w:rPr>
        <w:lastRenderedPageBreak/>
        <w:t xml:space="preserve">Tableau </w:t>
      </w:r>
      <w:r w:rsidRPr="00E01239">
        <w:rPr>
          <w:rFonts w:asciiTheme="minorHAnsi" w:hAnsiTheme="minorHAnsi" w:cstheme="minorHAnsi"/>
          <w:noProof/>
        </w:rPr>
        <w:fldChar w:fldCharType="begin"/>
      </w:r>
      <w:r w:rsidRPr="00E01239">
        <w:rPr>
          <w:rFonts w:asciiTheme="minorHAnsi" w:hAnsiTheme="minorHAnsi" w:cstheme="minorHAnsi"/>
          <w:noProof/>
        </w:rPr>
        <w:instrText xml:space="preserve"> SEQ Tableau \* ARABIC </w:instrText>
      </w:r>
      <w:r w:rsidRPr="00E01239">
        <w:rPr>
          <w:rFonts w:asciiTheme="minorHAnsi" w:hAnsiTheme="minorHAnsi" w:cstheme="minorHAnsi"/>
          <w:noProof/>
        </w:rPr>
        <w:fldChar w:fldCharType="separate"/>
      </w:r>
      <w:r w:rsidR="005C3166">
        <w:rPr>
          <w:rFonts w:asciiTheme="minorHAnsi" w:hAnsiTheme="minorHAnsi" w:cstheme="minorHAnsi"/>
          <w:noProof/>
        </w:rPr>
        <w:t>26</w:t>
      </w:r>
      <w:r w:rsidRPr="00E01239">
        <w:rPr>
          <w:rFonts w:asciiTheme="minorHAnsi" w:hAnsiTheme="minorHAnsi" w:cstheme="minorHAnsi"/>
          <w:noProof/>
        </w:rPr>
        <w:fldChar w:fldCharType="end"/>
      </w:r>
      <w:r w:rsidRPr="00E01239">
        <w:rPr>
          <w:rFonts w:asciiTheme="minorHAnsi" w:hAnsiTheme="minorHAnsi" w:cstheme="minorHAnsi"/>
        </w:rPr>
        <w:t xml:space="preserve"> : </w:t>
      </w:r>
      <w:r w:rsidRPr="00E01239">
        <w:rPr>
          <w:rFonts w:asciiTheme="minorHAnsi" w:hAnsiTheme="minorHAnsi" w:cstheme="minorHAnsi"/>
          <w:b w:val="0"/>
          <w:bCs/>
        </w:rPr>
        <w:t>Calendrier de mise en œuvre de la gestion environnementale et sociale du projet</w:t>
      </w:r>
      <w:bookmarkEnd w:id="1350"/>
      <w:bookmarkEnd w:id="1351"/>
      <w:bookmarkEnd w:id="1352"/>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37"/>
        <w:gridCol w:w="5483"/>
        <w:gridCol w:w="1251"/>
        <w:gridCol w:w="1394"/>
        <w:gridCol w:w="686"/>
        <w:gridCol w:w="686"/>
        <w:gridCol w:w="1394"/>
        <w:gridCol w:w="686"/>
        <w:gridCol w:w="677"/>
      </w:tblGrid>
      <w:tr w:rsidR="00B91B2B" w:rsidRPr="00E01239" w14:paraId="0C94359E" w14:textId="77777777" w:rsidTr="008C0C70">
        <w:trPr>
          <w:trHeight w:val="454"/>
          <w:jc w:val="center"/>
        </w:trPr>
        <w:tc>
          <w:tcPr>
            <w:tcW w:w="621" w:type="pct"/>
            <w:vMerge w:val="restart"/>
            <w:shd w:val="clear" w:color="auto" w:fill="000000" w:themeFill="text1"/>
            <w:vAlign w:val="center"/>
          </w:tcPr>
          <w:p w14:paraId="7C36EB71" w14:textId="77777777" w:rsidR="00B91B2B" w:rsidRPr="00E01239" w:rsidRDefault="00B91B2B" w:rsidP="008C0C70">
            <w:pPr>
              <w:jc w:val="center"/>
              <w:rPr>
                <w:rFonts w:asciiTheme="minorHAnsi" w:hAnsiTheme="minorHAnsi" w:cstheme="minorHAnsi"/>
                <w:bCs/>
                <w:sz w:val="18"/>
                <w:szCs w:val="18"/>
              </w:rPr>
            </w:pPr>
            <w:r w:rsidRPr="00E01239">
              <w:rPr>
                <w:rFonts w:asciiTheme="minorHAnsi" w:hAnsiTheme="minorHAnsi" w:cstheme="minorHAnsi"/>
                <w:bCs/>
                <w:color w:val="000000"/>
                <w:sz w:val="18"/>
                <w:szCs w:val="18"/>
              </w:rPr>
              <w:t>Mesures</w:t>
            </w:r>
          </w:p>
        </w:tc>
        <w:tc>
          <w:tcPr>
            <w:tcW w:w="1959" w:type="pct"/>
            <w:vMerge w:val="restart"/>
            <w:shd w:val="clear" w:color="auto" w:fill="000000" w:themeFill="text1"/>
            <w:vAlign w:val="center"/>
          </w:tcPr>
          <w:p w14:paraId="61F3391F" w14:textId="77777777" w:rsidR="00B91B2B" w:rsidRPr="00E01239" w:rsidRDefault="00B91B2B" w:rsidP="008C0C70">
            <w:pPr>
              <w:jc w:val="center"/>
              <w:rPr>
                <w:rFonts w:asciiTheme="minorHAnsi" w:hAnsiTheme="minorHAnsi" w:cstheme="minorHAnsi"/>
                <w:bCs/>
                <w:sz w:val="18"/>
                <w:szCs w:val="18"/>
              </w:rPr>
            </w:pPr>
            <w:r w:rsidRPr="00E01239">
              <w:rPr>
                <w:rFonts w:asciiTheme="minorHAnsi" w:hAnsiTheme="minorHAnsi" w:cstheme="minorHAnsi"/>
                <w:bCs/>
                <w:sz w:val="18"/>
                <w:szCs w:val="18"/>
              </w:rPr>
              <w:t>Actions proposées</w:t>
            </w:r>
          </w:p>
        </w:tc>
        <w:tc>
          <w:tcPr>
            <w:tcW w:w="2420" w:type="pct"/>
            <w:gridSpan w:val="7"/>
            <w:shd w:val="clear" w:color="auto" w:fill="000000" w:themeFill="text1"/>
            <w:vAlign w:val="center"/>
          </w:tcPr>
          <w:p w14:paraId="4AE349D4" w14:textId="77777777" w:rsidR="00B91B2B" w:rsidRPr="00E01239" w:rsidRDefault="00B91B2B" w:rsidP="008C0C70">
            <w:pPr>
              <w:jc w:val="center"/>
              <w:rPr>
                <w:rFonts w:asciiTheme="minorHAnsi" w:hAnsiTheme="minorHAnsi" w:cstheme="minorHAnsi"/>
                <w:bCs/>
                <w:sz w:val="18"/>
                <w:szCs w:val="18"/>
              </w:rPr>
            </w:pPr>
            <w:r w:rsidRPr="00E01239">
              <w:rPr>
                <w:rFonts w:asciiTheme="minorHAnsi" w:hAnsiTheme="minorHAnsi" w:cstheme="minorHAnsi"/>
                <w:bCs/>
                <w:sz w:val="18"/>
                <w:szCs w:val="18"/>
              </w:rPr>
              <w:t>Périodes de réalisation</w:t>
            </w:r>
          </w:p>
        </w:tc>
      </w:tr>
      <w:tr w:rsidR="00B91B2B" w:rsidRPr="00E01239" w14:paraId="5F99D73D" w14:textId="77777777" w:rsidTr="008C0C70">
        <w:trPr>
          <w:trHeight w:val="454"/>
          <w:jc w:val="center"/>
        </w:trPr>
        <w:tc>
          <w:tcPr>
            <w:tcW w:w="621" w:type="pct"/>
            <w:vMerge/>
            <w:shd w:val="clear" w:color="auto" w:fill="000000" w:themeFill="text1"/>
            <w:vAlign w:val="center"/>
          </w:tcPr>
          <w:p w14:paraId="2CD99B95" w14:textId="77777777" w:rsidR="00B91B2B" w:rsidRPr="00E01239" w:rsidRDefault="00B91B2B" w:rsidP="008C0C70">
            <w:pPr>
              <w:jc w:val="center"/>
              <w:rPr>
                <w:rFonts w:asciiTheme="minorHAnsi" w:hAnsiTheme="minorHAnsi" w:cstheme="minorHAnsi"/>
                <w:bCs/>
                <w:color w:val="000000"/>
                <w:sz w:val="18"/>
                <w:szCs w:val="18"/>
              </w:rPr>
            </w:pPr>
          </w:p>
        </w:tc>
        <w:tc>
          <w:tcPr>
            <w:tcW w:w="1959" w:type="pct"/>
            <w:vMerge/>
            <w:tcBorders>
              <w:bottom w:val="single" w:sz="4" w:space="0" w:color="808080" w:themeColor="background1" w:themeShade="80"/>
            </w:tcBorders>
            <w:shd w:val="clear" w:color="auto" w:fill="000000" w:themeFill="text1"/>
            <w:vAlign w:val="center"/>
          </w:tcPr>
          <w:p w14:paraId="33326AE9" w14:textId="77777777" w:rsidR="00B91B2B" w:rsidRPr="00E01239" w:rsidRDefault="00B91B2B" w:rsidP="008C0C70">
            <w:pPr>
              <w:jc w:val="center"/>
              <w:rPr>
                <w:rFonts w:asciiTheme="minorHAnsi" w:hAnsiTheme="minorHAnsi" w:cstheme="minorHAnsi"/>
                <w:bCs/>
                <w:color w:val="000000"/>
                <w:sz w:val="18"/>
                <w:szCs w:val="18"/>
              </w:rPr>
            </w:pPr>
          </w:p>
        </w:tc>
        <w:tc>
          <w:tcPr>
            <w:tcW w:w="447" w:type="pct"/>
            <w:tcBorders>
              <w:bottom w:val="dotted" w:sz="4" w:space="0" w:color="808080" w:themeColor="background1" w:themeShade="80"/>
            </w:tcBorders>
            <w:shd w:val="clear" w:color="auto" w:fill="000000" w:themeFill="text1"/>
            <w:vAlign w:val="center"/>
          </w:tcPr>
          <w:p w14:paraId="303C46EF" w14:textId="77777777" w:rsidR="00B91B2B" w:rsidRPr="00E01239" w:rsidRDefault="00B91B2B" w:rsidP="008C0C70">
            <w:pPr>
              <w:jc w:val="center"/>
              <w:rPr>
                <w:rFonts w:asciiTheme="minorHAnsi" w:hAnsiTheme="minorHAnsi" w:cstheme="minorHAnsi"/>
                <w:bCs/>
                <w:sz w:val="18"/>
                <w:szCs w:val="18"/>
              </w:rPr>
            </w:pPr>
            <w:r w:rsidRPr="00E01239">
              <w:rPr>
                <w:rFonts w:asciiTheme="minorHAnsi" w:hAnsiTheme="minorHAnsi" w:cstheme="minorHAnsi"/>
                <w:bCs/>
                <w:sz w:val="18"/>
                <w:szCs w:val="18"/>
              </w:rPr>
              <w:t>Année 1</w:t>
            </w:r>
          </w:p>
        </w:tc>
        <w:tc>
          <w:tcPr>
            <w:tcW w:w="498" w:type="pct"/>
            <w:tcBorders>
              <w:bottom w:val="dotted" w:sz="4" w:space="0" w:color="808080" w:themeColor="background1" w:themeShade="80"/>
            </w:tcBorders>
            <w:shd w:val="clear" w:color="auto" w:fill="000000" w:themeFill="text1"/>
            <w:vAlign w:val="center"/>
          </w:tcPr>
          <w:p w14:paraId="137A13F2" w14:textId="77777777" w:rsidR="00B91B2B" w:rsidRPr="00E01239" w:rsidRDefault="00B91B2B" w:rsidP="008C0C70">
            <w:pPr>
              <w:jc w:val="center"/>
              <w:rPr>
                <w:rFonts w:asciiTheme="minorHAnsi" w:hAnsiTheme="minorHAnsi" w:cstheme="minorHAnsi"/>
                <w:bCs/>
                <w:sz w:val="18"/>
                <w:szCs w:val="18"/>
              </w:rPr>
            </w:pPr>
            <w:r w:rsidRPr="00E01239">
              <w:rPr>
                <w:rFonts w:asciiTheme="minorHAnsi" w:hAnsiTheme="minorHAnsi" w:cstheme="minorHAnsi"/>
                <w:bCs/>
                <w:sz w:val="18"/>
                <w:szCs w:val="18"/>
              </w:rPr>
              <w:t>Année 2</w:t>
            </w:r>
          </w:p>
        </w:tc>
        <w:tc>
          <w:tcPr>
            <w:tcW w:w="490" w:type="pct"/>
            <w:gridSpan w:val="2"/>
            <w:tcBorders>
              <w:bottom w:val="dotted" w:sz="4" w:space="0" w:color="808080" w:themeColor="background1" w:themeShade="80"/>
            </w:tcBorders>
            <w:shd w:val="clear" w:color="auto" w:fill="000000" w:themeFill="text1"/>
            <w:vAlign w:val="center"/>
          </w:tcPr>
          <w:p w14:paraId="4D5BEB94" w14:textId="77777777" w:rsidR="00B91B2B" w:rsidRPr="00E01239" w:rsidRDefault="00B91B2B" w:rsidP="008C0C70">
            <w:pPr>
              <w:jc w:val="center"/>
              <w:rPr>
                <w:rFonts w:asciiTheme="minorHAnsi" w:hAnsiTheme="minorHAnsi" w:cstheme="minorHAnsi"/>
                <w:bCs/>
                <w:sz w:val="18"/>
                <w:szCs w:val="18"/>
              </w:rPr>
            </w:pPr>
            <w:r w:rsidRPr="00E01239">
              <w:rPr>
                <w:rFonts w:asciiTheme="minorHAnsi" w:hAnsiTheme="minorHAnsi" w:cstheme="minorHAnsi"/>
                <w:bCs/>
                <w:sz w:val="18"/>
                <w:szCs w:val="18"/>
              </w:rPr>
              <w:t>Année 3</w:t>
            </w:r>
          </w:p>
        </w:tc>
        <w:tc>
          <w:tcPr>
            <w:tcW w:w="498" w:type="pct"/>
            <w:tcBorders>
              <w:bottom w:val="dotted" w:sz="4" w:space="0" w:color="808080" w:themeColor="background1" w:themeShade="80"/>
            </w:tcBorders>
            <w:shd w:val="clear" w:color="auto" w:fill="000000" w:themeFill="text1"/>
            <w:vAlign w:val="center"/>
          </w:tcPr>
          <w:p w14:paraId="5A695D3D" w14:textId="77777777" w:rsidR="00B91B2B" w:rsidRPr="00E01239" w:rsidRDefault="00B91B2B" w:rsidP="008C0C70">
            <w:pPr>
              <w:jc w:val="center"/>
              <w:rPr>
                <w:rFonts w:asciiTheme="minorHAnsi" w:hAnsiTheme="minorHAnsi" w:cstheme="minorHAnsi"/>
                <w:bCs/>
                <w:sz w:val="18"/>
                <w:szCs w:val="18"/>
              </w:rPr>
            </w:pPr>
            <w:r w:rsidRPr="00E01239">
              <w:rPr>
                <w:rFonts w:asciiTheme="minorHAnsi" w:hAnsiTheme="minorHAnsi" w:cstheme="minorHAnsi"/>
                <w:bCs/>
                <w:sz w:val="18"/>
                <w:szCs w:val="18"/>
              </w:rPr>
              <w:t>Année 4</w:t>
            </w:r>
          </w:p>
        </w:tc>
        <w:tc>
          <w:tcPr>
            <w:tcW w:w="487" w:type="pct"/>
            <w:gridSpan w:val="2"/>
            <w:tcBorders>
              <w:bottom w:val="dotted" w:sz="4" w:space="0" w:color="808080" w:themeColor="background1" w:themeShade="80"/>
            </w:tcBorders>
            <w:shd w:val="clear" w:color="auto" w:fill="000000" w:themeFill="text1"/>
            <w:vAlign w:val="center"/>
          </w:tcPr>
          <w:p w14:paraId="172ACA26" w14:textId="77777777" w:rsidR="00B91B2B" w:rsidRPr="00E01239" w:rsidRDefault="00B91B2B" w:rsidP="008C0C70">
            <w:pPr>
              <w:jc w:val="center"/>
              <w:rPr>
                <w:rFonts w:asciiTheme="minorHAnsi" w:hAnsiTheme="minorHAnsi" w:cstheme="minorHAnsi"/>
                <w:bCs/>
                <w:sz w:val="18"/>
                <w:szCs w:val="18"/>
              </w:rPr>
            </w:pPr>
            <w:r w:rsidRPr="00E01239">
              <w:rPr>
                <w:rFonts w:asciiTheme="minorHAnsi" w:hAnsiTheme="minorHAnsi" w:cstheme="minorHAnsi"/>
                <w:bCs/>
                <w:sz w:val="18"/>
                <w:szCs w:val="18"/>
              </w:rPr>
              <w:t>Année 5</w:t>
            </w:r>
          </w:p>
        </w:tc>
      </w:tr>
      <w:tr w:rsidR="00B91B2B" w:rsidRPr="00E01239" w14:paraId="13390BA5" w14:textId="77777777" w:rsidTr="008C0C70">
        <w:trPr>
          <w:trHeight w:val="511"/>
          <w:jc w:val="center"/>
        </w:trPr>
        <w:tc>
          <w:tcPr>
            <w:tcW w:w="621" w:type="pct"/>
            <w:vMerge w:val="restart"/>
            <w:shd w:val="clear" w:color="auto" w:fill="auto"/>
            <w:vAlign w:val="center"/>
          </w:tcPr>
          <w:p w14:paraId="2BE32B49" w14:textId="77777777" w:rsidR="00B91B2B" w:rsidRPr="00E01239" w:rsidRDefault="00B91B2B" w:rsidP="008C0C70">
            <w:pPr>
              <w:rPr>
                <w:rFonts w:asciiTheme="minorHAnsi" w:hAnsiTheme="minorHAnsi" w:cstheme="minorHAnsi"/>
                <w:bCs/>
                <w:sz w:val="18"/>
                <w:szCs w:val="18"/>
              </w:rPr>
            </w:pPr>
            <w:r w:rsidRPr="00E01239">
              <w:rPr>
                <w:rFonts w:asciiTheme="minorHAnsi" w:hAnsiTheme="minorHAnsi" w:cstheme="minorHAnsi"/>
                <w:bCs/>
                <w:sz w:val="18"/>
                <w:szCs w:val="18"/>
              </w:rPr>
              <w:t>Mesures institutionnelles</w:t>
            </w:r>
          </w:p>
        </w:tc>
        <w:tc>
          <w:tcPr>
            <w:tcW w:w="1959" w:type="pct"/>
            <w:tcBorders>
              <w:right w:val="single" w:sz="4" w:space="0" w:color="808080" w:themeColor="background1" w:themeShade="80"/>
            </w:tcBorders>
            <w:shd w:val="clear" w:color="auto" w:fill="auto"/>
            <w:vAlign w:val="center"/>
          </w:tcPr>
          <w:p w14:paraId="4500471E" w14:textId="4AB97090"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 xml:space="preserve">Désignation de l’équipe de sauvegardes au niveau </w:t>
            </w:r>
            <w:r w:rsidR="00A82363" w:rsidRPr="00E01239">
              <w:rPr>
                <w:rFonts w:asciiTheme="minorHAnsi" w:hAnsiTheme="minorHAnsi" w:cstheme="minorHAnsi"/>
                <w:bCs/>
                <w:sz w:val="18"/>
                <w:szCs w:val="18"/>
              </w:rPr>
              <w:t>des deux UCP</w:t>
            </w:r>
            <w:r w:rsidR="00B23F04" w:rsidRPr="00E01239">
              <w:rPr>
                <w:rFonts w:asciiTheme="minorHAnsi" w:hAnsiTheme="minorHAnsi" w:cstheme="minorHAnsi"/>
                <w:bCs/>
                <w:sz w:val="18"/>
                <w:szCs w:val="18"/>
              </w:rPr>
              <w:t xml:space="preserve"> (l’UCP/FSRP-SN/MEPA et l’UCP/FSRP-SN/MAERSA)</w:t>
            </w:r>
          </w:p>
        </w:tc>
        <w:tc>
          <w:tcPr>
            <w:tcW w:w="447" w:type="pct"/>
            <w:tcBorders>
              <w:top w:val="dotted" w:sz="4" w:space="0" w:color="808080" w:themeColor="background1" w:themeShade="80"/>
              <w:left w:val="single" w:sz="4" w:space="0" w:color="808080" w:themeColor="background1" w:themeShade="80"/>
              <w:right w:val="dotted" w:sz="4" w:space="0" w:color="808080" w:themeColor="background1" w:themeShade="80"/>
            </w:tcBorders>
            <w:shd w:val="clear" w:color="auto" w:fill="323E4F" w:themeFill="text2" w:themeFillShade="BF"/>
            <w:vAlign w:val="center"/>
          </w:tcPr>
          <w:p w14:paraId="36B51B32"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right w:val="dotted" w:sz="4" w:space="0" w:color="808080" w:themeColor="background1" w:themeShade="80"/>
            </w:tcBorders>
            <w:shd w:val="clear" w:color="auto" w:fill="auto"/>
            <w:vAlign w:val="center"/>
          </w:tcPr>
          <w:p w14:paraId="5CE12A13"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right w:val="dotted" w:sz="4" w:space="0" w:color="808080" w:themeColor="background1" w:themeShade="80"/>
            </w:tcBorders>
            <w:shd w:val="clear" w:color="auto" w:fill="auto"/>
            <w:vAlign w:val="center"/>
          </w:tcPr>
          <w:p w14:paraId="4517FDBC"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right w:val="dotted" w:sz="4" w:space="0" w:color="808080" w:themeColor="background1" w:themeShade="80"/>
            </w:tcBorders>
            <w:vAlign w:val="center"/>
          </w:tcPr>
          <w:p w14:paraId="446DDF2D"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right w:val="single" w:sz="4" w:space="0" w:color="808080" w:themeColor="background1" w:themeShade="80"/>
            </w:tcBorders>
            <w:vAlign w:val="center"/>
          </w:tcPr>
          <w:p w14:paraId="46179EEF" w14:textId="77777777" w:rsidR="00B91B2B" w:rsidRPr="00E01239" w:rsidRDefault="00B91B2B" w:rsidP="008C0C70">
            <w:pPr>
              <w:rPr>
                <w:rFonts w:asciiTheme="minorHAnsi" w:hAnsiTheme="minorHAnsi" w:cstheme="minorHAnsi"/>
                <w:bCs/>
                <w:sz w:val="18"/>
                <w:szCs w:val="18"/>
              </w:rPr>
            </w:pPr>
          </w:p>
        </w:tc>
      </w:tr>
      <w:tr w:rsidR="00B91B2B" w:rsidRPr="00E01239" w14:paraId="32686241" w14:textId="77777777" w:rsidTr="008C0C70">
        <w:trPr>
          <w:trHeight w:val="454"/>
          <w:jc w:val="center"/>
        </w:trPr>
        <w:tc>
          <w:tcPr>
            <w:tcW w:w="621" w:type="pct"/>
            <w:vMerge/>
            <w:shd w:val="clear" w:color="auto" w:fill="auto"/>
            <w:vAlign w:val="center"/>
          </w:tcPr>
          <w:p w14:paraId="0E808419" w14:textId="77777777" w:rsidR="00B91B2B" w:rsidRPr="00E01239" w:rsidRDefault="00B91B2B" w:rsidP="008C0C70">
            <w:pPr>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73586DAC" w14:textId="37691452"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 xml:space="preserve">Etablissement et signature d’un protocole entre </w:t>
            </w:r>
            <w:r w:rsidR="00A82363" w:rsidRPr="00E01239">
              <w:rPr>
                <w:rFonts w:asciiTheme="minorHAnsi" w:hAnsiTheme="minorHAnsi" w:cstheme="minorHAnsi"/>
                <w:bCs/>
                <w:sz w:val="18"/>
                <w:szCs w:val="18"/>
              </w:rPr>
              <w:t xml:space="preserve">l’UCP/FSRP-SN/MEPA et l’UCP/FSRP-SN/MAERSA </w:t>
            </w:r>
            <w:r w:rsidRPr="00E01239">
              <w:rPr>
                <w:rFonts w:asciiTheme="minorHAnsi" w:hAnsiTheme="minorHAnsi" w:cstheme="minorHAnsi"/>
                <w:bCs/>
                <w:sz w:val="18"/>
                <w:szCs w:val="18"/>
              </w:rPr>
              <w:t>et la DEEC</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22746156"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65C6F1D6"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1C389787"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4219E864"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vAlign w:val="center"/>
          </w:tcPr>
          <w:p w14:paraId="76F50FB4" w14:textId="77777777" w:rsidR="00B91B2B" w:rsidRPr="00E01239" w:rsidRDefault="00B91B2B" w:rsidP="008C0C70">
            <w:pPr>
              <w:rPr>
                <w:rFonts w:asciiTheme="minorHAnsi" w:hAnsiTheme="minorHAnsi" w:cstheme="minorHAnsi"/>
                <w:bCs/>
                <w:sz w:val="18"/>
                <w:szCs w:val="18"/>
              </w:rPr>
            </w:pPr>
          </w:p>
        </w:tc>
      </w:tr>
      <w:tr w:rsidR="00B91B2B" w:rsidRPr="00E01239" w14:paraId="0F2B1CD8" w14:textId="77777777" w:rsidTr="008C0C70">
        <w:trPr>
          <w:trHeight w:val="454"/>
          <w:jc w:val="center"/>
        </w:trPr>
        <w:tc>
          <w:tcPr>
            <w:tcW w:w="621" w:type="pct"/>
            <w:vMerge w:val="restart"/>
            <w:shd w:val="clear" w:color="auto" w:fill="auto"/>
            <w:vAlign w:val="center"/>
          </w:tcPr>
          <w:p w14:paraId="698E26CF" w14:textId="77777777" w:rsidR="00B91B2B" w:rsidRPr="00E01239" w:rsidRDefault="00B91B2B" w:rsidP="008C0C70">
            <w:pPr>
              <w:rPr>
                <w:rFonts w:asciiTheme="minorHAnsi" w:hAnsiTheme="minorHAnsi" w:cstheme="minorHAnsi"/>
                <w:bCs/>
                <w:sz w:val="18"/>
                <w:szCs w:val="18"/>
              </w:rPr>
            </w:pPr>
            <w:r w:rsidRPr="00E01239">
              <w:rPr>
                <w:rFonts w:asciiTheme="minorHAnsi" w:hAnsiTheme="minorHAnsi" w:cstheme="minorHAnsi"/>
                <w:bCs/>
                <w:sz w:val="18"/>
                <w:szCs w:val="18"/>
              </w:rPr>
              <w:t>Formations / sensibilisation</w:t>
            </w:r>
          </w:p>
        </w:tc>
        <w:tc>
          <w:tcPr>
            <w:tcW w:w="1959" w:type="pct"/>
            <w:tcBorders>
              <w:right w:val="single" w:sz="4" w:space="0" w:color="808080" w:themeColor="background1" w:themeShade="80"/>
            </w:tcBorders>
            <w:shd w:val="clear" w:color="auto" w:fill="auto"/>
            <w:vAlign w:val="center"/>
          </w:tcPr>
          <w:p w14:paraId="0D73D32E" w14:textId="49C1151B"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Formation / renforcement des capacités (</w:t>
            </w:r>
            <w:r w:rsidR="00853372" w:rsidRPr="00853372">
              <w:rPr>
                <w:rFonts w:asciiTheme="minorHAnsi" w:hAnsiTheme="minorHAnsi" w:cstheme="minorHAnsi"/>
                <w:bCs/>
                <w:sz w:val="18"/>
                <w:szCs w:val="18"/>
              </w:rPr>
              <w:t>MEPA, MAERSA, DEEC,</w:t>
            </w:r>
            <w:r w:rsidR="00853372">
              <w:rPr>
                <w:rFonts w:asciiTheme="minorHAnsi" w:hAnsiTheme="minorHAnsi" w:cstheme="minorHAnsi"/>
                <w:bCs/>
                <w:sz w:val="18"/>
                <w:szCs w:val="18"/>
              </w:rPr>
              <w:t xml:space="preserve"> </w:t>
            </w:r>
            <w:r w:rsidRPr="00E01239">
              <w:rPr>
                <w:rFonts w:asciiTheme="minorHAnsi" w:hAnsiTheme="minorHAnsi" w:cstheme="minorHAnsi"/>
                <w:bCs/>
                <w:sz w:val="18"/>
                <w:szCs w:val="18"/>
              </w:rPr>
              <w:t>CRSE, Agences d'exécution, etc.) sur les exigences environnementales et sociales, HSS</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2F79487B"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5ADE5612"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1E98E402"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6A6FD0AE"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vAlign w:val="center"/>
          </w:tcPr>
          <w:p w14:paraId="5EA586A4" w14:textId="77777777" w:rsidR="00B91B2B" w:rsidRPr="00E01239" w:rsidRDefault="00B91B2B" w:rsidP="008C0C70">
            <w:pPr>
              <w:rPr>
                <w:rFonts w:asciiTheme="minorHAnsi" w:hAnsiTheme="minorHAnsi" w:cstheme="minorHAnsi"/>
                <w:bCs/>
                <w:sz w:val="18"/>
                <w:szCs w:val="18"/>
              </w:rPr>
            </w:pPr>
          </w:p>
        </w:tc>
      </w:tr>
      <w:tr w:rsidR="00B91B2B" w:rsidRPr="00E01239" w14:paraId="236158E1" w14:textId="77777777" w:rsidTr="008C0C70">
        <w:trPr>
          <w:trHeight w:val="454"/>
          <w:jc w:val="center"/>
        </w:trPr>
        <w:tc>
          <w:tcPr>
            <w:tcW w:w="621" w:type="pct"/>
            <w:vMerge/>
            <w:shd w:val="clear" w:color="auto" w:fill="auto"/>
            <w:vAlign w:val="center"/>
          </w:tcPr>
          <w:p w14:paraId="03FE4717" w14:textId="77777777" w:rsidR="00B91B2B" w:rsidRPr="00E01239" w:rsidRDefault="00B91B2B" w:rsidP="008C0C70">
            <w:pPr>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4CF9EECF"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Campagnes d’Information d'Education et de Communication à l’endroit des Unités pastorales, OSC et OCG sur les aspects E&amp;S</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2B4B508B"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035DBA11"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3DB7E249"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5270E8A1"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vAlign w:val="center"/>
          </w:tcPr>
          <w:p w14:paraId="509947B9" w14:textId="77777777" w:rsidR="00B91B2B" w:rsidRPr="00E01239" w:rsidRDefault="00B91B2B" w:rsidP="008C0C70">
            <w:pPr>
              <w:rPr>
                <w:rFonts w:asciiTheme="minorHAnsi" w:hAnsiTheme="minorHAnsi" w:cstheme="minorHAnsi"/>
                <w:bCs/>
                <w:sz w:val="18"/>
                <w:szCs w:val="18"/>
              </w:rPr>
            </w:pPr>
          </w:p>
        </w:tc>
      </w:tr>
      <w:tr w:rsidR="00B91B2B" w:rsidRPr="00E01239" w14:paraId="59C9239A" w14:textId="77777777" w:rsidTr="008C0C70">
        <w:trPr>
          <w:trHeight w:val="454"/>
          <w:jc w:val="center"/>
        </w:trPr>
        <w:tc>
          <w:tcPr>
            <w:tcW w:w="621" w:type="pct"/>
            <w:vMerge w:val="restart"/>
            <w:shd w:val="clear" w:color="auto" w:fill="auto"/>
            <w:vAlign w:val="center"/>
          </w:tcPr>
          <w:p w14:paraId="689B6CF4" w14:textId="77777777" w:rsidR="00B91B2B" w:rsidRPr="00E01239" w:rsidRDefault="00B91B2B" w:rsidP="008C0C70">
            <w:pPr>
              <w:rPr>
                <w:rFonts w:asciiTheme="minorHAnsi" w:hAnsiTheme="minorHAnsi" w:cstheme="minorHAnsi"/>
                <w:bCs/>
                <w:sz w:val="18"/>
                <w:szCs w:val="18"/>
              </w:rPr>
            </w:pPr>
            <w:r w:rsidRPr="00E01239">
              <w:rPr>
                <w:rFonts w:asciiTheme="minorHAnsi" w:hAnsiTheme="minorHAnsi" w:cstheme="minorHAnsi"/>
                <w:bCs/>
                <w:sz w:val="18"/>
                <w:szCs w:val="18"/>
              </w:rPr>
              <w:t>Mesures environnementales et sociales / HSS</w:t>
            </w:r>
          </w:p>
          <w:p w14:paraId="2DAFB5D7" w14:textId="77777777" w:rsidR="00B91B2B" w:rsidRPr="00E01239" w:rsidRDefault="00B91B2B" w:rsidP="008C0C70">
            <w:pPr>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48DFD3D8" w14:textId="11281728"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Elaboration de manuel de bonnes pratiques environnementales</w:t>
            </w:r>
            <w:r w:rsidR="000D5A9B">
              <w:rPr>
                <w:rFonts w:asciiTheme="minorHAnsi" w:hAnsiTheme="minorHAnsi" w:cstheme="minorHAnsi"/>
                <w:bCs/>
                <w:sz w:val="18"/>
                <w:szCs w:val="18"/>
              </w:rPr>
              <w:t>, sociales</w:t>
            </w:r>
            <w:r w:rsidRPr="00E01239">
              <w:rPr>
                <w:rFonts w:asciiTheme="minorHAnsi" w:hAnsiTheme="minorHAnsi" w:cstheme="minorHAnsi"/>
                <w:bCs/>
                <w:sz w:val="18"/>
                <w:szCs w:val="18"/>
              </w:rPr>
              <w:t xml:space="preserve"> et HSS</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4DCEDE09"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vAlign w:val="center"/>
          </w:tcPr>
          <w:p w14:paraId="1428CD93"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vAlign w:val="center"/>
          </w:tcPr>
          <w:p w14:paraId="7C632CC2"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vAlign w:val="center"/>
          </w:tcPr>
          <w:p w14:paraId="03B8FCB3"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vAlign w:val="center"/>
          </w:tcPr>
          <w:p w14:paraId="6AC319FE" w14:textId="77777777" w:rsidR="00B91B2B" w:rsidRPr="00E01239" w:rsidRDefault="00B91B2B" w:rsidP="008C0C70">
            <w:pPr>
              <w:rPr>
                <w:rFonts w:asciiTheme="minorHAnsi" w:hAnsiTheme="minorHAnsi" w:cstheme="minorHAnsi"/>
                <w:bCs/>
                <w:sz w:val="18"/>
                <w:szCs w:val="18"/>
              </w:rPr>
            </w:pPr>
          </w:p>
        </w:tc>
      </w:tr>
      <w:tr w:rsidR="00B91B2B" w:rsidRPr="00E01239" w14:paraId="0981D535" w14:textId="77777777" w:rsidTr="008C0C70">
        <w:trPr>
          <w:trHeight w:val="454"/>
          <w:jc w:val="center"/>
        </w:trPr>
        <w:tc>
          <w:tcPr>
            <w:tcW w:w="621" w:type="pct"/>
            <w:vMerge/>
            <w:shd w:val="clear" w:color="auto" w:fill="auto"/>
            <w:vAlign w:val="center"/>
          </w:tcPr>
          <w:p w14:paraId="1467AE3A" w14:textId="77777777" w:rsidR="00B91B2B" w:rsidRPr="00E01239" w:rsidRDefault="00B91B2B" w:rsidP="008C0C70">
            <w:pPr>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6893B465"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 xml:space="preserve">Formation des acteurs sur les outils de screening </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057C71EB"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vAlign w:val="center"/>
          </w:tcPr>
          <w:p w14:paraId="122AF514"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vAlign w:val="center"/>
          </w:tcPr>
          <w:p w14:paraId="1508B64B"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vAlign w:val="center"/>
          </w:tcPr>
          <w:p w14:paraId="0A460D4D"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vAlign w:val="center"/>
          </w:tcPr>
          <w:p w14:paraId="3C790356" w14:textId="77777777" w:rsidR="00B91B2B" w:rsidRPr="00E01239" w:rsidRDefault="00B91B2B" w:rsidP="008C0C70">
            <w:pPr>
              <w:rPr>
                <w:rFonts w:asciiTheme="minorHAnsi" w:hAnsiTheme="minorHAnsi" w:cstheme="minorHAnsi"/>
                <w:bCs/>
                <w:sz w:val="18"/>
                <w:szCs w:val="18"/>
              </w:rPr>
            </w:pPr>
          </w:p>
        </w:tc>
      </w:tr>
      <w:tr w:rsidR="00B91B2B" w:rsidRPr="00E01239" w14:paraId="2DF9F501" w14:textId="77777777" w:rsidTr="008C0C70">
        <w:trPr>
          <w:trHeight w:val="454"/>
          <w:jc w:val="center"/>
        </w:trPr>
        <w:tc>
          <w:tcPr>
            <w:tcW w:w="621" w:type="pct"/>
            <w:vMerge/>
            <w:shd w:val="clear" w:color="auto" w:fill="auto"/>
            <w:vAlign w:val="center"/>
          </w:tcPr>
          <w:p w14:paraId="54DD195C" w14:textId="77777777" w:rsidR="00B91B2B" w:rsidRPr="00E01239" w:rsidRDefault="00B91B2B" w:rsidP="008C0C70">
            <w:pPr>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4122C6B9"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 xml:space="preserve">Screening environnemental et social des sous projets </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6E2E7B0D"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08338562"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3B90A431"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36F7D05B"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vAlign w:val="center"/>
          </w:tcPr>
          <w:p w14:paraId="5C0103C1" w14:textId="77777777" w:rsidR="00B91B2B" w:rsidRPr="00E01239" w:rsidRDefault="00B91B2B" w:rsidP="008C0C70">
            <w:pPr>
              <w:rPr>
                <w:rFonts w:asciiTheme="minorHAnsi" w:hAnsiTheme="minorHAnsi" w:cstheme="minorHAnsi"/>
                <w:bCs/>
                <w:sz w:val="18"/>
                <w:szCs w:val="18"/>
              </w:rPr>
            </w:pPr>
          </w:p>
        </w:tc>
      </w:tr>
      <w:tr w:rsidR="00B91B2B" w:rsidRPr="00E01239" w14:paraId="023328E0" w14:textId="77777777" w:rsidTr="008C0C70">
        <w:trPr>
          <w:trHeight w:val="454"/>
          <w:jc w:val="center"/>
        </w:trPr>
        <w:tc>
          <w:tcPr>
            <w:tcW w:w="621" w:type="pct"/>
            <w:vMerge/>
            <w:shd w:val="clear" w:color="auto" w:fill="auto"/>
            <w:vAlign w:val="center"/>
          </w:tcPr>
          <w:p w14:paraId="693904CC" w14:textId="77777777" w:rsidR="00B91B2B" w:rsidRPr="00E01239" w:rsidRDefault="00B91B2B" w:rsidP="008C0C70">
            <w:pPr>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4B79F35B"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 xml:space="preserve">Réalisation EIES/AEI pour certains sous-projets </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2079BD75"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7965EB58"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560297DD"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3C88CDBB"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vAlign w:val="center"/>
          </w:tcPr>
          <w:p w14:paraId="67494D9B" w14:textId="77777777" w:rsidR="00B91B2B" w:rsidRPr="00E01239" w:rsidRDefault="00B91B2B" w:rsidP="008C0C70">
            <w:pPr>
              <w:rPr>
                <w:rFonts w:asciiTheme="minorHAnsi" w:hAnsiTheme="minorHAnsi" w:cstheme="minorHAnsi"/>
                <w:bCs/>
                <w:sz w:val="18"/>
                <w:szCs w:val="18"/>
              </w:rPr>
            </w:pPr>
          </w:p>
        </w:tc>
      </w:tr>
      <w:tr w:rsidR="00B91B2B" w:rsidRPr="00E01239" w14:paraId="185A76CD" w14:textId="77777777" w:rsidTr="008C0C70">
        <w:trPr>
          <w:trHeight w:val="454"/>
          <w:jc w:val="center"/>
        </w:trPr>
        <w:tc>
          <w:tcPr>
            <w:tcW w:w="621" w:type="pct"/>
            <w:vMerge/>
            <w:shd w:val="clear" w:color="auto" w:fill="auto"/>
            <w:vAlign w:val="center"/>
          </w:tcPr>
          <w:p w14:paraId="7FB3CC9F" w14:textId="77777777" w:rsidR="00B91B2B" w:rsidRPr="00E01239" w:rsidRDefault="00B91B2B" w:rsidP="008C0C70">
            <w:pPr>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2FBDF942"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Elaboration de clauses environnementales et sociales à insérer dans les DAO</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26102F5F"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55F6138C"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5C58B900"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52BE185B"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vAlign w:val="center"/>
          </w:tcPr>
          <w:p w14:paraId="61B92F5A" w14:textId="77777777" w:rsidR="00B91B2B" w:rsidRPr="00E01239" w:rsidRDefault="00B91B2B" w:rsidP="008C0C70">
            <w:pPr>
              <w:rPr>
                <w:rFonts w:asciiTheme="minorHAnsi" w:hAnsiTheme="minorHAnsi" w:cstheme="minorHAnsi"/>
                <w:bCs/>
                <w:sz w:val="18"/>
                <w:szCs w:val="18"/>
              </w:rPr>
            </w:pPr>
          </w:p>
        </w:tc>
      </w:tr>
      <w:tr w:rsidR="00B91B2B" w:rsidRPr="00E01239" w14:paraId="27CE9DCD" w14:textId="77777777" w:rsidTr="008C0C70">
        <w:trPr>
          <w:trHeight w:val="454"/>
          <w:jc w:val="center"/>
        </w:trPr>
        <w:tc>
          <w:tcPr>
            <w:tcW w:w="621" w:type="pct"/>
            <w:vMerge/>
            <w:shd w:val="clear" w:color="auto" w:fill="auto"/>
            <w:vAlign w:val="center"/>
          </w:tcPr>
          <w:p w14:paraId="618C478D" w14:textId="77777777" w:rsidR="00B91B2B" w:rsidRPr="00E01239" w:rsidRDefault="00B91B2B" w:rsidP="008C0C70">
            <w:pPr>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5DA1C516"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Mise en place d’une base des données environnementales et sociales</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2212C72B"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456F7EDC"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61628746"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1BEC81F7"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323E4F" w:themeFill="text2" w:themeFillShade="BF"/>
            <w:vAlign w:val="center"/>
          </w:tcPr>
          <w:p w14:paraId="5B42AC08" w14:textId="77777777" w:rsidR="00B91B2B" w:rsidRPr="00E01239" w:rsidRDefault="00B91B2B" w:rsidP="008C0C70">
            <w:pPr>
              <w:rPr>
                <w:rFonts w:asciiTheme="minorHAnsi" w:hAnsiTheme="minorHAnsi" w:cstheme="minorHAnsi"/>
                <w:bCs/>
                <w:sz w:val="18"/>
                <w:szCs w:val="18"/>
              </w:rPr>
            </w:pPr>
          </w:p>
        </w:tc>
      </w:tr>
      <w:tr w:rsidR="00B91B2B" w:rsidRPr="00E01239" w14:paraId="23AF29BD" w14:textId="77777777" w:rsidTr="008C0C70">
        <w:trPr>
          <w:trHeight w:val="454"/>
          <w:jc w:val="center"/>
        </w:trPr>
        <w:tc>
          <w:tcPr>
            <w:tcW w:w="621" w:type="pct"/>
            <w:vMerge/>
            <w:shd w:val="clear" w:color="auto" w:fill="auto"/>
            <w:vAlign w:val="center"/>
          </w:tcPr>
          <w:p w14:paraId="3C8894B8" w14:textId="77777777" w:rsidR="00B91B2B" w:rsidRPr="00E01239" w:rsidRDefault="00B91B2B" w:rsidP="008C0C70">
            <w:pPr>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5EBE291D"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Supervisions environnementale et sociale des sous projets</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403C284F"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5EE33251"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4D0E428A"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371B7E4D"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323E4F" w:themeFill="text2" w:themeFillShade="BF"/>
            <w:vAlign w:val="center"/>
          </w:tcPr>
          <w:p w14:paraId="34C92578" w14:textId="77777777" w:rsidR="00B91B2B" w:rsidRPr="00E01239" w:rsidRDefault="00B91B2B" w:rsidP="008C0C70">
            <w:pPr>
              <w:rPr>
                <w:rFonts w:asciiTheme="minorHAnsi" w:hAnsiTheme="minorHAnsi" w:cstheme="minorHAnsi"/>
                <w:bCs/>
                <w:sz w:val="18"/>
                <w:szCs w:val="18"/>
              </w:rPr>
            </w:pPr>
          </w:p>
        </w:tc>
      </w:tr>
      <w:tr w:rsidR="00B91B2B" w:rsidRPr="00E01239" w14:paraId="43EFC309" w14:textId="77777777" w:rsidTr="008C0C70">
        <w:trPr>
          <w:trHeight w:val="454"/>
          <w:jc w:val="center"/>
        </w:trPr>
        <w:tc>
          <w:tcPr>
            <w:tcW w:w="621" w:type="pct"/>
            <w:vMerge w:val="restart"/>
            <w:shd w:val="clear" w:color="auto" w:fill="auto"/>
            <w:vAlign w:val="center"/>
          </w:tcPr>
          <w:p w14:paraId="11E0F388"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Mesures de suivi</w:t>
            </w:r>
          </w:p>
        </w:tc>
        <w:tc>
          <w:tcPr>
            <w:tcW w:w="1959" w:type="pct"/>
            <w:tcBorders>
              <w:right w:val="single" w:sz="4" w:space="0" w:color="808080" w:themeColor="background1" w:themeShade="80"/>
            </w:tcBorders>
            <w:shd w:val="clear" w:color="auto" w:fill="auto"/>
            <w:vAlign w:val="center"/>
          </w:tcPr>
          <w:p w14:paraId="7DEB60E6"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Suivi environnemental et social du projet</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49F1561C"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4A814211"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5BD07478"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671107D1"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323E4F" w:themeFill="text2" w:themeFillShade="BF"/>
            <w:vAlign w:val="center"/>
          </w:tcPr>
          <w:p w14:paraId="1365D02B" w14:textId="77777777" w:rsidR="00B91B2B" w:rsidRPr="00E01239" w:rsidRDefault="00B91B2B" w:rsidP="008C0C70">
            <w:pPr>
              <w:rPr>
                <w:rFonts w:asciiTheme="minorHAnsi" w:hAnsiTheme="minorHAnsi" w:cstheme="minorHAnsi"/>
                <w:bCs/>
                <w:sz w:val="18"/>
                <w:szCs w:val="18"/>
              </w:rPr>
            </w:pPr>
          </w:p>
        </w:tc>
      </w:tr>
      <w:tr w:rsidR="00B91B2B" w:rsidRPr="00E01239" w14:paraId="673635EC" w14:textId="77777777" w:rsidTr="008C0C70">
        <w:trPr>
          <w:trHeight w:val="454"/>
          <w:jc w:val="center"/>
        </w:trPr>
        <w:tc>
          <w:tcPr>
            <w:tcW w:w="621" w:type="pct"/>
            <w:vMerge/>
            <w:shd w:val="clear" w:color="auto" w:fill="auto"/>
            <w:vAlign w:val="center"/>
          </w:tcPr>
          <w:p w14:paraId="6019F9B3" w14:textId="77777777" w:rsidR="00B91B2B" w:rsidRPr="00E01239" w:rsidRDefault="00B91B2B" w:rsidP="008C0C70">
            <w:pPr>
              <w:jc w:val="both"/>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5F8D222A"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 xml:space="preserve">Evaluation CGES à mi-parcours </w:t>
            </w:r>
          </w:p>
        </w:tc>
        <w:tc>
          <w:tcPr>
            <w:tcW w:w="447"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446492CE"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6160B1BD" w14:textId="77777777" w:rsidR="00B91B2B" w:rsidRPr="00E01239" w:rsidRDefault="00B91B2B" w:rsidP="008C0C70">
            <w:pPr>
              <w:rPr>
                <w:rFonts w:asciiTheme="minorHAnsi" w:hAnsiTheme="minorHAnsi" w:cstheme="minorHAnsi"/>
                <w:bCs/>
                <w:sz w:val="18"/>
                <w:szCs w:val="18"/>
              </w:rPr>
            </w:pPr>
          </w:p>
        </w:tc>
        <w:tc>
          <w:tcPr>
            <w:tcW w:w="245"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323E4F" w:themeFill="text2" w:themeFillShade="BF"/>
            <w:vAlign w:val="center"/>
          </w:tcPr>
          <w:p w14:paraId="558F95BF" w14:textId="77777777" w:rsidR="00B91B2B" w:rsidRPr="00E01239" w:rsidRDefault="00B91B2B" w:rsidP="008C0C70">
            <w:pPr>
              <w:rPr>
                <w:rFonts w:asciiTheme="minorHAnsi" w:hAnsiTheme="minorHAnsi" w:cstheme="minorHAnsi"/>
                <w:bCs/>
                <w:sz w:val="18"/>
                <w:szCs w:val="18"/>
              </w:rPr>
            </w:pPr>
          </w:p>
        </w:tc>
        <w:tc>
          <w:tcPr>
            <w:tcW w:w="245"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0070A46C"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7C606327" w14:textId="77777777" w:rsidR="00B91B2B" w:rsidRPr="00E01239" w:rsidRDefault="00B91B2B" w:rsidP="008C0C70">
            <w:pPr>
              <w:rPr>
                <w:rFonts w:asciiTheme="minorHAnsi" w:hAnsiTheme="minorHAnsi" w:cstheme="minorHAnsi"/>
                <w:bCs/>
                <w:sz w:val="18"/>
                <w:szCs w:val="18"/>
              </w:rPr>
            </w:pPr>
          </w:p>
        </w:tc>
        <w:tc>
          <w:tcPr>
            <w:tcW w:w="48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vAlign w:val="center"/>
          </w:tcPr>
          <w:p w14:paraId="18C8B78C" w14:textId="77777777" w:rsidR="00B91B2B" w:rsidRPr="00E01239" w:rsidRDefault="00B91B2B" w:rsidP="008C0C70">
            <w:pPr>
              <w:rPr>
                <w:rFonts w:asciiTheme="minorHAnsi" w:hAnsiTheme="minorHAnsi" w:cstheme="minorHAnsi"/>
                <w:bCs/>
                <w:sz w:val="18"/>
                <w:szCs w:val="18"/>
              </w:rPr>
            </w:pPr>
          </w:p>
        </w:tc>
      </w:tr>
      <w:tr w:rsidR="00B91B2B" w:rsidRPr="00E01239" w14:paraId="3B78EB1C" w14:textId="77777777" w:rsidTr="008C0C70">
        <w:trPr>
          <w:trHeight w:val="454"/>
          <w:jc w:val="center"/>
        </w:trPr>
        <w:tc>
          <w:tcPr>
            <w:tcW w:w="621" w:type="pct"/>
            <w:vMerge/>
            <w:shd w:val="clear" w:color="auto" w:fill="auto"/>
            <w:vAlign w:val="center"/>
          </w:tcPr>
          <w:p w14:paraId="25BF8430" w14:textId="77777777" w:rsidR="00B91B2B" w:rsidRPr="00E01239" w:rsidRDefault="00B91B2B" w:rsidP="008C0C70">
            <w:pPr>
              <w:jc w:val="both"/>
              <w:rPr>
                <w:rFonts w:asciiTheme="minorHAnsi" w:hAnsiTheme="minorHAnsi" w:cstheme="minorHAnsi"/>
                <w:bCs/>
                <w:sz w:val="18"/>
                <w:szCs w:val="18"/>
              </w:rPr>
            </w:pPr>
          </w:p>
        </w:tc>
        <w:tc>
          <w:tcPr>
            <w:tcW w:w="1959" w:type="pct"/>
            <w:tcBorders>
              <w:right w:val="single" w:sz="4" w:space="0" w:color="808080" w:themeColor="background1" w:themeShade="80"/>
            </w:tcBorders>
            <w:shd w:val="clear" w:color="auto" w:fill="auto"/>
            <w:vAlign w:val="center"/>
          </w:tcPr>
          <w:p w14:paraId="3F3EFD07" w14:textId="77777777" w:rsidR="00B91B2B" w:rsidRPr="00E01239" w:rsidRDefault="00B91B2B" w:rsidP="008C0C70">
            <w:pPr>
              <w:jc w:val="both"/>
              <w:rPr>
                <w:rFonts w:asciiTheme="minorHAnsi" w:hAnsiTheme="minorHAnsi" w:cstheme="minorHAnsi"/>
                <w:bCs/>
                <w:sz w:val="18"/>
                <w:szCs w:val="18"/>
              </w:rPr>
            </w:pPr>
            <w:r w:rsidRPr="00E01239">
              <w:rPr>
                <w:rFonts w:asciiTheme="minorHAnsi" w:hAnsiTheme="minorHAnsi" w:cstheme="minorHAnsi"/>
                <w:bCs/>
                <w:sz w:val="18"/>
                <w:szCs w:val="18"/>
              </w:rPr>
              <w:t xml:space="preserve">Evaluation PGES finale </w:t>
            </w:r>
          </w:p>
        </w:tc>
        <w:tc>
          <w:tcPr>
            <w:tcW w:w="447" w:type="pct"/>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auto"/>
            <w:vAlign w:val="center"/>
          </w:tcPr>
          <w:p w14:paraId="6E7DDC58"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single" w:sz="4" w:space="0" w:color="808080" w:themeColor="background1" w:themeShade="80"/>
              <w:right w:val="dotted" w:sz="4" w:space="0" w:color="808080" w:themeColor="background1" w:themeShade="80"/>
            </w:tcBorders>
            <w:shd w:val="clear" w:color="auto" w:fill="auto"/>
            <w:vAlign w:val="center"/>
          </w:tcPr>
          <w:p w14:paraId="6D7AFDE6" w14:textId="77777777" w:rsidR="00B91B2B" w:rsidRPr="00E01239" w:rsidRDefault="00B91B2B" w:rsidP="008C0C70">
            <w:pPr>
              <w:rPr>
                <w:rFonts w:asciiTheme="minorHAnsi" w:hAnsiTheme="minorHAnsi" w:cstheme="minorHAnsi"/>
                <w:bCs/>
                <w:sz w:val="18"/>
                <w:szCs w:val="18"/>
              </w:rPr>
            </w:pPr>
          </w:p>
        </w:tc>
        <w:tc>
          <w:tcPr>
            <w:tcW w:w="490" w:type="pct"/>
            <w:gridSpan w:val="2"/>
            <w:tcBorders>
              <w:top w:val="dotted" w:sz="4" w:space="0" w:color="808080" w:themeColor="background1" w:themeShade="80"/>
              <w:left w:val="dotted" w:sz="4" w:space="0" w:color="808080" w:themeColor="background1" w:themeShade="80"/>
              <w:bottom w:val="single" w:sz="4" w:space="0" w:color="808080" w:themeColor="background1" w:themeShade="80"/>
              <w:right w:val="dotted" w:sz="4" w:space="0" w:color="808080" w:themeColor="background1" w:themeShade="80"/>
            </w:tcBorders>
            <w:shd w:val="clear" w:color="auto" w:fill="auto"/>
            <w:vAlign w:val="center"/>
          </w:tcPr>
          <w:p w14:paraId="226B49FB" w14:textId="77777777" w:rsidR="00B91B2B" w:rsidRPr="00E01239" w:rsidRDefault="00B91B2B" w:rsidP="008C0C70">
            <w:pPr>
              <w:rPr>
                <w:rFonts w:asciiTheme="minorHAnsi" w:hAnsiTheme="minorHAnsi" w:cstheme="minorHAnsi"/>
                <w:bCs/>
                <w:sz w:val="18"/>
                <w:szCs w:val="18"/>
              </w:rPr>
            </w:pPr>
          </w:p>
        </w:tc>
        <w:tc>
          <w:tcPr>
            <w:tcW w:w="498" w:type="pct"/>
            <w:tcBorders>
              <w:top w:val="dotted" w:sz="4" w:space="0" w:color="808080" w:themeColor="background1" w:themeShade="80"/>
              <w:left w:val="dotted" w:sz="4" w:space="0" w:color="808080" w:themeColor="background1" w:themeShade="80"/>
              <w:bottom w:val="single" w:sz="4" w:space="0" w:color="808080" w:themeColor="background1" w:themeShade="80"/>
              <w:right w:val="dotted" w:sz="4" w:space="0" w:color="808080" w:themeColor="background1" w:themeShade="80"/>
            </w:tcBorders>
            <w:shd w:val="clear" w:color="auto" w:fill="auto"/>
            <w:vAlign w:val="center"/>
          </w:tcPr>
          <w:p w14:paraId="0901EB8B" w14:textId="77777777" w:rsidR="00B91B2B" w:rsidRPr="00E01239" w:rsidRDefault="00B91B2B" w:rsidP="008C0C70">
            <w:pPr>
              <w:rPr>
                <w:rFonts w:asciiTheme="minorHAnsi" w:hAnsiTheme="minorHAnsi" w:cstheme="minorHAnsi"/>
                <w:bCs/>
                <w:sz w:val="18"/>
                <w:szCs w:val="18"/>
              </w:rPr>
            </w:pPr>
          </w:p>
        </w:tc>
        <w:tc>
          <w:tcPr>
            <w:tcW w:w="245" w:type="pct"/>
            <w:tcBorders>
              <w:top w:val="dotted" w:sz="4" w:space="0" w:color="808080" w:themeColor="background1" w:themeShade="80"/>
              <w:left w:val="dotted" w:sz="4" w:space="0" w:color="808080" w:themeColor="background1" w:themeShade="80"/>
              <w:bottom w:val="single" w:sz="4" w:space="0" w:color="808080" w:themeColor="background1" w:themeShade="80"/>
              <w:right w:val="dotted" w:sz="4" w:space="0" w:color="808080" w:themeColor="background1" w:themeShade="80"/>
            </w:tcBorders>
            <w:shd w:val="clear" w:color="auto" w:fill="323E4F" w:themeFill="text2" w:themeFillShade="BF"/>
            <w:vAlign w:val="center"/>
          </w:tcPr>
          <w:p w14:paraId="29B5E04E" w14:textId="77777777" w:rsidR="00B91B2B" w:rsidRPr="00E01239" w:rsidRDefault="00B91B2B" w:rsidP="008C0C70">
            <w:pPr>
              <w:rPr>
                <w:rFonts w:asciiTheme="minorHAnsi" w:hAnsiTheme="minorHAnsi" w:cstheme="minorHAnsi"/>
                <w:bCs/>
                <w:sz w:val="18"/>
                <w:szCs w:val="18"/>
              </w:rPr>
            </w:pPr>
          </w:p>
        </w:tc>
        <w:tc>
          <w:tcPr>
            <w:tcW w:w="242" w:type="pct"/>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16ADBA4" w14:textId="77777777" w:rsidR="00B91B2B" w:rsidRPr="00E01239" w:rsidRDefault="00B91B2B" w:rsidP="008C0C70">
            <w:pPr>
              <w:rPr>
                <w:rFonts w:asciiTheme="minorHAnsi" w:hAnsiTheme="minorHAnsi" w:cstheme="minorHAnsi"/>
                <w:bCs/>
                <w:sz w:val="18"/>
                <w:szCs w:val="18"/>
              </w:rPr>
            </w:pPr>
          </w:p>
        </w:tc>
      </w:tr>
    </w:tbl>
    <w:p w14:paraId="28E0646B" w14:textId="77777777" w:rsidR="00B91B2B" w:rsidRPr="00E01239" w:rsidRDefault="00B91B2B" w:rsidP="00B91B2B">
      <w:pPr>
        <w:spacing w:before="120" w:line="360" w:lineRule="exact"/>
        <w:jc w:val="both"/>
        <w:rPr>
          <w:rFonts w:asciiTheme="minorHAnsi" w:hAnsiTheme="minorHAnsi" w:cstheme="minorHAnsi"/>
        </w:rPr>
        <w:sectPr w:rsidR="00B91B2B" w:rsidRPr="00E01239" w:rsidSect="00420981">
          <w:pgSz w:w="16840" w:h="11907" w:orient="landscape" w:code="9"/>
          <w:pgMar w:top="1418" w:right="1418" w:bottom="1418" w:left="1418" w:header="720" w:footer="720" w:gutter="0"/>
          <w:cols w:space="60"/>
          <w:noEndnote/>
        </w:sectPr>
      </w:pPr>
    </w:p>
    <w:p w14:paraId="43792F24" w14:textId="77777777" w:rsidR="00B91B2B" w:rsidRPr="00E01239" w:rsidRDefault="00B91B2B" w:rsidP="0011733B">
      <w:pPr>
        <w:pStyle w:val="Titre1"/>
        <w:keepNext w:val="0"/>
        <w:keepLines w:val="0"/>
        <w:numPr>
          <w:ilvl w:val="0"/>
          <w:numId w:val="1"/>
        </w:numPr>
        <w:pBdr>
          <w:top w:val="single" w:sz="12" w:space="1" w:color="5B9BD5"/>
          <w:bottom w:val="single" w:sz="12" w:space="1" w:color="5B9BD5"/>
        </w:pBdr>
        <w:shd w:val="clear" w:color="auto" w:fill="DEEAF6" w:themeFill="accent1" w:themeFillTint="33"/>
        <w:tabs>
          <w:tab w:val="left" w:pos="284"/>
        </w:tabs>
        <w:spacing w:before="0"/>
        <w:ind w:left="-1418" w:right="-1418" w:firstLine="1418"/>
        <w:rPr>
          <w:rFonts w:asciiTheme="minorHAnsi" w:hAnsiTheme="minorHAnsi" w:cstheme="minorHAnsi"/>
          <w:bCs w:val="0"/>
          <w:color w:val="5B9BD5"/>
          <w:sz w:val="36"/>
          <w:szCs w:val="36"/>
          <w:lang w:eastAsia="x-none"/>
        </w:rPr>
      </w:pPr>
      <w:bookmarkStart w:id="1353" w:name="_Toc144654171"/>
      <w:r w:rsidRPr="00E01239">
        <w:rPr>
          <w:rFonts w:asciiTheme="minorHAnsi" w:hAnsiTheme="minorHAnsi" w:cstheme="minorHAnsi"/>
          <w:bCs w:val="0"/>
          <w:color w:val="5B9BD5"/>
          <w:sz w:val="36"/>
          <w:szCs w:val="36"/>
          <w:lang w:eastAsia="x-none"/>
        </w:rPr>
        <w:lastRenderedPageBreak/>
        <w:t>CONCLUSION</w:t>
      </w:r>
      <w:bookmarkEnd w:id="1353"/>
    </w:p>
    <w:p w14:paraId="748385E8" w14:textId="3ADE0207" w:rsidR="001071F5" w:rsidRPr="00E01239" w:rsidRDefault="001071F5"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Cadre de Gestion Environnementale et Sociale du </w:t>
      </w:r>
      <w:r w:rsidR="00CD5E80" w:rsidRPr="00E01239">
        <w:rPr>
          <w:rFonts w:asciiTheme="minorHAnsi" w:hAnsiTheme="minorHAnsi" w:cstheme="minorHAnsi"/>
          <w:sz w:val="22"/>
          <w:szCs w:val="22"/>
        </w:rPr>
        <w:t>Programme de résilience des systèmes alimentaires au Sénégal (FSRP-SN)</w:t>
      </w:r>
      <w:r w:rsidRPr="00E01239">
        <w:rPr>
          <w:rFonts w:asciiTheme="minorHAnsi" w:hAnsiTheme="minorHAnsi" w:cstheme="minorHAnsi"/>
          <w:sz w:val="22"/>
          <w:szCs w:val="22"/>
        </w:rPr>
        <w:t xml:space="preserve"> a été réalisé conformément à la réglementation nationale et au Cadre Environnemental et Social de la Banque </w:t>
      </w:r>
      <w:r w:rsidR="00253C5F">
        <w:rPr>
          <w:rFonts w:asciiTheme="minorHAnsi" w:hAnsiTheme="minorHAnsi" w:cstheme="minorHAnsi"/>
          <w:sz w:val="22"/>
          <w:szCs w:val="22"/>
        </w:rPr>
        <w:t>m</w:t>
      </w:r>
      <w:r w:rsidRPr="00E01239">
        <w:rPr>
          <w:rFonts w:asciiTheme="minorHAnsi" w:hAnsiTheme="minorHAnsi" w:cstheme="minorHAnsi"/>
          <w:sz w:val="22"/>
          <w:szCs w:val="22"/>
        </w:rPr>
        <w:t>ondiale.</w:t>
      </w:r>
    </w:p>
    <w:p w14:paraId="74B5157B" w14:textId="77777777" w:rsidR="001071F5" w:rsidRPr="00E01239" w:rsidRDefault="001071F5"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procédure de réalisation du CGES ainsi que les différentes recommandations formulées en matière de procédures de gestion environnementale et sociale ont tenu compte des mesures et textes réglementaires adoptées au Sénégal. </w:t>
      </w:r>
    </w:p>
    <w:p w14:paraId="620607CB" w14:textId="77777777" w:rsidR="001071F5" w:rsidRPr="00E01239" w:rsidRDefault="001071F5"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L’étude a été réalisée en concertation avec d’une part, l’ensemble des acteurs et partenaires impliqués dans le secteur du développement local et, d’autre part, les communautés et personnes vulnérables et susceptibles d’être éprouvées par les activités du projet.</w:t>
      </w:r>
    </w:p>
    <w:p w14:paraId="1C65D72E" w14:textId="0D307BC0" w:rsidR="001071F5" w:rsidRPr="00E01239" w:rsidRDefault="001071F5"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La consultation des parties prenantes et l’analyse des documents de planification, sur le plan national, régional et local, a permis d’identifier et d’analyser les enjeux environnementaux et sociaux du projet et les risques </w:t>
      </w:r>
      <w:r w:rsidR="00F22A0A">
        <w:rPr>
          <w:rFonts w:asciiTheme="minorHAnsi" w:hAnsiTheme="minorHAnsi" w:cstheme="minorHAnsi"/>
          <w:sz w:val="22"/>
          <w:szCs w:val="22"/>
        </w:rPr>
        <w:t xml:space="preserve">de </w:t>
      </w:r>
      <w:r w:rsidRPr="00E01239">
        <w:rPr>
          <w:rFonts w:asciiTheme="minorHAnsi" w:hAnsiTheme="minorHAnsi" w:cstheme="minorHAnsi"/>
          <w:sz w:val="22"/>
          <w:szCs w:val="22"/>
        </w:rPr>
        <w:t>santé et sécurité au travail auxquels sont exposées les différentes parties prenantes.</w:t>
      </w:r>
    </w:p>
    <w:p w14:paraId="09FCD0C9" w14:textId="450E1CC2" w:rsidR="001071F5" w:rsidRPr="00E01239" w:rsidRDefault="001071F5"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Il a aussi permis de constater que les activités prévues sont en conformité avec ces documents de planification</w:t>
      </w:r>
      <w:r w:rsidR="00CD5E80" w:rsidRPr="00E01239">
        <w:rPr>
          <w:rFonts w:asciiTheme="minorHAnsi" w:hAnsiTheme="minorHAnsi" w:cstheme="minorHAnsi"/>
          <w:sz w:val="22"/>
          <w:szCs w:val="22"/>
        </w:rPr>
        <w:t xml:space="preserve"> et avec les attentes des acteurs clés des secteurs de l’élevage et de l’agriculture</w:t>
      </w:r>
    </w:p>
    <w:p w14:paraId="42E27707" w14:textId="781F84CE" w:rsidR="001071F5" w:rsidRPr="00E01239" w:rsidRDefault="001071F5"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projet bénéficie d’une très bonne acceptabilité sociale. En effet, toutes les parties prenantes sont unanimes à le reconnaître comme une contribution significative à la croissance économique et au développement humain dans les zones d’intervention du </w:t>
      </w:r>
      <w:r w:rsidR="00CD5E80" w:rsidRPr="00E01239">
        <w:rPr>
          <w:rFonts w:asciiTheme="minorHAnsi" w:hAnsiTheme="minorHAnsi" w:cstheme="minorHAnsi"/>
          <w:sz w:val="22"/>
          <w:szCs w:val="22"/>
        </w:rPr>
        <w:t>FSRP-SN</w:t>
      </w:r>
      <w:r w:rsidRPr="00E01239">
        <w:rPr>
          <w:rFonts w:asciiTheme="minorHAnsi" w:hAnsiTheme="minorHAnsi" w:cstheme="minorHAnsi"/>
          <w:sz w:val="22"/>
          <w:szCs w:val="22"/>
        </w:rPr>
        <w:t>.</w:t>
      </w:r>
    </w:p>
    <w:p w14:paraId="04FD1061" w14:textId="2E0956C3" w:rsidR="001071F5" w:rsidRPr="00E01239" w:rsidRDefault="001071F5"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Les impacts du projet ont été évalués et des mesures d’atténuation proposées. Les impacts et risques qui découlent de l'ensemble du projet font l’objet d’un plan générique de gestion environnementale et sociale. Ce PGES générique sera complété lors de l’évaluation E&amp;S d</w:t>
      </w:r>
      <w:r w:rsidR="00CD5E80" w:rsidRPr="00E01239">
        <w:rPr>
          <w:rFonts w:asciiTheme="minorHAnsi" w:hAnsiTheme="minorHAnsi" w:cstheme="minorHAnsi"/>
          <w:sz w:val="22"/>
          <w:szCs w:val="22"/>
        </w:rPr>
        <w:t xml:space="preserve">e chaque </w:t>
      </w:r>
      <w:r w:rsidRPr="00E01239">
        <w:rPr>
          <w:rFonts w:asciiTheme="minorHAnsi" w:hAnsiTheme="minorHAnsi" w:cstheme="minorHAnsi"/>
          <w:sz w:val="22"/>
          <w:szCs w:val="22"/>
        </w:rPr>
        <w:t>sous-projet.</w:t>
      </w:r>
    </w:p>
    <w:p w14:paraId="7B69FBA1" w14:textId="77777777" w:rsidR="001071F5" w:rsidRPr="00E01239" w:rsidRDefault="001071F5"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Une cartographie précise des acteurs et parties prenantes a présidé à l’élaboration du Plan de Gestion de la Main d’œuvre, du Mécanisme de Gestion des Plaintes et du Plan de Mobilisation des Parties Prenantes qui devront garantir l’opérationnalisation du cadre de gestion environnementale et sociale. </w:t>
      </w:r>
    </w:p>
    <w:p w14:paraId="2BE737A4" w14:textId="77777777" w:rsidR="001071F5" w:rsidRPr="00E01239" w:rsidRDefault="001071F5" w:rsidP="00202CE9">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Aussi l’analyse des arrangements institutionnels a permis d’évaluer les capacités des différentes parties prenantes et de décliner un plan de renforcement des capacités des acteurs impliqués dans la mise en œuvre du Plan Cadre de Gestion Environnementale et Sociale.</w:t>
      </w:r>
    </w:p>
    <w:p w14:paraId="5A1D8D7B" w14:textId="47286A79" w:rsidR="009773EC" w:rsidRPr="00E01239" w:rsidRDefault="001071F5" w:rsidP="00047AA4">
      <w:pPr>
        <w:spacing w:before="120" w:line="28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 budget de mise en œuvre du Cadre de Gestion Environnementale et Sociale est évaluée à la somme de </w:t>
      </w:r>
      <w:r w:rsidR="00CD5E80" w:rsidRPr="00E01239">
        <w:rPr>
          <w:rFonts w:asciiTheme="minorHAnsi" w:hAnsiTheme="minorHAnsi" w:cstheme="minorHAnsi"/>
          <w:b/>
          <w:sz w:val="22"/>
          <w:szCs w:val="22"/>
        </w:rPr>
        <w:t>396</w:t>
      </w:r>
      <w:r w:rsidRPr="00E01239">
        <w:rPr>
          <w:rFonts w:asciiTheme="minorHAnsi" w:hAnsiTheme="minorHAnsi" w:cstheme="minorHAnsi"/>
          <w:b/>
          <w:sz w:val="22"/>
          <w:szCs w:val="22"/>
        </w:rPr>
        <w:t xml:space="preserve"> 500 000 F CFA</w:t>
      </w:r>
      <w:r w:rsidR="009773EC" w:rsidRPr="00E01239">
        <w:rPr>
          <w:rFonts w:asciiTheme="minorHAnsi" w:hAnsiTheme="minorHAnsi" w:cstheme="minorHAnsi"/>
          <w:sz w:val="22"/>
          <w:szCs w:val="22"/>
        </w:rPr>
        <w:t xml:space="preserve">, </w:t>
      </w:r>
      <w:r w:rsidR="009773EC" w:rsidRPr="00E01239">
        <w:rPr>
          <w:rFonts w:asciiTheme="minorHAnsi" w:hAnsiTheme="minorHAnsi" w:cstheme="minorHAnsi"/>
          <w:b/>
          <w:bCs/>
          <w:color w:val="000000"/>
          <w:sz w:val="22"/>
          <w:szCs w:val="22"/>
        </w:rPr>
        <w:t>soit environ 662.760,53 dollars USD.</w:t>
      </w:r>
    </w:p>
    <w:p w14:paraId="681E9B19" w14:textId="77777777" w:rsidR="003F0693" w:rsidRPr="00E01239" w:rsidRDefault="003F0693" w:rsidP="00202CE9">
      <w:pPr>
        <w:spacing w:before="120" w:line="280" w:lineRule="exact"/>
        <w:jc w:val="both"/>
        <w:rPr>
          <w:rFonts w:asciiTheme="minorHAnsi" w:hAnsiTheme="minorHAnsi" w:cstheme="minorHAnsi"/>
          <w:sz w:val="22"/>
          <w:szCs w:val="22"/>
        </w:rPr>
      </w:pPr>
    </w:p>
    <w:p w14:paraId="46960B97" w14:textId="77777777" w:rsidR="003F0693" w:rsidRPr="00E01239" w:rsidRDefault="003F0693" w:rsidP="003F0693">
      <w:pPr>
        <w:jc w:val="both"/>
        <w:rPr>
          <w:rFonts w:asciiTheme="minorHAnsi" w:hAnsiTheme="minorHAnsi" w:cstheme="minorHAnsi"/>
        </w:rPr>
      </w:pPr>
    </w:p>
    <w:p w14:paraId="21429CC7" w14:textId="77777777" w:rsidR="00611BBE" w:rsidRPr="00E01239" w:rsidRDefault="00611BBE" w:rsidP="003F0693">
      <w:pPr>
        <w:jc w:val="both"/>
        <w:rPr>
          <w:rFonts w:asciiTheme="minorHAnsi" w:hAnsiTheme="minorHAnsi" w:cstheme="minorHAnsi"/>
        </w:rPr>
      </w:pPr>
    </w:p>
    <w:p w14:paraId="7C98CD45" w14:textId="77777777" w:rsidR="00611BBE" w:rsidRPr="00E01239" w:rsidRDefault="00611BBE" w:rsidP="003F0693">
      <w:pPr>
        <w:jc w:val="both"/>
        <w:rPr>
          <w:rFonts w:asciiTheme="minorHAnsi" w:hAnsiTheme="minorHAnsi" w:cstheme="minorHAnsi"/>
        </w:rPr>
      </w:pPr>
    </w:p>
    <w:p w14:paraId="01B942C7" w14:textId="77777777" w:rsidR="00611BBE" w:rsidRPr="00E01239" w:rsidRDefault="00611BBE" w:rsidP="003F0693">
      <w:pPr>
        <w:jc w:val="both"/>
        <w:rPr>
          <w:rFonts w:asciiTheme="minorHAnsi" w:hAnsiTheme="minorHAnsi" w:cstheme="minorHAnsi"/>
        </w:rPr>
      </w:pPr>
    </w:p>
    <w:p w14:paraId="79310CB5" w14:textId="0D07DD16" w:rsidR="00611BBE" w:rsidRPr="00E01239" w:rsidRDefault="00611BBE" w:rsidP="003F0693">
      <w:pPr>
        <w:jc w:val="both"/>
        <w:rPr>
          <w:rFonts w:asciiTheme="minorHAnsi" w:hAnsiTheme="minorHAnsi" w:cstheme="minorHAnsi"/>
        </w:rPr>
        <w:sectPr w:rsidR="00611BBE" w:rsidRPr="00E01239" w:rsidSect="008C0C70">
          <w:footerReference w:type="default" r:id="rId29"/>
          <w:pgSz w:w="11907" w:h="16840" w:code="9"/>
          <w:pgMar w:top="1418" w:right="1418" w:bottom="1418" w:left="1418" w:header="720" w:footer="720" w:gutter="0"/>
          <w:cols w:space="60"/>
          <w:noEndnote/>
        </w:sectPr>
      </w:pPr>
    </w:p>
    <w:p w14:paraId="40B7753F" w14:textId="77777777" w:rsidR="00477A61" w:rsidRPr="00E01239" w:rsidRDefault="00A93809" w:rsidP="00202CE9">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56"/>
          <w:szCs w:val="56"/>
        </w:rPr>
      </w:pPr>
      <w:bookmarkStart w:id="1354" w:name="_Toc130858011"/>
      <w:bookmarkStart w:id="1355" w:name="_Toc142378220"/>
      <w:bookmarkStart w:id="1356" w:name="_Toc144654172"/>
      <w:r w:rsidRPr="00E01239">
        <w:rPr>
          <w:rFonts w:asciiTheme="minorHAnsi" w:hAnsiTheme="minorHAnsi" w:cstheme="minorHAnsi"/>
          <w:caps/>
          <w:color w:val="5B9BD5"/>
          <w:sz w:val="56"/>
          <w:szCs w:val="56"/>
        </w:rPr>
        <w:lastRenderedPageBreak/>
        <w:t>BIBLIOGRAPHIE</w:t>
      </w:r>
      <w:bookmarkEnd w:id="1354"/>
      <w:bookmarkEnd w:id="1355"/>
      <w:bookmarkEnd w:id="1356"/>
    </w:p>
    <w:p w14:paraId="7F89CF94"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Action Contre la Faim, 2019, Production de biomasse et d’eaux de surface au </w:t>
      </w:r>
      <w:proofErr w:type="spellStart"/>
      <w:r w:rsidRPr="00E01239">
        <w:rPr>
          <w:rFonts w:asciiTheme="minorHAnsi" w:hAnsiTheme="minorHAnsi" w:cstheme="minorHAnsi"/>
          <w:sz w:val="22"/>
          <w:szCs w:val="22"/>
        </w:rPr>
        <w:t>sénégal</w:t>
      </w:r>
      <w:proofErr w:type="spellEnd"/>
      <w:r w:rsidRPr="00E01239">
        <w:rPr>
          <w:rFonts w:asciiTheme="minorHAnsi" w:hAnsiTheme="minorHAnsi" w:cstheme="minorHAnsi"/>
          <w:sz w:val="22"/>
          <w:szCs w:val="22"/>
        </w:rPr>
        <w:t xml:space="preserve"> en 2019. Analyses et perspectives pour 2020.</w:t>
      </w:r>
    </w:p>
    <w:p w14:paraId="64ED60D1"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i/>
          <w:iCs/>
          <w:sz w:val="22"/>
          <w:szCs w:val="22"/>
        </w:rPr>
      </w:pPr>
      <w:r w:rsidRPr="00E01239">
        <w:rPr>
          <w:rFonts w:asciiTheme="minorHAnsi" w:hAnsiTheme="minorHAnsi" w:cstheme="minorHAnsi"/>
          <w:i/>
          <w:iCs/>
          <w:sz w:val="22"/>
          <w:szCs w:val="22"/>
        </w:rPr>
        <w:t xml:space="preserve">Aissatou T. </w:t>
      </w:r>
      <w:proofErr w:type="spellStart"/>
      <w:r w:rsidRPr="00E01239">
        <w:rPr>
          <w:rFonts w:asciiTheme="minorHAnsi" w:hAnsiTheme="minorHAnsi" w:cstheme="minorHAnsi"/>
          <w:i/>
          <w:iCs/>
          <w:sz w:val="22"/>
          <w:szCs w:val="22"/>
        </w:rPr>
        <w:t>Ndong</w:t>
      </w:r>
      <w:proofErr w:type="spellEnd"/>
      <w:r w:rsidRPr="00E01239">
        <w:rPr>
          <w:rFonts w:asciiTheme="minorHAnsi" w:hAnsiTheme="minorHAnsi" w:cstheme="minorHAnsi"/>
          <w:i/>
          <w:iCs/>
          <w:sz w:val="22"/>
          <w:szCs w:val="22"/>
        </w:rPr>
        <w:t xml:space="preserve">, et </w:t>
      </w:r>
      <w:proofErr w:type="spellStart"/>
      <w:r w:rsidRPr="00E01239">
        <w:rPr>
          <w:rFonts w:asciiTheme="minorHAnsi" w:hAnsiTheme="minorHAnsi" w:cstheme="minorHAnsi"/>
          <w:i/>
          <w:iCs/>
          <w:sz w:val="22"/>
          <w:szCs w:val="22"/>
        </w:rPr>
        <w:t>al</w:t>
      </w:r>
      <w:proofErr w:type="gramStart"/>
      <w:r w:rsidRPr="00E01239">
        <w:rPr>
          <w:rFonts w:asciiTheme="minorHAnsi" w:hAnsiTheme="minorHAnsi" w:cstheme="minorHAnsi"/>
          <w:i/>
          <w:iCs/>
          <w:sz w:val="22"/>
          <w:szCs w:val="22"/>
        </w:rPr>
        <w:t>.«Espèces</w:t>
      </w:r>
      <w:proofErr w:type="spellEnd"/>
      <w:proofErr w:type="gramEnd"/>
      <w:r w:rsidRPr="00E01239">
        <w:rPr>
          <w:rFonts w:asciiTheme="minorHAnsi" w:hAnsiTheme="minorHAnsi" w:cstheme="minorHAnsi"/>
          <w:i/>
          <w:iCs/>
          <w:sz w:val="22"/>
          <w:szCs w:val="22"/>
        </w:rPr>
        <w:t xml:space="preserve"> ligneuses du Ferlo-Nord, Sénégal : état actuel et usage », Les Cahiers d’Outre-Mer, 271 | Juillet-Septembre 2015.</w:t>
      </w:r>
    </w:p>
    <w:p w14:paraId="01A81C1A"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ANSD, 2020. Situation économique et sociale du Sénégal 2017-2018</w:t>
      </w:r>
    </w:p>
    <w:p w14:paraId="294AD3AF"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BAKHOUM A. 2013. Dynamique des ressources fourragères : indicateur de résilience des parcours communautaires de </w:t>
      </w:r>
      <w:proofErr w:type="spellStart"/>
      <w:r w:rsidRPr="00E01239">
        <w:rPr>
          <w:rFonts w:asciiTheme="minorHAnsi" w:hAnsiTheme="minorHAnsi" w:cstheme="minorHAnsi"/>
          <w:sz w:val="22"/>
          <w:szCs w:val="22"/>
        </w:rPr>
        <w:t>Tessekere</w:t>
      </w:r>
      <w:proofErr w:type="spellEnd"/>
      <w:r w:rsidRPr="00E01239">
        <w:rPr>
          <w:rFonts w:asciiTheme="minorHAnsi" w:hAnsiTheme="minorHAnsi" w:cstheme="minorHAnsi"/>
          <w:sz w:val="22"/>
          <w:szCs w:val="22"/>
        </w:rPr>
        <w:t xml:space="preserve"> au Ferlo, (Nord-Sénégal)</w:t>
      </w:r>
    </w:p>
    <w:p w14:paraId="36A7A9EE" w14:textId="77777777" w:rsidR="00F640B5" w:rsidRPr="00E01239" w:rsidRDefault="00F640B5" w:rsidP="00F640B5">
      <w:pPr>
        <w:pStyle w:val="Paragraphedeliste"/>
        <w:numPr>
          <w:ilvl w:val="0"/>
          <w:numId w:val="195"/>
        </w:numPr>
        <w:spacing w:before="120" w:after="200" w:line="360" w:lineRule="exact"/>
        <w:rPr>
          <w:rFonts w:asciiTheme="minorHAnsi" w:hAnsiTheme="minorHAnsi" w:cstheme="minorHAnsi"/>
          <w:bCs/>
          <w:color w:val="000000"/>
          <w:sz w:val="22"/>
          <w:szCs w:val="22"/>
        </w:rPr>
      </w:pPr>
      <w:r w:rsidRPr="00E01239">
        <w:rPr>
          <w:rFonts w:asciiTheme="minorHAnsi" w:hAnsiTheme="minorHAnsi" w:cstheme="minorHAnsi"/>
          <w:bCs/>
          <w:color w:val="000000"/>
          <w:sz w:val="22"/>
          <w:szCs w:val="22"/>
        </w:rPr>
        <w:t xml:space="preserve">Banque mondiale, 2016. Cadre environnementale et social   </w:t>
      </w:r>
    </w:p>
    <w:p w14:paraId="592EEE22"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BELLION Y., DEBENAY J.P. - 1986 - Le bassin sédimentaire Sénégalo-Mauritanien, présentation générale - in : Les changements globaux en Afrique durant le Quaternaire -Symposium International Dakar - Avril 1986.</w:t>
      </w:r>
    </w:p>
    <w:p w14:paraId="78726843"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proofErr w:type="spellStart"/>
      <w:r w:rsidRPr="00E01239">
        <w:rPr>
          <w:rFonts w:asciiTheme="minorHAnsi" w:hAnsiTheme="minorHAnsi" w:cstheme="minorHAnsi"/>
          <w:sz w:val="22"/>
          <w:szCs w:val="22"/>
        </w:rPr>
        <w:t>Bignebat</w:t>
      </w:r>
      <w:proofErr w:type="spellEnd"/>
      <w:r w:rsidRPr="00E01239">
        <w:rPr>
          <w:rFonts w:asciiTheme="minorHAnsi" w:hAnsiTheme="minorHAnsi" w:cstheme="minorHAnsi"/>
          <w:sz w:val="22"/>
          <w:szCs w:val="22"/>
        </w:rPr>
        <w:t xml:space="preserve">, C et S </w:t>
      </w:r>
      <w:proofErr w:type="spellStart"/>
      <w:r w:rsidRPr="00E01239">
        <w:rPr>
          <w:rFonts w:asciiTheme="minorHAnsi" w:hAnsiTheme="minorHAnsi" w:cstheme="minorHAnsi"/>
          <w:sz w:val="22"/>
          <w:szCs w:val="22"/>
        </w:rPr>
        <w:t>Sakho-Jimbira</w:t>
      </w:r>
      <w:proofErr w:type="spellEnd"/>
      <w:r w:rsidRPr="00E01239">
        <w:rPr>
          <w:rFonts w:asciiTheme="minorHAnsi" w:hAnsiTheme="minorHAnsi" w:cstheme="minorHAnsi"/>
          <w:sz w:val="22"/>
          <w:szCs w:val="22"/>
        </w:rPr>
        <w:t xml:space="preserve"> (2013) : Migrations et diversification des activités économiques locales : étude du Bassin arachidier du Sénégal</w:t>
      </w:r>
    </w:p>
    <w:p w14:paraId="5816D158"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Cadre Environnemental et Social - Banque mondiale</w:t>
      </w:r>
    </w:p>
    <w:p w14:paraId="7E69F24F"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CSE, 2013. Annuaire de l’Environnement et des Ressources Naturelles du Sénégal.</w:t>
      </w:r>
    </w:p>
    <w:p w14:paraId="4181BCA1"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i/>
          <w:iCs/>
          <w:sz w:val="22"/>
          <w:szCs w:val="22"/>
        </w:rPr>
      </w:pPr>
      <w:r w:rsidRPr="00E01239">
        <w:rPr>
          <w:rFonts w:asciiTheme="minorHAnsi" w:hAnsiTheme="minorHAnsi" w:cstheme="minorHAnsi"/>
          <w:i/>
          <w:iCs/>
          <w:sz w:val="22"/>
          <w:szCs w:val="22"/>
        </w:rPr>
        <w:t>CSE, 2017, Rapport de Suivi des feux de brousse – saison 2016-2017.</w:t>
      </w:r>
    </w:p>
    <w:p w14:paraId="292E571D"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proofErr w:type="spellStart"/>
      <w:r w:rsidRPr="00E01239">
        <w:rPr>
          <w:rFonts w:asciiTheme="minorHAnsi" w:hAnsiTheme="minorHAnsi" w:cstheme="minorHAnsi"/>
          <w:sz w:val="22"/>
          <w:szCs w:val="22"/>
        </w:rPr>
        <w:t>Kaire</w:t>
      </w:r>
      <w:proofErr w:type="spellEnd"/>
      <w:r w:rsidRPr="00E01239">
        <w:rPr>
          <w:rFonts w:asciiTheme="minorHAnsi" w:hAnsiTheme="minorHAnsi" w:cstheme="minorHAnsi"/>
          <w:sz w:val="22"/>
          <w:szCs w:val="22"/>
        </w:rPr>
        <w:t xml:space="preserve"> M, </w:t>
      </w:r>
      <w:proofErr w:type="spellStart"/>
      <w:r w:rsidRPr="00E01239">
        <w:rPr>
          <w:rFonts w:asciiTheme="minorHAnsi" w:hAnsiTheme="minorHAnsi" w:cstheme="minorHAnsi"/>
          <w:sz w:val="22"/>
          <w:szCs w:val="22"/>
        </w:rPr>
        <w:t>Akpo</w:t>
      </w:r>
      <w:proofErr w:type="spellEnd"/>
      <w:r w:rsidRPr="00E01239">
        <w:rPr>
          <w:rFonts w:asciiTheme="minorHAnsi" w:hAnsiTheme="minorHAnsi" w:cstheme="minorHAnsi"/>
          <w:sz w:val="22"/>
          <w:szCs w:val="22"/>
        </w:rPr>
        <w:t> (2013), Diversité d’une végétation ligneuse soudanienne dans les systèmes d’utilisation des terres du sud-ouest du Bassin arachidier (</w:t>
      </w:r>
      <w:proofErr w:type="spellStart"/>
      <w:r w:rsidRPr="00E01239">
        <w:rPr>
          <w:rFonts w:asciiTheme="minorHAnsi" w:hAnsiTheme="minorHAnsi" w:cstheme="minorHAnsi"/>
          <w:sz w:val="22"/>
          <w:szCs w:val="22"/>
        </w:rPr>
        <w:t>Sénegal</w:t>
      </w:r>
      <w:proofErr w:type="spellEnd"/>
      <w:r w:rsidRPr="00E01239">
        <w:rPr>
          <w:rFonts w:asciiTheme="minorHAnsi" w:hAnsiTheme="minorHAnsi" w:cstheme="minorHAnsi"/>
          <w:sz w:val="22"/>
          <w:szCs w:val="22"/>
        </w:rPr>
        <w:t>)</w:t>
      </w:r>
    </w:p>
    <w:p w14:paraId="71D0B937"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lang w:val="fr-SN"/>
        </w:rPr>
      </w:pPr>
      <w:r w:rsidRPr="00E01239">
        <w:rPr>
          <w:rFonts w:asciiTheme="minorHAnsi" w:hAnsiTheme="minorHAnsi" w:cstheme="minorHAnsi"/>
          <w:sz w:val="22"/>
          <w:szCs w:val="22"/>
        </w:rPr>
        <w:t xml:space="preserve">Kane, C. Hamidou, 1998. L’évolution des nappes phréatiques au Sénégal, in Actes du séminaire sur le projet d'intégration des images satellites aux modèles agro-hydrologiques (INTEO). </w:t>
      </w:r>
      <w:r w:rsidRPr="00E01239">
        <w:rPr>
          <w:rFonts w:asciiTheme="minorHAnsi" w:hAnsiTheme="minorHAnsi" w:cstheme="minorHAnsi"/>
          <w:sz w:val="22"/>
          <w:szCs w:val="22"/>
          <w:lang w:val="fr-SN"/>
        </w:rPr>
        <w:t>IGUC. DHI. ISVA. CSE : Dakar. 5-6 octobre 1998</w:t>
      </w:r>
    </w:p>
    <w:p w14:paraId="6F5E7055"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Loi n° 2001-01 du 15 janvier 2001 portant Code de l’environnement </w:t>
      </w:r>
    </w:p>
    <w:p w14:paraId="150868BD"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Plan Communal de Développement –PCD- de Matam, 2017</w:t>
      </w:r>
    </w:p>
    <w:p w14:paraId="7EA6D7E0"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Plan d’investissement communal –PIC- de Linguère, 2011</w:t>
      </w:r>
    </w:p>
    <w:p w14:paraId="61B49593"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Plan de Développement Communal –PDC- de </w:t>
      </w:r>
      <w:proofErr w:type="spellStart"/>
      <w:r w:rsidRPr="00E01239">
        <w:rPr>
          <w:rFonts w:asciiTheme="minorHAnsi" w:hAnsiTheme="minorHAnsi" w:cstheme="minorHAnsi"/>
          <w:sz w:val="22"/>
          <w:szCs w:val="22"/>
        </w:rPr>
        <w:t>Kanel</w:t>
      </w:r>
      <w:proofErr w:type="spellEnd"/>
      <w:r w:rsidRPr="00E01239">
        <w:rPr>
          <w:rFonts w:asciiTheme="minorHAnsi" w:hAnsiTheme="minorHAnsi" w:cstheme="minorHAnsi"/>
          <w:sz w:val="22"/>
          <w:szCs w:val="22"/>
        </w:rPr>
        <w:t>, 2018</w:t>
      </w:r>
    </w:p>
    <w:p w14:paraId="67DB0323"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Plan de Développement Communal –PDC- de Ranérou, 2018</w:t>
      </w:r>
    </w:p>
    <w:p w14:paraId="581454A4"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Plan Départemental de Développement -PDD- de Dagana, 2018</w:t>
      </w:r>
    </w:p>
    <w:p w14:paraId="1F000C3E"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Plans Départementaux de Développement -PDD- de Podor et de </w:t>
      </w:r>
      <w:proofErr w:type="spellStart"/>
      <w:r w:rsidRPr="00E01239">
        <w:rPr>
          <w:rFonts w:asciiTheme="minorHAnsi" w:hAnsiTheme="minorHAnsi" w:cstheme="minorHAnsi"/>
          <w:sz w:val="22"/>
          <w:szCs w:val="22"/>
        </w:rPr>
        <w:t>Kounghel</w:t>
      </w:r>
      <w:proofErr w:type="spellEnd"/>
      <w:r w:rsidRPr="00E01239">
        <w:rPr>
          <w:rFonts w:asciiTheme="minorHAnsi" w:hAnsiTheme="minorHAnsi" w:cstheme="minorHAnsi"/>
          <w:sz w:val="22"/>
          <w:szCs w:val="22"/>
        </w:rPr>
        <w:t xml:space="preserve">, 2017  </w:t>
      </w:r>
    </w:p>
    <w:p w14:paraId="5FE2793E"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PRISE, 2017, Approche Territoriale des Changements Climatiques au Sénégal : cas de la zone </w:t>
      </w:r>
      <w:proofErr w:type="spellStart"/>
      <w:r w:rsidRPr="00E01239">
        <w:rPr>
          <w:rFonts w:asciiTheme="minorHAnsi" w:hAnsiTheme="minorHAnsi" w:cstheme="minorHAnsi"/>
          <w:sz w:val="22"/>
          <w:szCs w:val="22"/>
        </w:rPr>
        <w:t>agro-sylvopastorale</w:t>
      </w:r>
      <w:proofErr w:type="spellEnd"/>
      <w:r w:rsidRPr="00E01239">
        <w:rPr>
          <w:rFonts w:asciiTheme="minorHAnsi" w:hAnsiTheme="minorHAnsi" w:cstheme="minorHAnsi"/>
          <w:sz w:val="22"/>
          <w:szCs w:val="22"/>
        </w:rPr>
        <w:t xml:space="preserve"> du Ferlo.</w:t>
      </w:r>
    </w:p>
    <w:p w14:paraId="0E522DBF"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PROGERT, 2011 : Projet de Gestion et de Restauration des Terres dégradées du bassin arachidier</w:t>
      </w:r>
    </w:p>
    <w:p w14:paraId="01B1B349"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lang w:val="fr-SN"/>
        </w:rPr>
      </w:pPr>
      <w:r w:rsidRPr="00E01239">
        <w:rPr>
          <w:rFonts w:asciiTheme="minorHAnsi" w:hAnsiTheme="minorHAnsi" w:cstheme="minorHAnsi"/>
          <w:sz w:val="22"/>
          <w:szCs w:val="22"/>
        </w:rPr>
        <w:t xml:space="preserve">République du Sénégal - Ministère de la Jeunesse, de l’Environnement et de l’Hygiène Publique – République de Sénégal, 2001. </w:t>
      </w:r>
      <w:r w:rsidRPr="00E01239">
        <w:rPr>
          <w:rFonts w:asciiTheme="minorHAnsi" w:hAnsiTheme="minorHAnsi" w:cstheme="minorHAnsi"/>
          <w:sz w:val="22"/>
          <w:szCs w:val="22"/>
          <w:lang w:val="fr-SN"/>
        </w:rPr>
        <w:t>Code de l’Environnement</w:t>
      </w:r>
    </w:p>
    <w:p w14:paraId="1937A228"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République du Sénégal, octobre 2004. Objectifs du Millénaire pour le Développement : Plan d’action pour l’environnement et le cadre de vie (document provisoire) </w:t>
      </w:r>
    </w:p>
    <w:p w14:paraId="06549993"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lang w:val="pt-BR"/>
        </w:rPr>
        <w:lastRenderedPageBreak/>
        <w:t xml:space="preserve">Rosa Luxemburg Stiftung Afrique de L’ouest, 2017. </w:t>
      </w:r>
      <w:r w:rsidRPr="00E01239">
        <w:rPr>
          <w:rFonts w:asciiTheme="minorHAnsi" w:hAnsiTheme="minorHAnsi" w:cstheme="minorHAnsi"/>
          <w:sz w:val="22"/>
          <w:szCs w:val="22"/>
        </w:rPr>
        <w:t xml:space="preserve">Pourquoi semble-t-il si difficile d’obtenir la paix en </w:t>
      </w:r>
      <w:proofErr w:type="gramStart"/>
      <w:r w:rsidRPr="00E01239">
        <w:rPr>
          <w:rFonts w:asciiTheme="minorHAnsi" w:hAnsiTheme="minorHAnsi" w:cstheme="minorHAnsi"/>
          <w:sz w:val="22"/>
          <w:szCs w:val="22"/>
        </w:rPr>
        <w:t>Casamance?</w:t>
      </w:r>
      <w:proofErr w:type="gramEnd"/>
    </w:p>
    <w:p w14:paraId="769459FE"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SITUATION ECONOMIQUE ET SOCIALE (SES) Kaffrine. 2016. Rapport annuel sur la situation économique et sociale de la région de Kaffrine. ANSD, année 2016</w:t>
      </w:r>
    </w:p>
    <w:p w14:paraId="344D4AF4"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SITUATION ECONOMIQUE ET SOCIALE (SES) LOUGA. 2016. Rapport annuel sur la situation économique et sociale de la région de Louga. ANSD, année 2016</w:t>
      </w:r>
    </w:p>
    <w:p w14:paraId="144138DA"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SITUATION ECONOMIQUE ET SOCIALE (SES) MATAM. 2016. Rapport annuel sur la situation économique et sociale de la région de Matam. ANSD, année 2016</w:t>
      </w:r>
    </w:p>
    <w:p w14:paraId="252EBE3E"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SITUATION ECONOMIQUE ET SOCIALE (SES) TAMBACOUNDA. 2016. Rapport annuel sur la situation économique et sociale de la région de Tambacounda. ANSD, année 2016</w:t>
      </w:r>
    </w:p>
    <w:p w14:paraId="0D450919"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SY Oumar, 2009, Rôle de la mare dans la gestion des systèmes pastoraux sahéliens du Ferlo (Sénégal)</w:t>
      </w:r>
    </w:p>
    <w:p w14:paraId="2C7ABCE1" w14:textId="77777777" w:rsidR="00F640B5" w:rsidRPr="00E01239" w:rsidRDefault="00F640B5" w:rsidP="00F640B5">
      <w:pPr>
        <w:pStyle w:val="Paragraphedeliste"/>
        <w:numPr>
          <w:ilvl w:val="0"/>
          <w:numId w:val="195"/>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SY Oumar, 2011,</w:t>
      </w:r>
      <w:r w:rsidRPr="00E01239">
        <w:rPr>
          <w:rFonts w:asciiTheme="minorHAnsi" w:eastAsia="Calibri" w:hAnsiTheme="minorHAnsi" w:cstheme="minorHAnsi"/>
          <w:color w:val="000000"/>
          <w:sz w:val="22"/>
          <w:szCs w:val="22"/>
        </w:rPr>
        <w:t xml:space="preserve"> Perceptions pastorales des ligneux fourragers par les agropasteurs et les transhumants au centre du Sénégal Pastoral, International Journal of </w:t>
      </w:r>
      <w:proofErr w:type="spellStart"/>
      <w:r w:rsidRPr="00E01239">
        <w:rPr>
          <w:rFonts w:asciiTheme="minorHAnsi" w:eastAsia="Calibri" w:hAnsiTheme="minorHAnsi" w:cstheme="minorHAnsi"/>
          <w:color w:val="000000"/>
          <w:sz w:val="22"/>
          <w:szCs w:val="22"/>
        </w:rPr>
        <w:t>Biological</w:t>
      </w:r>
      <w:proofErr w:type="spellEnd"/>
      <w:r w:rsidRPr="00E01239">
        <w:rPr>
          <w:rFonts w:asciiTheme="minorHAnsi" w:eastAsia="Calibri" w:hAnsiTheme="minorHAnsi" w:cstheme="minorHAnsi"/>
          <w:color w:val="000000"/>
          <w:sz w:val="22"/>
          <w:szCs w:val="22"/>
        </w:rPr>
        <w:t xml:space="preserve"> and Chemical Sciences · April 2020.</w:t>
      </w:r>
    </w:p>
    <w:p w14:paraId="5B16AA01" w14:textId="5B7D5397" w:rsidR="00A93809" w:rsidRPr="00E01239" w:rsidRDefault="00A93809" w:rsidP="0023759F">
      <w:pPr>
        <w:spacing w:before="120" w:line="360" w:lineRule="exact"/>
        <w:ind w:left="720"/>
        <w:jc w:val="both"/>
        <w:rPr>
          <w:rFonts w:asciiTheme="minorHAnsi" w:hAnsiTheme="minorHAnsi" w:cstheme="minorHAnsi"/>
          <w:sz w:val="22"/>
          <w:szCs w:val="22"/>
        </w:rPr>
      </w:pPr>
    </w:p>
    <w:p w14:paraId="0F84C700" w14:textId="77777777" w:rsidR="00477A61" w:rsidRPr="00E01239" w:rsidRDefault="00477A61" w:rsidP="00A93809">
      <w:pPr>
        <w:spacing w:before="120" w:line="360" w:lineRule="exact"/>
        <w:jc w:val="both"/>
        <w:rPr>
          <w:rFonts w:asciiTheme="minorHAnsi" w:hAnsiTheme="minorHAnsi" w:cstheme="minorHAnsi"/>
          <w:sz w:val="22"/>
          <w:szCs w:val="22"/>
        </w:rPr>
      </w:pPr>
    </w:p>
    <w:p w14:paraId="73D30E48" w14:textId="77777777" w:rsidR="00477A61" w:rsidRPr="00E01239" w:rsidRDefault="00477A61" w:rsidP="00477A61">
      <w:pPr>
        <w:rPr>
          <w:rFonts w:asciiTheme="minorHAnsi" w:hAnsiTheme="minorHAnsi" w:cstheme="minorHAnsi"/>
          <w:sz w:val="22"/>
          <w:szCs w:val="22"/>
        </w:rPr>
      </w:pPr>
    </w:p>
    <w:p w14:paraId="02D7E4B5" w14:textId="77777777" w:rsidR="00477A61" w:rsidRPr="00E01239" w:rsidRDefault="00477A61" w:rsidP="00477A61">
      <w:pPr>
        <w:rPr>
          <w:rFonts w:asciiTheme="minorHAnsi" w:hAnsiTheme="minorHAnsi" w:cstheme="minorHAnsi"/>
          <w:sz w:val="22"/>
          <w:szCs w:val="22"/>
        </w:rPr>
      </w:pPr>
    </w:p>
    <w:p w14:paraId="2F6DB3AB" w14:textId="77777777" w:rsidR="00477A61" w:rsidRPr="00E01239" w:rsidRDefault="00477A61" w:rsidP="00477A61">
      <w:pPr>
        <w:rPr>
          <w:rFonts w:asciiTheme="minorHAnsi" w:hAnsiTheme="minorHAnsi" w:cstheme="minorHAnsi"/>
          <w:sz w:val="22"/>
          <w:szCs w:val="22"/>
        </w:rPr>
      </w:pPr>
    </w:p>
    <w:p w14:paraId="1E927EA4" w14:textId="77777777" w:rsidR="00477A61" w:rsidRPr="00E01239" w:rsidRDefault="00477A61" w:rsidP="00477A61">
      <w:pPr>
        <w:rPr>
          <w:rFonts w:asciiTheme="minorHAnsi" w:hAnsiTheme="minorHAnsi" w:cstheme="minorHAnsi"/>
          <w:sz w:val="22"/>
          <w:szCs w:val="22"/>
        </w:rPr>
      </w:pPr>
    </w:p>
    <w:p w14:paraId="75112A0C" w14:textId="77777777" w:rsidR="00477A61" w:rsidRPr="00E01239" w:rsidRDefault="00477A61" w:rsidP="00477A61">
      <w:pPr>
        <w:rPr>
          <w:rFonts w:asciiTheme="minorHAnsi" w:hAnsiTheme="minorHAnsi" w:cstheme="minorHAnsi"/>
          <w:sz w:val="22"/>
          <w:szCs w:val="22"/>
        </w:rPr>
      </w:pPr>
    </w:p>
    <w:p w14:paraId="2E8711B6" w14:textId="77777777" w:rsidR="00477A61" w:rsidRPr="00E01239" w:rsidRDefault="00477A61" w:rsidP="00477A61">
      <w:pPr>
        <w:rPr>
          <w:rFonts w:asciiTheme="minorHAnsi" w:hAnsiTheme="minorHAnsi" w:cstheme="minorHAnsi"/>
          <w:sz w:val="22"/>
          <w:szCs w:val="22"/>
        </w:rPr>
      </w:pPr>
    </w:p>
    <w:p w14:paraId="0EBF36A2" w14:textId="77777777" w:rsidR="00477A61" w:rsidRPr="00E01239" w:rsidRDefault="00477A61" w:rsidP="00477A61">
      <w:pPr>
        <w:rPr>
          <w:rFonts w:asciiTheme="minorHAnsi" w:hAnsiTheme="minorHAnsi" w:cstheme="minorHAnsi"/>
          <w:sz w:val="22"/>
          <w:szCs w:val="22"/>
        </w:rPr>
      </w:pPr>
    </w:p>
    <w:p w14:paraId="589F8B37" w14:textId="77777777" w:rsidR="00477A61" w:rsidRPr="00E01239" w:rsidRDefault="00477A61" w:rsidP="00477A61">
      <w:pPr>
        <w:rPr>
          <w:rFonts w:asciiTheme="minorHAnsi" w:hAnsiTheme="minorHAnsi" w:cstheme="minorHAnsi"/>
          <w:sz w:val="22"/>
          <w:szCs w:val="22"/>
        </w:rPr>
      </w:pPr>
    </w:p>
    <w:p w14:paraId="7BAC96D1" w14:textId="77777777" w:rsidR="00477A61" w:rsidRPr="00E01239" w:rsidRDefault="00477A61" w:rsidP="00477A61">
      <w:pPr>
        <w:rPr>
          <w:rFonts w:asciiTheme="minorHAnsi" w:hAnsiTheme="minorHAnsi" w:cstheme="minorHAnsi"/>
          <w:sz w:val="22"/>
          <w:szCs w:val="22"/>
        </w:rPr>
      </w:pPr>
    </w:p>
    <w:p w14:paraId="199927FE" w14:textId="77777777" w:rsidR="00F73EAB" w:rsidRPr="00E01239" w:rsidRDefault="00F73EAB" w:rsidP="00876968">
      <w:pPr>
        <w:rPr>
          <w:rFonts w:asciiTheme="minorHAnsi" w:hAnsiTheme="minorHAnsi" w:cstheme="minorHAnsi"/>
          <w:sz w:val="22"/>
          <w:szCs w:val="22"/>
        </w:rPr>
        <w:sectPr w:rsidR="00F73EAB" w:rsidRPr="00E01239" w:rsidSect="00A304E9">
          <w:footerReference w:type="even" r:id="rId30"/>
          <w:footerReference w:type="default" r:id="rId31"/>
          <w:pgSz w:w="11906" w:h="16838"/>
          <w:pgMar w:top="1418" w:right="1440" w:bottom="1440" w:left="1440" w:header="720" w:footer="720" w:gutter="0"/>
          <w:cols w:space="720"/>
          <w:docGrid w:linePitch="360"/>
        </w:sectPr>
      </w:pPr>
      <w:bookmarkStart w:id="1357" w:name="_Toc88861485"/>
      <w:bookmarkStart w:id="1358" w:name="_Toc130714110"/>
    </w:p>
    <w:p w14:paraId="2722C7F6" w14:textId="18874CC7" w:rsidR="00876968" w:rsidRPr="00E01239" w:rsidRDefault="00876968" w:rsidP="00876968">
      <w:pPr>
        <w:rPr>
          <w:rFonts w:asciiTheme="minorHAnsi" w:hAnsiTheme="minorHAnsi" w:cstheme="minorHAnsi"/>
          <w:sz w:val="22"/>
          <w:szCs w:val="22"/>
        </w:rPr>
      </w:pPr>
    </w:p>
    <w:p w14:paraId="7C5E01E7" w14:textId="77777777" w:rsidR="00876968" w:rsidRPr="00E01239" w:rsidRDefault="00876968" w:rsidP="00876968">
      <w:pPr>
        <w:rPr>
          <w:rFonts w:asciiTheme="minorHAnsi" w:hAnsiTheme="minorHAnsi" w:cstheme="minorHAnsi"/>
          <w:sz w:val="22"/>
          <w:szCs w:val="22"/>
        </w:rPr>
      </w:pPr>
    </w:p>
    <w:p w14:paraId="3D7BFD72" w14:textId="77777777" w:rsidR="00876968" w:rsidRPr="00E01239" w:rsidRDefault="00876968" w:rsidP="00876968">
      <w:pPr>
        <w:rPr>
          <w:rFonts w:asciiTheme="minorHAnsi" w:hAnsiTheme="minorHAnsi" w:cstheme="minorHAnsi"/>
          <w:sz w:val="22"/>
          <w:szCs w:val="22"/>
        </w:rPr>
      </w:pPr>
    </w:p>
    <w:p w14:paraId="58B6C213" w14:textId="77777777" w:rsidR="00876968" w:rsidRPr="00E01239" w:rsidRDefault="00876968" w:rsidP="00876968">
      <w:pPr>
        <w:rPr>
          <w:rFonts w:asciiTheme="minorHAnsi" w:hAnsiTheme="minorHAnsi" w:cstheme="minorHAnsi"/>
          <w:sz w:val="22"/>
          <w:szCs w:val="22"/>
        </w:rPr>
      </w:pPr>
    </w:p>
    <w:p w14:paraId="76402D90" w14:textId="77777777" w:rsidR="00876968" w:rsidRPr="00E01239" w:rsidRDefault="00876968" w:rsidP="00876968">
      <w:pPr>
        <w:rPr>
          <w:rFonts w:asciiTheme="minorHAnsi" w:hAnsiTheme="minorHAnsi" w:cstheme="minorHAnsi"/>
          <w:sz w:val="22"/>
          <w:szCs w:val="22"/>
        </w:rPr>
      </w:pPr>
    </w:p>
    <w:p w14:paraId="1720E547" w14:textId="77777777" w:rsidR="00876968" w:rsidRPr="00E01239" w:rsidRDefault="00876968" w:rsidP="00876968">
      <w:pPr>
        <w:rPr>
          <w:rFonts w:asciiTheme="minorHAnsi" w:hAnsiTheme="minorHAnsi" w:cstheme="minorHAnsi"/>
          <w:sz w:val="22"/>
          <w:szCs w:val="22"/>
        </w:rPr>
      </w:pPr>
    </w:p>
    <w:p w14:paraId="640880ED" w14:textId="77777777" w:rsidR="00876968" w:rsidRPr="00E01239" w:rsidRDefault="00876968" w:rsidP="00876968">
      <w:pPr>
        <w:rPr>
          <w:rFonts w:asciiTheme="minorHAnsi" w:hAnsiTheme="minorHAnsi" w:cstheme="minorHAnsi"/>
          <w:sz w:val="22"/>
          <w:szCs w:val="22"/>
        </w:rPr>
      </w:pPr>
    </w:p>
    <w:p w14:paraId="3546DD6A" w14:textId="77777777" w:rsidR="00876968" w:rsidRPr="00E01239" w:rsidRDefault="00876968" w:rsidP="00876968">
      <w:pPr>
        <w:rPr>
          <w:rFonts w:asciiTheme="minorHAnsi" w:hAnsiTheme="minorHAnsi" w:cstheme="minorHAnsi"/>
          <w:sz w:val="22"/>
          <w:szCs w:val="22"/>
        </w:rPr>
      </w:pPr>
    </w:p>
    <w:p w14:paraId="7AA8F2C3" w14:textId="77777777" w:rsidR="00876968" w:rsidRPr="00E01239" w:rsidRDefault="00876968" w:rsidP="00876968">
      <w:pPr>
        <w:rPr>
          <w:rFonts w:asciiTheme="minorHAnsi" w:hAnsiTheme="minorHAnsi" w:cstheme="minorHAnsi"/>
          <w:sz w:val="22"/>
          <w:szCs w:val="22"/>
        </w:rPr>
      </w:pPr>
    </w:p>
    <w:p w14:paraId="3E761914" w14:textId="77777777" w:rsidR="00876968" w:rsidRPr="00E01239" w:rsidRDefault="00876968" w:rsidP="00876968">
      <w:pPr>
        <w:rPr>
          <w:rFonts w:asciiTheme="minorHAnsi" w:hAnsiTheme="minorHAnsi" w:cstheme="minorHAnsi"/>
          <w:sz w:val="22"/>
          <w:szCs w:val="22"/>
        </w:rPr>
      </w:pPr>
    </w:p>
    <w:p w14:paraId="53ACE004" w14:textId="77777777" w:rsidR="00876968" w:rsidRPr="00E01239" w:rsidRDefault="00876968" w:rsidP="00876968">
      <w:pPr>
        <w:rPr>
          <w:rFonts w:asciiTheme="minorHAnsi" w:hAnsiTheme="minorHAnsi" w:cstheme="minorHAnsi"/>
          <w:sz w:val="22"/>
          <w:szCs w:val="22"/>
        </w:rPr>
      </w:pPr>
    </w:p>
    <w:p w14:paraId="2A1AEBCC" w14:textId="77777777" w:rsidR="00876968" w:rsidRPr="00E01239" w:rsidRDefault="00876968" w:rsidP="00876968">
      <w:pPr>
        <w:rPr>
          <w:rFonts w:asciiTheme="minorHAnsi" w:hAnsiTheme="minorHAnsi" w:cstheme="minorHAnsi"/>
          <w:sz w:val="22"/>
          <w:szCs w:val="22"/>
        </w:rPr>
      </w:pPr>
    </w:p>
    <w:p w14:paraId="65D4ABA0" w14:textId="77777777" w:rsidR="00876968" w:rsidRPr="00E01239" w:rsidRDefault="00876968" w:rsidP="00876968">
      <w:pPr>
        <w:rPr>
          <w:rFonts w:asciiTheme="minorHAnsi" w:hAnsiTheme="minorHAnsi" w:cstheme="minorHAnsi"/>
          <w:sz w:val="22"/>
          <w:szCs w:val="22"/>
        </w:rPr>
      </w:pPr>
    </w:p>
    <w:p w14:paraId="2AC91402" w14:textId="77777777" w:rsidR="00876968" w:rsidRPr="00E01239" w:rsidRDefault="00876968" w:rsidP="00876968">
      <w:pPr>
        <w:rPr>
          <w:rFonts w:asciiTheme="minorHAnsi" w:hAnsiTheme="minorHAnsi" w:cstheme="minorHAnsi"/>
          <w:sz w:val="22"/>
          <w:szCs w:val="22"/>
        </w:rPr>
      </w:pPr>
    </w:p>
    <w:p w14:paraId="7F11665E" w14:textId="77777777" w:rsidR="00876968" w:rsidRPr="00E01239" w:rsidRDefault="00876968" w:rsidP="00876968">
      <w:pPr>
        <w:rPr>
          <w:rFonts w:asciiTheme="minorHAnsi" w:hAnsiTheme="minorHAnsi" w:cstheme="minorHAnsi"/>
          <w:sz w:val="22"/>
          <w:szCs w:val="22"/>
        </w:rPr>
      </w:pPr>
    </w:p>
    <w:p w14:paraId="59911597" w14:textId="77777777" w:rsidR="00876968" w:rsidRPr="00E01239" w:rsidRDefault="00876968" w:rsidP="00876968">
      <w:pPr>
        <w:rPr>
          <w:rFonts w:asciiTheme="minorHAnsi" w:hAnsiTheme="minorHAnsi" w:cstheme="minorHAnsi"/>
          <w:sz w:val="22"/>
          <w:szCs w:val="22"/>
        </w:rPr>
      </w:pPr>
    </w:p>
    <w:p w14:paraId="2DF61BFF" w14:textId="77777777" w:rsidR="00477A61" w:rsidRPr="00E01239" w:rsidRDefault="00477A61" w:rsidP="00202CE9">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56"/>
          <w:szCs w:val="56"/>
        </w:rPr>
      </w:pPr>
      <w:bookmarkStart w:id="1359" w:name="_Toc130858012"/>
      <w:bookmarkStart w:id="1360" w:name="_Toc142378221"/>
      <w:bookmarkStart w:id="1361" w:name="_Toc144654173"/>
      <w:r w:rsidRPr="00E01239">
        <w:rPr>
          <w:rFonts w:asciiTheme="minorHAnsi" w:hAnsiTheme="minorHAnsi" w:cstheme="minorHAnsi"/>
          <w:caps/>
          <w:color w:val="5B9BD5"/>
          <w:sz w:val="56"/>
          <w:szCs w:val="56"/>
        </w:rPr>
        <w:t>ANNEXES</w:t>
      </w:r>
      <w:bookmarkEnd w:id="1357"/>
      <w:bookmarkEnd w:id="1358"/>
      <w:bookmarkEnd w:id="1359"/>
      <w:bookmarkEnd w:id="1360"/>
      <w:bookmarkEnd w:id="1361"/>
    </w:p>
    <w:p w14:paraId="559CCCD1" w14:textId="77777777" w:rsidR="00477A61" w:rsidRPr="00E01239" w:rsidRDefault="00477A61" w:rsidP="00477A61">
      <w:pPr>
        <w:rPr>
          <w:rFonts w:asciiTheme="minorHAnsi" w:hAnsiTheme="minorHAnsi" w:cstheme="minorHAnsi"/>
          <w:sz w:val="22"/>
          <w:szCs w:val="22"/>
        </w:rPr>
      </w:pPr>
    </w:p>
    <w:p w14:paraId="7B6A5D31" w14:textId="77777777" w:rsidR="00477A61" w:rsidRPr="00E01239" w:rsidRDefault="00477A61" w:rsidP="00477A61">
      <w:pPr>
        <w:rPr>
          <w:rFonts w:asciiTheme="minorHAnsi" w:hAnsiTheme="minorHAnsi" w:cstheme="minorHAnsi"/>
          <w:sz w:val="22"/>
          <w:szCs w:val="22"/>
        </w:rPr>
      </w:pPr>
    </w:p>
    <w:p w14:paraId="3A8616E3" w14:textId="77777777" w:rsidR="00477A61" w:rsidRPr="00E01239" w:rsidRDefault="00477A61" w:rsidP="00477A61">
      <w:pPr>
        <w:rPr>
          <w:rFonts w:asciiTheme="minorHAnsi" w:hAnsiTheme="minorHAnsi" w:cstheme="minorHAnsi"/>
          <w:sz w:val="22"/>
          <w:szCs w:val="22"/>
        </w:rPr>
      </w:pPr>
    </w:p>
    <w:p w14:paraId="4528E67E" w14:textId="77777777" w:rsidR="00477A61" w:rsidRPr="00E01239" w:rsidRDefault="00477A61" w:rsidP="00477A61">
      <w:pPr>
        <w:rPr>
          <w:rFonts w:asciiTheme="minorHAnsi" w:hAnsiTheme="minorHAnsi" w:cstheme="minorHAnsi"/>
          <w:b/>
          <w:bCs/>
          <w:sz w:val="22"/>
          <w:szCs w:val="22"/>
        </w:rPr>
      </w:pPr>
      <w:r w:rsidRPr="00E01239">
        <w:rPr>
          <w:rFonts w:asciiTheme="minorHAnsi" w:hAnsiTheme="minorHAnsi" w:cstheme="minorHAnsi"/>
          <w:sz w:val="22"/>
          <w:szCs w:val="22"/>
        </w:rPr>
        <w:br w:type="page"/>
      </w:r>
    </w:p>
    <w:p w14:paraId="4D1F5C6B" w14:textId="77777777" w:rsidR="00477A61" w:rsidRPr="00E01239" w:rsidRDefault="00477A61" w:rsidP="00477A61">
      <w:pPr>
        <w:rPr>
          <w:rFonts w:asciiTheme="minorHAnsi" w:hAnsiTheme="minorHAnsi" w:cstheme="minorHAnsi"/>
          <w:sz w:val="22"/>
          <w:szCs w:val="22"/>
        </w:rPr>
      </w:pPr>
    </w:p>
    <w:p w14:paraId="47295D3F" w14:textId="77777777" w:rsidR="00477A61" w:rsidRPr="00E01239" w:rsidRDefault="00477A61" w:rsidP="00477A61">
      <w:pPr>
        <w:rPr>
          <w:rFonts w:asciiTheme="minorHAnsi" w:hAnsiTheme="minorHAnsi" w:cstheme="minorHAnsi"/>
          <w:sz w:val="22"/>
          <w:szCs w:val="22"/>
        </w:rPr>
      </w:pPr>
    </w:p>
    <w:p w14:paraId="18EB14B4" w14:textId="77777777" w:rsidR="00477A61" w:rsidRPr="00E01239" w:rsidRDefault="00477A61" w:rsidP="00477A61">
      <w:pPr>
        <w:rPr>
          <w:rFonts w:asciiTheme="minorHAnsi" w:hAnsiTheme="minorHAnsi" w:cstheme="minorHAnsi"/>
          <w:sz w:val="22"/>
          <w:szCs w:val="22"/>
        </w:rPr>
      </w:pPr>
    </w:p>
    <w:p w14:paraId="0D85F690" w14:textId="77777777" w:rsidR="00477A61" w:rsidRPr="00E01239" w:rsidRDefault="00477A61" w:rsidP="00477A61">
      <w:pPr>
        <w:rPr>
          <w:rFonts w:asciiTheme="minorHAnsi" w:hAnsiTheme="minorHAnsi" w:cstheme="minorHAnsi"/>
          <w:sz w:val="22"/>
          <w:szCs w:val="22"/>
        </w:rPr>
      </w:pPr>
    </w:p>
    <w:p w14:paraId="6750BC7D" w14:textId="77777777" w:rsidR="00477A61" w:rsidRPr="00E01239" w:rsidRDefault="00477A61" w:rsidP="00477A61">
      <w:pPr>
        <w:rPr>
          <w:rFonts w:asciiTheme="minorHAnsi" w:hAnsiTheme="minorHAnsi" w:cstheme="minorHAnsi"/>
          <w:sz w:val="22"/>
          <w:szCs w:val="22"/>
        </w:rPr>
      </w:pPr>
    </w:p>
    <w:p w14:paraId="1F5C00DF" w14:textId="77777777" w:rsidR="00477A61" w:rsidRPr="00E01239" w:rsidRDefault="00477A61" w:rsidP="00477A61">
      <w:pPr>
        <w:rPr>
          <w:rFonts w:asciiTheme="minorHAnsi" w:hAnsiTheme="minorHAnsi" w:cstheme="minorHAnsi"/>
          <w:sz w:val="22"/>
          <w:szCs w:val="22"/>
        </w:rPr>
      </w:pPr>
    </w:p>
    <w:p w14:paraId="279A2F59" w14:textId="77777777" w:rsidR="00477A61" w:rsidRPr="00E01239" w:rsidRDefault="00477A61" w:rsidP="00477A61">
      <w:pPr>
        <w:rPr>
          <w:rFonts w:asciiTheme="minorHAnsi" w:hAnsiTheme="minorHAnsi" w:cstheme="minorHAnsi"/>
          <w:sz w:val="22"/>
          <w:szCs w:val="22"/>
        </w:rPr>
      </w:pPr>
    </w:p>
    <w:p w14:paraId="611735FB" w14:textId="77777777" w:rsidR="00477A61" w:rsidRPr="00E01239" w:rsidRDefault="00477A61" w:rsidP="00477A61">
      <w:pPr>
        <w:rPr>
          <w:rFonts w:asciiTheme="minorHAnsi" w:hAnsiTheme="minorHAnsi" w:cstheme="minorHAnsi"/>
          <w:sz w:val="22"/>
          <w:szCs w:val="22"/>
        </w:rPr>
      </w:pPr>
    </w:p>
    <w:p w14:paraId="527ED76B" w14:textId="77777777" w:rsidR="00477A61" w:rsidRPr="00E01239" w:rsidRDefault="00477A61" w:rsidP="00477A61">
      <w:pPr>
        <w:rPr>
          <w:rFonts w:asciiTheme="minorHAnsi" w:hAnsiTheme="minorHAnsi" w:cstheme="minorHAnsi"/>
          <w:sz w:val="22"/>
          <w:szCs w:val="22"/>
        </w:rPr>
      </w:pPr>
    </w:p>
    <w:p w14:paraId="671AF9A9" w14:textId="77777777" w:rsidR="00477A61" w:rsidRPr="00E01239" w:rsidRDefault="00477A61" w:rsidP="00477A61">
      <w:pPr>
        <w:rPr>
          <w:rFonts w:asciiTheme="minorHAnsi" w:hAnsiTheme="minorHAnsi" w:cstheme="minorHAnsi"/>
          <w:sz w:val="22"/>
          <w:szCs w:val="22"/>
        </w:rPr>
      </w:pPr>
    </w:p>
    <w:p w14:paraId="10E8C7C7" w14:textId="77777777" w:rsidR="00477A61" w:rsidRPr="00E01239" w:rsidRDefault="00477A61" w:rsidP="00477A61">
      <w:pPr>
        <w:rPr>
          <w:rFonts w:asciiTheme="minorHAnsi" w:hAnsiTheme="minorHAnsi" w:cstheme="minorHAnsi"/>
          <w:sz w:val="22"/>
          <w:szCs w:val="22"/>
        </w:rPr>
      </w:pPr>
    </w:p>
    <w:p w14:paraId="4D44C8AD" w14:textId="77777777" w:rsidR="00477A61" w:rsidRPr="00E01239" w:rsidRDefault="00477A61" w:rsidP="00477A61">
      <w:pPr>
        <w:rPr>
          <w:rFonts w:asciiTheme="minorHAnsi" w:hAnsiTheme="minorHAnsi" w:cstheme="minorHAnsi"/>
          <w:sz w:val="22"/>
          <w:szCs w:val="22"/>
        </w:rPr>
      </w:pPr>
    </w:p>
    <w:p w14:paraId="62D37534" w14:textId="77777777" w:rsidR="00477A61" w:rsidRPr="00E01239" w:rsidRDefault="00477A61" w:rsidP="00477A61">
      <w:pPr>
        <w:tabs>
          <w:tab w:val="left" w:pos="1042"/>
        </w:tabs>
        <w:rPr>
          <w:rFonts w:asciiTheme="minorHAnsi" w:hAnsiTheme="minorHAnsi" w:cstheme="minorHAnsi"/>
          <w:sz w:val="22"/>
          <w:szCs w:val="22"/>
        </w:rPr>
      </w:pPr>
    </w:p>
    <w:p w14:paraId="65443C5B" w14:textId="77777777" w:rsidR="00477A61" w:rsidRPr="00E01239" w:rsidRDefault="00477A61" w:rsidP="00477A61">
      <w:pPr>
        <w:tabs>
          <w:tab w:val="left" w:pos="1042"/>
        </w:tabs>
        <w:rPr>
          <w:rFonts w:asciiTheme="minorHAnsi" w:hAnsiTheme="minorHAnsi" w:cstheme="minorHAnsi"/>
          <w:sz w:val="22"/>
          <w:szCs w:val="22"/>
        </w:rPr>
      </w:pPr>
    </w:p>
    <w:p w14:paraId="05CC618E" w14:textId="46D1C247" w:rsidR="00477A61" w:rsidRPr="00E01239" w:rsidRDefault="00477A61" w:rsidP="00477A61">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48"/>
          <w:szCs w:val="48"/>
        </w:rPr>
      </w:pPr>
      <w:bookmarkStart w:id="1362" w:name="_Toc39187652"/>
      <w:bookmarkStart w:id="1363" w:name="_Toc41162035"/>
      <w:bookmarkStart w:id="1364" w:name="_Toc41300930"/>
      <w:bookmarkStart w:id="1365" w:name="_Toc58573709"/>
      <w:bookmarkStart w:id="1366" w:name="_Toc58859465"/>
      <w:bookmarkStart w:id="1367" w:name="_Toc58926895"/>
      <w:bookmarkStart w:id="1368" w:name="_Toc58928957"/>
      <w:bookmarkStart w:id="1369" w:name="_Toc83301695"/>
      <w:bookmarkStart w:id="1370" w:name="_Toc86436642"/>
      <w:bookmarkStart w:id="1371" w:name="_Toc87466821"/>
      <w:bookmarkStart w:id="1372" w:name="_Toc87530528"/>
      <w:bookmarkStart w:id="1373" w:name="_Toc88771504"/>
      <w:bookmarkStart w:id="1374" w:name="_Toc88861269"/>
      <w:bookmarkStart w:id="1375" w:name="_Toc88861307"/>
      <w:bookmarkStart w:id="1376" w:name="_Toc88861486"/>
      <w:bookmarkStart w:id="1377" w:name="_Toc130714111"/>
      <w:bookmarkStart w:id="1378" w:name="_Toc130755165"/>
      <w:bookmarkStart w:id="1379" w:name="_Toc130857876"/>
      <w:bookmarkStart w:id="1380" w:name="_Toc130858013"/>
      <w:bookmarkStart w:id="1381" w:name="_Toc142378222"/>
      <w:bookmarkStart w:id="1382" w:name="_Toc142847792"/>
      <w:bookmarkStart w:id="1383" w:name="_Toc142853994"/>
      <w:bookmarkStart w:id="1384" w:name="_Toc142854046"/>
      <w:bookmarkStart w:id="1385" w:name="_Toc144654174"/>
      <w:r w:rsidRPr="00E01239">
        <w:rPr>
          <w:rFonts w:asciiTheme="minorHAnsi" w:hAnsiTheme="minorHAnsi" w:cstheme="minorHAnsi"/>
          <w:caps/>
          <w:color w:val="5B9BD5"/>
          <w:sz w:val="48"/>
          <w:szCs w:val="48"/>
        </w:rPr>
        <w:t xml:space="preserve">ANNEXE </w:t>
      </w:r>
      <w:r w:rsidRPr="00E01239">
        <w:rPr>
          <w:rFonts w:asciiTheme="minorHAnsi" w:hAnsiTheme="minorHAnsi" w:cstheme="minorHAnsi"/>
          <w:caps/>
          <w:color w:val="5B9BD5"/>
          <w:sz w:val="48"/>
          <w:szCs w:val="48"/>
        </w:rPr>
        <w:fldChar w:fldCharType="begin"/>
      </w:r>
      <w:r w:rsidRPr="00E01239">
        <w:rPr>
          <w:rFonts w:asciiTheme="minorHAnsi" w:hAnsiTheme="minorHAnsi" w:cstheme="minorHAnsi"/>
          <w:caps/>
          <w:color w:val="5B9BD5"/>
          <w:sz w:val="48"/>
          <w:szCs w:val="48"/>
        </w:rPr>
        <w:instrText xml:space="preserve"> SEQ Annexe \* ARABIC </w:instrText>
      </w:r>
      <w:r w:rsidRPr="00E01239">
        <w:rPr>
          <w:rFonts w:asciiTheme="minorHAnsi" w:hAnsiTheme="minorHAnsi" w:cstheme="minorHAnsi"/>
          <w:caps/>
          <w:color w:val="5B9BD5"/>
          <w:sz w:val="48"/>
          <w:szCs w:val="48"/>
        </w:rPr>
        <w:fldChar w:fldCharType="separate"/>
      </w:r>
      <w:r w:rsidR="00202CE9" w:rsidRPr="00E01239">
        <w:rPr>
          <w:rFonts w:asciiTheme="minorHAnsi" w:hAnsiTheme="minorHAnsi" w:cstheme="minorHAnsi"/>
          <w:caps/>
          <w:noProof/>
          <w:color w:val="5B9BD5"/>
          <w:sz w:val="48"/>
          <w:szCs w:val="48"/>
        </w:rPr>
        <w:t>1</w:t>
      </w:r>
      <w:r w:rsidRPr="00E01239">
        <w:rPr>
          <w:rFonts w:asciiTheme="minorHAnsi" w:hAnsiTheme="minorHAnsi" w:cstheme="minorHAnsi"/>
          <w:caps/>
          <w:color w:val="5B9BD5"/>
          <w:sz w:val="48"/>
          <w:szCs w:val="48"/>
        </w:rPr>
        <w:fldChar w:fldCharType="end"/>
      </w:r>
      <w:r w:rsidRPr="00E01239">
        <w:rPr>
          <w:rFonts w:asciiTheme="minorHAnsi" w:hAnsiTheme="minorHAnsi" w:cstheme="minorHAnsi"/>
          <w:caps/>
          <w:color w:val="5B9BD5"/>
          <w:sz w:val="48"/>
          <w:szCs w:val="48"/>
        </w:rPr>
        <w:t> : CODE DE BONNE CONDUITE</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E01239">
        <w:rPr>
          <w:rFonts w:asciiTheme="minorHAnsi" w:hAnsiTheme="minorHAnsi" w:cstheme="minorHAnsi"/>
          <w:caps/>
          <w:color w:val="5B9BD5"/>
          <w:sz w:val="48"/>
          <w:szCs w:val="48"/>
        </w:rPr>
        <w:t xml:space="preserve"> </w:t>
      </w:r>
    </w:p>
    <w:p w14:paraId="0CC726AF" w14:textId="77777777" w:rsidR="00477A61" w:rsidRPr="00E01239" w:rsidRDefault="00477A61" w:rsidP="00477A61">
      <w:pPr>
        <w:tabs>
          <w:tab w:val="left" w:pos="1042"/>
        </w:tabs>
        <w:rPr>
          <w:rFonts w:asciiTheme="minorHAnsi" w:hAnsiTheme="minorHAnsi" w:cstheme="minorHAnsi"/>
          <w:sz w:val="22"/>
          <w:szCs w:val="22"/>
        </w:rPr>
      </w:pPr>
    </w:p>
    <w:p w14:paraId="4F23AD7D" w14:textId="77777777" w:rsidR="00477A61" w:rsidRPr="00E01239" w:rsidRDefault="00477A61" w:rsidP="00477A61">
      <w:pPr>
        <w:rPr>
          <w:rFonts w:asciiTheme="minorHAnsi" w:hAnsiTheme="minorHAnsi" w:cstheme="minorHAnsi"/>
          <w:sz w:val="22"/>
          <w:szCs w:val="22"/>
        </w:rPr>
      </w:pPr>
      <w:r w:rsidRPr="00E01239">
        <w:rPr>
          <w:rFonts w:asciiTheme="minorHAnsi" w:hAnsiTheme="minorHAnsi" w:cstheme="minorHAnsi"/>
          <w:sz w:val="22"/>
          <w:szCs w:val="22"/>
        </w:rPr>
        <w:br w:type="page"/>
      </w:r>
    </w:p>
    <w:p w14:paraId="26C36ACE" w14:textId="77777777" w:rsidR="00477A61" w:rsidRPr="00E01239" w:rsidRDefault="00477A61" w:rsidP="00477A61">
      <w:pPr>
        <w:jc w:val="center"/>
        <w:rPr>
          <w:rFonts w:asciiTheme="minorHAnsi" w:hAnsiTheme="minorHAnsi" w:cstheme="minorHAnsi"/>
          <w:b/>
          <w:bCs/>
          <w:smallCaps/>
          <w:noProof/>
          <w:sz w:val="22"/>
          <w:szCs w:val="22"/>
        </w:rPr>
      </w:pPr>
      <w:r w:rsidRPr="00E01239">
        <w:rPr>
          <w:rFonts w:asciiTheme="minorHAnsi" w:hAnsiTheme="minorHAnsi" w:cstheme="minorHAnsi"/>
          <w:b/>
          <w:bCs/>
          <w:smallCaps/>
          <w:noProof/>
          <w:sz w:val="22"/>
          <w:szCs w:val="22"/>
        </w:rPr>
        <w:lastRenderedPageBreak/>
        <w:t>Codes de Conduite et Plan d’action pour la mise en œuvre des normes ESHS et HST, et la prévention des violences basées sur le genre et les violences contre les enfants</w:t>
      </w:r>
    </w:p>
    <w:p w14:paraId="31E524DF" w14:textId="77777777" w:rsidR="00477A61" w:rsidRPr="00E01239" w:rsidRDefault="00477A61" w:rsidP="00477A61">
      <w:pPr>
        <w:rPr>
          <w:rFonts w:asciiTheme="minorHAnsi" w:hAnsiTheme="minorHAnsi" w:cstheme="minorHAnsi"/>
          <w:smallCaps/>
          <w:noProof/>
          <w:sz w:val="22"/>
          <w:szCs w:val="22"/>
        </w:rPr>
      </w:pPr>
    </w:p>
    <w:p w14:paraId="3EC45627" w14:textId="77777777" w:rsidR="00477A61" w:rsidRPr="00E01239" w:rsidRDefault="00477A61" w:rsidP="002A19B3">
      <w:pPr>
        <w:numPr>
          <w:ilvl w:val="1"/>
          <w:numId w:val="68"/>
        </w:numPr>
        <w:spacing w:line="360" w:lineRule="exact"/>
        <w:ind w:left="1134" w:hanging="567"/>
        <w:rPr>
          <w:rFonts w:asciiTheme="minorHAnsi" w:hAnsiTheme="minorHAnsi" w:cstheme="minorHAnsi"/>
          <w:sz w:val="22"/>
          <w:szCs w:val="22"/>
        </w:rPr>
      </w:pPr>
      <w:bookmarkStart w:id="1386" w:name="_Toc532302987"/>
      <w:r w:rsidRPr="00E01239">
        <w:rPr>
          <w:rFonts w:asciiTheme="minorHAnsi" w:hAnsiTheme="minorHAnsi" w:cstheme="minorHAnsi"/>
          <w:b/>
          <w:sz w:val="22"/>
          <w:szCs w:val="22"/>
        </w:rPr>
        <w:t>Généralités</w:t>
      </w:r>
      <w:bookmarkEnd w:id="1386"/>
    </w:p>
    <w:p w14:paraId="0D29F987" w14:textId="77777777" w:rsidR="00477A61" w:rsidRPr="00E01239" w:rsidRDefault="00477A61" w:rsidP="00477A61">
      <w:pPr>
        <w:jc w:val="both"/>
        <w:rPr>
          <w:rFonts w:asciiTheme="minorHAnsi" w:hAnsiTheme="minorHAnsi" w:cstheme="minorHAnsi"/>
          <w:smallCaps/>
          <w:sz w:val="22"/>
          <w:szCs w:val="22"/>
        </w:rPr>
      </w:pPr>
    </w:p>
    <w:p w14:paraId="1E565DFA"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 xml:space="preserve">Le but des présents </w:t>
      </w:r>
      <w:r w:rsidRPr="00E01239">
        <w:rPr>
          <w:rFonts w:asciiTheme="minorHAnsi" w:hAnsiTheme="minorHAnsi" w:cstheme="minorHAnsi"/>
          <w:i/>
          <w:sz w:val="22"/>
          <w:szCs w:val="22"/>
        </w:rPr>
        <w:t xml:space="preserve">Codes de conduite et plan d’action pour la mise en œuvre des normes Environnementales et sociales, d’hygiène et de sécurité (ESHS) et d’Hygiène et de sécurité au travail (HST) et la prévention des violences basées sur le genre (VBG) et les violences contre les enfants (VCE) </w:t>
      </w:r>
      <w:r w:rsidRPr="00E01239">
        <w:rPr>
          <w:rFonts w:asciiTheme="minorHAnsi" w:hAnsiTheme="minorHAnsi" w:cstheme="minorHAnsi"/>
          <w:sz w:val="22"/>
          <w:szCs w:val="22"/>
        </w:rPr>
        <w:t xml:space="preserve">consiste à introduire un ensemble de définitions clefs, des codes de conduite et des lignes directrices afin de : </w:t>
      </w:r>
    </w:p>
    <w:p w14:paraId="7260008E" w14:textId="77777777" w:rsidR="00477A61" w:rsidRPr="00E01239" w:rsidRDefault="00477A61" w:rsidP="00477A61">
      <w:pPr>
        <w:jc w:val="both"/>
        <w:rPr>
          <w:rFonts w:asciiTheme="minorHAnsi" w:hAnsiTheme="minorHAnsi" w:cstheme="minorHAnsi"/>
          <w:sz w:val="22"/>
          <w:szCs w:val="22"/>
        </w:rPr>
      </w:pPr>
    </w:p>
    <w:p w14:paraId="68024563" w14:textId="77777777" w:rsidR="00477A61" w:rsidRPr="00E01239" w:rsidRDefault="00477A61" w:rsidP="002A19B3">
      <w:pPr>
        <w:pStyle w:val="Paragraphedeliste"/>
        <w:numPr>
          <w:ilvl w:val="0"/>
          <w:numId w:val="79"/>
        </w:numPr>
        <w:jc w:val="both"/>
        <w:rPr>
          <w:rFonts w:asciiTheme="minorHAnsi" w:hAnsiTheme="minorHAnsi" w:cstheme="minorHAnsi"/>
          <w:sz w:val="22"/>
          <w:szCs w:val="22"/>
        </w:rPr>
      </w:pPr>
      <w:r w:rsidRPr="00E01239">
        <w:rPr>
          <w:rFonts w:asciiTheme="minorHAnsi" w:hAnsiTheme="minorHAnsi" w:cstheme="minorHAnsi"/>
          <w:sz w:val="22"/>
          <w:szCs w:val="22"/>
        </w:rPr>
        <w:t xml:space="preserve">Définir clairement les obligations de tous les membres du personnel du projet (y compris les sous-traitants et les journaliers) concernant la mise en œuvre des normes environnementales, sociales, de santé et de sécurité (ESHS) et d’hygiène et de sécurité au travail (HST) ; et </w:t>
      </w:r>
    </w:p>
    <w:p w14:paraId="3A2CE645" w14:textId="77777777" w:rsidR="00477A61" w:rsidRPr="00E01239" w:rsidRDefault="00477A61" w:rsidP="002A19B3">
      <w:pPr>
        <w:pStyle w:val="Paragraphedeliste"/>
        <w:numPr>
          <w:ilvl w:val="0"/>
          <w:numId w:val="79"/>
        </w:numPr>
        <w:jc w:val="both"/>
        <w:rPr>
          <w:rFonts w:asciiTheme="minorHAnsi" w:hAnsiTheme="minorHAnsi" w:cstheme="minorHAnsi"/>
          <w:sz w:val="22"/>
          <w:szCs w:val="22"/>
        </w:rPr>
      </w:pPr>
      <w:r w:rsidRPr="00E01239">
        <w:rPr>
          <w:rFonts w:asciiTheme="minorHAnsi" w:hAnsiTheme="minorHAnsi" w:cstheme="minorHAnsi"/>
          <w:sz w:val="22"/>
          <w:szCs w:val="22"/>
        </w:rPr>
        <w:t xml:space="preserve">Contribuer à prévenir, identifier et combattre la VBG et la VCE sur le chantier et dans les communautés avoisinantes. </w:t>
      </w:r>
    </w:p>
    <w:p w14:paraId="678AAFD8" w14:textId="77777777" w:rsidR="00477A61" w:rsidRPr="00E01239" w:rsidRDefault="00477A61" w:rsidP="00477A61">
      <w:pPr>
        <w:jc w:val="both"/>
        <w:rPr>
          <w:rFonts w:asciiTheme="minorHAnsi" w:hAnsiTheme="minorHAnsi" w:cstheme="minorHAnsi"/>
          <w:sz w:val="22"/>
          <w:szCs w:val="22"/>
        </w:rPr>
      </w:pPr>
    </w:p>
    <w:p w14:paraId="4E88D5F2"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L’application de ces Codes de Conduites permettra de faire en sorte que le projet atteigne ses objectifs en matière de normes ESHS et HST, ainsi que de prévenir et/ou atténuer les risques de VBG et de VCE sur le site du projet et dans les communautés locales.</w:t>
      </w:r>
    </w:p>
    <w:p w14:paraId="72849501" w14:textId="77777777" w:rsidR="00477A61" w:rsidRPr="00E01239" w:rsidRDefault="00477A61" w:rsidP="00477A61">
      <w:pPr>
        <w:jc w:val="both"/>
        <w:rPr>
          <w:rFonts w:asciiTheme="minorHAnsi" w:hAnsiTheme="minorHAnsi" w:cstheme="minorHAnsi"/>
          <w:sz w:val="22"/>
          <w:szCs w:val="22"/>
        </w:rPr>
      </w:pPr>
    </w:p>
    <w:p w14:paraId="63553D60"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 xml:space="preserve">Les personnes travaillant dans le projet doivent adopter ces Codes de conduite qui vise à : </w:t>
      </w:r>
    </w:p>
    <w:p w14:paraId="58206902" w14:textId="77777777" w:rsidR="00477A61" w:rsidRPr="00E01239" w:rsidRDefault="00477A61" w:rsidP="00477A61">
      <w:pPr>
        <w:jc w:val="both"/>
        <w:rPr>
          <w:rFonts w:asciiTheme="minorHAnsi" w:hAnsiTheme="minorHAnsi" w:cstheme="minorHAnsi"/>
          <w:sz w:val="22"/>
          <w:szCs w:val="22"/>
        </w:rPr>
      </w:pPr>
    </w:p>
    <w:p w14:paraId="6E696976" w14:textId="77777777" w:rsidR="00477A61" w:rsidRPr="00E01239" w:rsidRDefault="00477A61" w:rsidP="002A19B3">
      <w:pPr>
        <w:pStyle w:val="Paragraphedeliste"/>
        <w:numPr>
          <w:ilvl w:val="0"/>
          <w:numId w:val="80"/>
        </w:numPr>
        <w:jc w:val="both"/>
        <w:rPr>
          <w:rFonts w:asciiTheme="minorHAnsi" w:hAnsiTheme="minorHAnsi" w:cstheme="minorHAnsi"/>
          <w:sz w:val="22"/>
          <w:szCs w:val="22"/>
        </w:rPr>
      </w:pPr>
      <w:r w:rsidRPr="00E01239">
        <w:rPr>
          <w:rFonts w:asciiTheme="minorHAnsi" w:hAnsiTheme="minorHAnsi" w:cstheme="minorHAnsi"/>
          <w:sz w:val="22"/>
          <w:szCs w:val="22"/>
        </w:rPr>
        <w:t>Sensibiliser le personnel opérant dans le projet aux attentes en matière de ESHS et de HST ; et</w:t>
      </w:r>
    </w:p>
    <w:p w14:paraId="5CFFB7BF" w14:textId="77777777" w:rsidR="00477A61" w:rsidRPr="00E01239" w:rsidRDefault="00477A61" w:rsidP="002A19B3">
      <w:pPr>
        <w:pStyle w:val="Paragraphedeliste"/>
        <w:numPr>
          <w:ilvl w:val="0"/>
          <w:numId w:val="80"/>
        </w:numPr>
        <w:jc w:val="both"/>
        <w:rPr>
          <w:rFonts w:asciiTheme="minorHAnsi" w:hAnsiTheme="minorHAnsi" w:cstheme="minorHAnsi"/>
          <w:sz w:val="22"/>
          <w:szCs w:val="22"/>
        </w:rPr>
      </w:pPr>
      <w:bookmarkStart w:id="1387" w:name="_Hlk530932714"/>
      <w:r w:rsidRPr="00E01239">
        <w:rPr>
          <w:rFonts w:asciiTheme="minorHAnsi" w:hAnsiTheme="minorHAnsi" w:cstheme="minorHAnsi"/>
          <w:sz w:val="22"/>
          <w:szCs w:val="22"/>
        </w:rPr>
        <w:t>Créer une prise de conscience concernant les VBG et de VCE, et :</w:t>
      </w:r>
    </w:p>
    <w:p w14:paraId="5938F92B" w14:textId="77777777" w:rsidR="00477A61" w:rsidRPr="00E01239" w:rsidRDefault="00477A61" w:rsidP="002A19B3">
      <w:pPr>
        <w:pStyle w:val="Paragraphedeliste"/>
        <w:numPr>
          <w:ilvl w:val="1"/>
          <w:numId w:val="80"/>
        </w:numPr>
        <w:ind w:left="1134"/>
        <w:jc w:val="both"/>
        <w:rPr>
          <w:rFonts w:asciiTheme="minorHAnsi" w:hAnsiTheme="minorHAnsi" w:cstheme="minorHAnsi"/>
          <w:sz w:val="22"/>
          <w:szCs w:val="22"/>
        </w:rPr>
      </w:pPr>
      <w:r w:rsidRPr="00E01239">
        <w:rPr>
          <w:rFonts w:asciiTheme="minorHAnsi" w:hAnsiTheme="minorHAnsi" w:cstheme="minorHAnsi"/>
          <w:sz w:val="22"/>
          <w:szCs w:val="22"/>
        </w:rPr>
        <w:t xml:space="preserve">Créer un consensus sur le fait que tels actes n’ont pas leur place dans le projet ; et </w:t>
      </w:r>
    </w:p>
    <w:p w14:paraId="79BBDE34" w14:textId="77777777" w:rsidR="00477A61" w:rsidRPr="00E01239" w:rsidRDefault="00477A61" w:rsidP="002A19B3">
      <w:pPr>
        <w:pStyle w:val="Paragraphedeliste"/>
        <w:numPr>
          <w:ilvl w:val="1"/>
          <w:numId w:val="80"/>
        </w:numPr>
        <w:ind w:left="1134"/>
        <w:jc w:val="both"/>
        <w:rPr>
          <w:rFonts w:asciiTheme="minorHAnsi" w:hAnsiTheme="minorHAnsi" w:cstheme="minorHAnsi"/>
          <w:sz w:val="22"/>
          <w:szCs w:val="22"/>
        </w:rPr>
      </w:pPr>
      <w:r w:rsidRPr="00E01239">
        <w:rPr>
          <w:rFonts w:asciiTheme="minorHAnsi" w:hAnsiTheme="minorHAnsi" w:cstheme="minorHAnsi"/>
          <w:sz w:val="22"/>
          <w:szCs w:val="22"/>
        </w:rPr>
        <w:t xml:space="preserve">Etablir un protocole pour identifier les incidents de VBG et de VCE ; répondre à tels incidents ; et les sanctionner. </w:t>
      </w:r>
    </w:p>
    <w:p w14:paraId="37486D33" w14:textId="77777777" w:rsidR="00477A61" w:rsidRPr="00E01239" w:rsidRDefault="00477A61" w:rsidP="00477A61">
      <w:pPr>
        <w:jc w:val="both"/>
        <w:rPr>
          <w:rFonts w:asciiTheme="minorHAnsi" w:hAnsiTheme="minorHAnsi" w:cstheme="minorHAnsi"/>
          <w:sz w:val="22"/>
          <w:szCs w:val="22"/>
        </w:rPr>
      </w:pPr>
    </w:p>
    <w:bookmarkEnd w:id="1387"/>
    <w:p w14:paraId="7091FE30"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 xml:space="preserve">L’objectif des Codes de Conduite est de s'assurer que tout le personnel du projet comprenne les valeurs morales du projet, les conduites que tout employé est tenu à suivre et les conséquences des violations de ces valeurs. Cette compréhension contribuera à une mise en œuvre du projet plus harmonieuse, plus respectueuse et plus productive, pour faire en sorte que les objectifs du projet soient atteints. </w:t>
      </w:r>
    </w:p>
    <w:p w14:paraId="2BD16E46" w14:textId="77777777" w:rsidR="00477A61" w:rsidRPr="00E01239" w:rsidRDefault="00477A61" w:rsidP="002A19B3">
      <w:pPr>
        <w:numPr>
          <w:ilvl w:val="1"/>
          <w:numId w:val="68"/>
        </w:numPr>
        <w:spacing w:line="360" w:lineRule="exact"/>
        <w:ind w:left="1134" w:hanging="567"/>
        <w:rPr>
          <w:rFonts w:asciiTheme="minorHAnsi" w:hAnsiTheme="minorHAnsi" w:cstheme="minorHAnsi"/>
          <w:sz w:val="22"/>
          <w:szCs w:val="22"/>
        </w:rPr>
      </w:pPr>
      <w:bookmarkStart w:id="1388" w:name="_Toc532302988"/>
      <w:r w:rsidRPr="00E01239">
        <w:rPr>
          <w:rFonts w:asciiTheme="minorHAnsi" w:hAnsiTheme="minorHAnsi" w:cstheme="minorHAnsi"/>
          <w:b/>
          <w:sz w:val="22"/>
          <w:szCs w:val="22"/>
        </w:rPr>
        <w:t>Définitions</w:t>
      </w:r>
      <w:bookmarkEnd w:id="1388"/>
      <w:r w:rsidRPr="00E01239">
        <w:rPr>
          <w:rFonts w:asciiTheme="minorHAnsi" w:hAnsiTheme="minorHAnsi" w:cstheme="minorHAnsi"/>
          <w:b/>
          <w:sz w:val="22"/>
          <w:szCs w:val="22"/>
        </w:rPr>
        <w:t xml:space="preserve"> </w:t>
      </w:r>
    </w:p>
    <w:p w14:paraId="1C805091" w14:textId="77777777" w:rsidR="00477A61" w:rsidRPr="00E01239" w:rsidRDefault="00477A61" w:rsidP="00477A61">
      <w:pPr>
        <w:jc w:val="both"/>
        <w:rPr>
          <w:rFonts w:asciiTheme="minorHAnsi" w:hAnsiTheme="minorHAnsi" w:cstheme="minorHAnsi"/>
          <w:sz w:val="22"/>
          <w:szCs w:val="22"/>
        </w:rPr>
      </w:pPr>
    </w:p>
    <w:p w14:paraId="019F9C0D"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 xml:space="preserve">Dans les présents Codes de conduite, les termes suivants seront définis ci-après :  </w:t>
      </w:r>
    </w:p>
    <w:p w14:paraId="63325C3D" w14:textId="77777777" w:rsidR="00477A61" w:rsidRPr="00E01239" w:rsidRDefault="00477A61" w:rsidP="00477A61">
      <w:pPr>
        <w:spacing w:before="240"/>
        <w:jc w:val="both"/>
        <w:rPr>
          <w:rFonts w:asciiTheme="minorHAnsi" w:hAnsiTheme="minorHAnsi" w:cstheme="minorHAnsi"/>
          <w:b/>
          <w:sz w:val="22"/>
          <w:szCs w:val="22"/>
        </w:rPr>
      </w:pPr>
      <w:r w:rsidRPr="00E01239">
        <w:rPr>
          <w:rFonts w:asciiTheme="minorHAnsi" w:hAnsiTheme="minorHAnsi" w:cstheme="minorHAnsi"/>
          <w:b/>
          <w:sz w:val="22"/>
          <w:szCs w:val="22"/>
        </w:rPr>
        <w:t>Normes environnementales, sociales, d’hygiène et de sécurité (ESHS) :</w:t>
      </w:r>
      <w:r w:rsidRPr="00E01239">
        <w:rPr>
          <w:rFonts w:asciiTheme="minorHAnsi" w:hAnsiTheme="minorHAnsi" w:cstheme="minorHAnsi"/>
          <w:sz w:val="22"/>
          <w:szCs w:val="22"/>
        </w:rPr>
        <w:t xml:space="preserve"> un terme général couvrant les questions liées à l’impact du projet sur l’environnement, les communautés et les travailleurs.</w:t>
      </w:r>
    </w:p>
    <w:p w14:paraId="1E096EE0" w14:textId="77777777" w:rsidR="00477A61" w:rsidRPr="00E01239" w:rsidRDefault="00477A61" w:rsidP="00477A61">
      <w:pPr>
        <w:spacing w:before="240"/>
        <w:jc w:val="both"/>
        <w:rPr>
          <w:rFonts w:asciiTheme="minorHAnsi" w:hAnsiTheme="minorHAnsi" w:cstheme="minorHAnsi"/>
          <w:b/>
          <w:sz w:val="22"/>
          <w:szCs w:val="22"/>
        </w:rPr>
      </w:pPr>
      <w:r w:rsidRPr="00E01239">
        <w:rPr>
          <w:rFonts w:asciiTheme="minorHAnsi" w:hAnsiTheme="minorHAnsi" w:cstheme="minorHAnsi"/>
          <w:b/>
          <w:sz w:val="22"/>
          <w:szCs w:val="22"/>
        </w:rPr>
        <w:t>Hygiène et sécurité au travail (HST)</w:t>
      </w:r>
      <w:r w:rsidRPr="00E01239">
        <w:rPr>
          <w:rFonts w:asciiTheme="minorHAnsi" w:hAnsiTheme="minorHAnsi" w:cstheme="minorHAnsi"/>
          <w:sz w:val="22"/>
          <w:szCs w:val="22"/>
        </w:rPr>
        <w:t xml:space="preserve"> : l’hygiène et la sécurité du travail visent à protéger la sécurité, la santé et le bien-être des personnes qui travaillent ou occupent un emploi dans le projet. Le respect de ces normes au plus haut niveau est un droit de l'homme fondamental qui devrait être garanti à chaque travailleur.</w:t>
      </w:r>
    </w:p>
    <w:p w14:paraId="6AEF36BA" w14:textId="77777777" w:rsidR="00477A61" w:rsidRPr="00E01239" w:rsidRDefault="00477A61" w:rsidP="00477A61">
      <w:pPr>
        <w:spacing w:before="240"/>
        <w:jc w:val="both"/>
        <w:rPr>
          <w:rFonts w:asciiTheme="minorHAnsi" w:hAnsiTheme="minorHAnsi" w:cstheme="minorHAnsi"/>
          <w:b/>
          <w:sz w:val="22"/>
          <w:szCs w:val="22"/>
        </w:rPr>
      </w:pPr>
      <w:r w:rsidRPr="00E01239">
        <w:rPr>
          <w:rFonts w:asciiTheme="minorHAnsi" w:hAnsiTheme="minorHAnsi" w:cstheme="minorHAnsi"/>
          <w:b/>
          <w:sz w:val="22"/>
          <w:szCs w:val="22"/>
        </w:rPr>
        <w:t>Violences basées sur le genre (VBG) :</w:t>
      </w:r>
      <w:r w:rsidRPr="00E01239">
        <w:rPr>
          <w:rFonts w:asciiTheme="minorHAnsi" w:hAnsiTheme="minorHAnsi" w:cstheme="minorHAnsi"/>
          <w:sz w:val="22"/>
          <w:szCs w:val="22"/>
        </w:rPr>
        <w:t xml:space="preserve"> </w:t>
      </w:r>
      <w:bookmarkStart w:id="1389" w:name="_Hlk530826203"/>
      <w:r w:rsidRPr="00E01239">
        <w:rPr>
          <w:rFonts w:asciiTheme="minorHAnsi" w:hAnsiTheme="minorHAnsi" w:cstheme="minorHAnsi"/>
          <w:sz w:val="22"/>
          <w:szCs w:val="22"/>
        </w:rPr>
        <w:t xml:space="preserve">terme général désignant tout acte nuisible perpétré contre la volonté d'une personne et </w:t>
      </w:r>
      <w:r w:rsidRPr="00E01239">
        <w:rPr>
          <w:rFonts w:asciiTheme="minorHAnsi" w:hAnsiTheme="minorHAnsi" w:cstheme="minorHAnsi"/>
          <w:b/>
          <w:sz w:val="22"/>
          <w:szCs w:val="22"/>
        </w:rPr>
        <w:t>basé sur les différences attribuées socialement (c’est-à-dire le genre) aux hommes et aux femmes</w:t>
      </w:r>
      <w:r w:rsidRPr="00E01239">
        <w:rPr>
          <w:rFonts w:asciiTheme="minorHAnsi" w:hAnsiTheme="minorHAnsi" w:cstheme="minorHAnsi"/>
          <w:sz w:val="22"/>
          <w:szCs w:val="22"/>
        </w:rPr>
        <w:t xml:space="preserve">. Elles comprennent des actes infligeant des souffrances physiques, sexuelles ou mentales, ou des menaces de tels actes ; la coercition ; et d'autres actes de privation de liberté. </w:t>
      </w:r>
      <w:r w:rsidRPr="00E01239">
        <w:rPr>
          <w:rFonts w:asciiTheme="minorHAnsi" w:hAnsiTheme="minorHAnsi" w:cstheme="minorHAnsi"/>
          <w:sz w:val="22"/>
          <w:szCs w:val="22"/>
        </w:rPr>
        <w:lastRenderedPageBreak/>
        <w:t>Ces actes peuvent avoir lieu en public ou en privé. Le terme VBG est utilisé pour souligner l'inégalité systémique entre les hommes et les femmes (qui existe dans toutes les sociétés du monde) et qui caractérise la plupart des formes de violence perpétrées contre les femmes et les filles. La Déclaration des Nations Unies sur l'élimination de la violence à l'égard des femmes de 1993 définit la violence contre les femmes comme suit</w:t>
      </w:r>
      <w:bookmarkEnd w:id="1389"/>
      <w:r w:rsidRPr="00E01239">
        <w:rPr>
          <w:rFonts w:asciiTheme="minorHAnsi" w:hAnsiTheme="minorHAnsi" w:cstheme="minorHAnsi"/>
          <w:sz w:val="22"/>
          <w:szCs w:val="22"/>
        </w:rPr>
        <w:t> : « </w:t>
      </w:r>
      <w:r w:rsidRPr="00E01239">
        <w:rPr>
          <w:rFonts w:asciiTheme="minorHAnsi" w:hAnsiTheme="minorHAnsi" w:cstheme="minorHAnsi"/>
          <w:color w:val="000000"/>
          <w:sz w:val="22"/>
          <w:szCs w:val="22"/>
          <w:shd w:val="clear" w:color="auto" w:fill="FFFFFF"/>
        </w:rPr>
        <w:t>tout acte de violence dirigée contre le sexe féminin, et causant ou pouvant causer aux femmes un préjudice ou des souffrances physiques, sexuelles ou psychologiques </w:t>
      </w:r>
      <w:r w:rsidRPr="00E01239">
        <w:rPr>
          <w:rFonts w:asciiTheme="minorHAnsi" w:hAnsiTheme="minorHAnsi" w:cstheme="minorHAnsi"/>
          <w:sz w:val="22"/>
          <w:szCs w:val="22"/>
        </w:rPr>
        <w:t>»</w:t>
      </w:r>
      <w:r w:rsidRPr="00E01239">
        <w:rPr>
          <w:rStyle w:val="Appelnotedebasdep"/>
          <w:rFonts w:asciiTheme="minorHAnsi" w:hAnsiTheme="minorHAnsi" w:cstheme="minorHAnsi"/>
          <w:sz w:val="22"/>
          <w:szCs w:val="22"/>
        </w:rPr>
        <w:footnoteReference w:id="8"/>
      </w:r>
      <w:r w:rsidRPr="00E01239">
        <w:rPr>
          <w:rFonts w:asciiTheme="minorHAnsi" w:hAnsiTheme="minorHAnsi" w:cstheme="minorHAnsi"/>
          <w:sz w:val="22"/>
          <w:szCs w:val="22"/>
        </w:rPr>
        <w:t xml:space="preserve">. Les six types principaux de VBG sont les suivants : </w:t>
      </w:r>
    </w:p>
    <w:p w14:paraId="761375FA" w14:textId="77777777" w:rsidR="00477A61" w:rsidRPr="00E01239" w:rsidRDefault="00477A61" w:rsidP="002A19B3">
      <w:pPr>
        <w:pStyle w:val="Paragraphedeliste"/>
        <w:numPr>
          <w:ilvl w:val="0"/>
          <w:numId w:val="94"/>
        </w:numPr>
        <w:spacing w:before="240"/>
        <w:jc w:val="both"/>
        <w:rPr>
          <w:rFonts w:asciiTheme="minorHAnsi" w:hAnsiTheme="minorHAnsi" w:cstheme="minorHAnsi"/>
          <w:sz w:val="22"/>
          <w:szCs w:val="22"/>
        </w:rPr>
      </w:pPr>
      <w:r w:rsidRPr="00E01239">
        <w:rPr>
          <w:rFonts w:asciiTheme="minorHAnsi" w:hAnsiTheme="minorHAnsi" w:cstheme="minorHAnsi"/>
          <w:b/>
          <w:bCs/>
          <w:sz w:val="22"/>
          <w:szCs w:val="22"/>
        </w:rPr>
        <w:t xml:space="preserve">Viol </w:t>
      </w:r>
      <w:r w:rsidRPr="00E01239">
        <w:rPr>
          <w:rFonts w:asciiTheme="minorHAnsi" w:hAnsiTheme="minorHAnsi" w:cstheme="minorHAnsi"/>
          <w:sz w:val="22"/>
          <w:szCs w:val="22"/>
        </w:rPr>
        <w:t xml:space="preserve">: pénétration non consensuelle (si légère soit-elle) du vagin, de l’anus ou de la bouche avec un pénis, autre partie du corps ou un objet. </w:t>
      </w:r>
    </w:p>
    <w:p w14:paraId="63A1F420" w14:textId="77777777" w:rsidR="00477A61" w:rsidRPr="00E01239" w:rsidRDefault="00477A61" w:rsidP="002A19B3">
      <w:pPr>
        <w:pStyle w:val="Paragraphedeliste"/>
        <w:numPr>
          <w:ilvl w:val="0"/>
          <w:numId w:val="94"/>
        </w:numPr>
        <w:spacing w:before="240"/>
        <w:jc w:val="both"/>
        <w:rPr>
          <w:rFonts w:asciiTheme="minorHAnsi" w:hAnsiTheme="minorHAnsi" w:cstheme="minorHAnsi"/>
          <w:sz w:val="22"/>
          <w:szCs w:val="22"/>
        </w:rPr>
      </w:pPr>
      <w:r w:rsidRPr="00E01239">
        <w:rPr>
          <w:rFonts w:asciiTheme="minorHAnsi" w:hAnsiTheme="minorHAnsi" w:cstheme="minorHAnsi"/>
          <w:b/>
          <w:bCs/>
          <w:sz w:val="22"/>
          <w:szCs w:val="22"/>
        </w:rPr>
        <w:t xml:space="preserve">Violence sexuelle </w:t>
      </w:r>
      <w:r w:rsidRPr="00E01239">
        <w:rPr>
          <w:rFonts w:asciiTheme="minorHAnsi" w:hAnsiTheme="minorHAnsi" w:cstheme="minorHAnsi"/>
          <w:sz w:val="22"/>
          <w:szCs w:val="22"/>
        </w:rPr>
        <w:t xml:space="preserve">: toute forme de contact sexuel non consensuel même s’il ne se traduit pas par la pénétration. Par exemple, la tentative de viol, ainsi que les baisers non voulus, les caresses, ou l’attouchement des organes génitaux et des fesses. </w:t>
      </w:r>
    </w:p>
    <w:p w14:paraId="571F56A6" w14:textId="77777777" w:rsidR="00477A61" w:rsidRPr="00E01239" w:rsidRDefault="00477A61" w:rsidP="002A19B3">
      <w:pPr>
        <w:pStyle w:val="Paragraphedeliste"/>
        <w:numPr>
          <w:ilvl w:val="1"/>
          <w:numId w:val="94"/>
        </w:numPr>
        <w:autoSpaceDE w:val="0"/>
        <w:autoSpaceDN w:val="0"/>
        <w:adjustRightInd w:val="0"/>
        <w:spacing w:before="240"/>
        <w:jc w:val="both"/>
        <w:rPr>
          <w:rFonts w:asciiTheme="minorHAnsi" w:hAnsiTheme="minorHAnsi" w:cstheme="minorHAnsi"/>
          <w:sz w:val="22"/>
          <w:szCs w:val="22"/>
        </w:rPr>
      </w:pPr>
      <w:r w:rsidRPr="00E01239">
        <w:rPr>
          <w:rFonts w:asciiTheme="minorHAnsi" w:hAnsiTheme="minorHAnsi" w:cstheme="minorHAnsi"/>
          <w:b/>
          <w:i/>
          <w:sz w:val="22"/>
          <w:szCs w:val="22"/>
        </w:rPr>
        <w:t>Harcèlement sexuel :</w:t>
      </w:r>
      <w:r w:rsidRPr="00E01239">
        <w:rPr>
          <w:rFonts w:asciiTheme="minorHAnsi" w:hAnsiTheme="minorHAnsi" w:cstheme="minorHAnsi"/>
          <w:sz w:val="22"/>
          <w:szCs w:val="22"/>
        </w:rPr>
        <w:t xml:space="preserve"> avances sexuelles, demandes de faveurs sexuelles et tout autre comportement verbal ou physique de nature sexuelle.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w:t>
      </w:r>
    </w:p>
    <w:p w14:paraId="684C1524" w14:textId="77777777" w:rsidR="00477A61" w:rsidRPr="00E01239" w:rsidRDefault="00477A61" w:rsidP="002A19B3">
      <w:pPr>
        <w:pStyle w:val="Paragraphedeliste"/>
        <w:numPr>
          <w:ilvl w:val="1"/>
          <w:numId w:val="94"/>
        </w:numPr>
        <w:autoSpaceDE w:val="0"/>
        <w:autoSpaceDN w:val="0"/>
        <w:adjustRightInd w:val="0"/>
        <w:spacing w:before="240"/>
        <w:jc w:val="both"/>
        <w:rPr>
          <w:rFonts w:asciiTheme="minorHAnsi" w:hAnsiTheme="minorHAnsi" w:cstheme="minorHAnsi"/>
          <w:sz w:val="22"/>
          <w:szCs w:val="22"/>
        </w:rPr>
      </w:pPr>
      <w:r w:rsidRPr="00E01239">
        <w:rPr>
          <w:rFonts w:asciiTheme="minorHAnsi" w:hAnsiTheme="minorHAnsi" w:cstheme="minorHAnsi"/>
          <w:b/>
          <w:i/>
          <w:sz w:val="22"/>
          <w:szCs w:val="22"/>
        </w:rPr>
        <w:t xml:space="preserve">Faveurs sexuelles </w:t>
      </w:r>
      <w:r w:rsidRPr="00E01239">
        <w:rPr>
          <w:rFonts w:asciiTheme="minorHAnsi" w:hAnsiTheme="minorHAnsi" w:cstheme="minorHAnsi"/>
          <w:sz w:val="22"/>
          <w:szCs w:val="22"/>
        </w:rPr>
        <w:t xml:space="preserve">: une forme de harcèlement sexuel consistant notamment à faire des promesses de traitement favorable (par ex., une promotion) ou des menaces de traitement défavorable (par ex., perte de l’emploi) en fonction d’actes sexuels, ou d’autres formes de comportement humiliant, dégradant ou qui relève de l’exploitation. </w:t>
      </w:r>
    </w:p>
    <w:p w14:paraId="49D3E310" w14:textId="77777777" w:rsidR="00477A61" w:rsidRPr="00E01239" w:rsidRDefault="00477A61" w:rsidP="002A19B3">
      <w:pPr>
        <w:pStyle w:val="Paragraphedeliste"/>
        <w:numPr>
          <w:ilvl w:val="0"/>
          <w:numId w:val="94"/>
        </w:numPr>
        <w:spacing w:before="240"/>
        <w:jc w:val="both"/>
        <w:rPr>
          <w:rFonts w:asciiTheme="minorHAnsi" w:hAnsiTheme="minorHAnsi" w:cstheme="minorHAnsi"/>
          <w:sz w:val="22"/>
          <w:szCs w:val="22"/>
        </w:rPr>
      </w:pPr>
      <w:r w:rsidRPr="00E01239">
        <w:rPr>
          <w:rFonts w:asciiTheme="minorHAnsi" w:hAnsiTheme="minorHAnsi" w:cstheme="minorHAnsi"/>
          <w:b/>
          <w:bCs/>
          <w:sz w:val="22"/>
          <w:szCs w:val="22"/>
        </w:rPr>
        <w:t xml:space="preserve">Agression physique </w:t>
      </w:r>
      <w:r w:rsidRPr="00E01239">
        <w:rPr>
          <w:rFonts w:asciiTheme="minorHAnsi" w:hAnsiTheme="minorHAnsi" w:cstheme="minorHAnsi"/>
          <w:sz w:val="22"/>
          <w:szCs w:val="22"/>
        </w:rPr>
        <w:t xml:space="preserve">: un acte de violence physique qui n'est pas de nature sexuelle. Exemples : frapper, gifler, étrangler, blesser, bousculer, brûler, tirer sur une personne ou utiliser une arme, attaquer à l'acide ou tout autre acte qui cause de la douleur, une gêne physique ou des blessures. </w:t>
      </w:r>
    </w:p>
    <w:p w14:paraId="60BAC69C" w14:textId="77777777" w:rsidR="00477A61" w:rsidRPr="00E01239" w:rsidRDefault="00477A61" w:rsidP="002A19B3">
      <w:pPr>
        <w:pStyle w:val="Paragraphedeliste"/>
        <w:numPr>
          <w:ilvl w:val="0"/>
          <w:numId w:val="94"/>
        </w:numPr>
        <w:spacing w:before="240"/>
        <w:jc w:val="both"/>
        <w:rPr>
          <w:rFonts w:asciiTheme="minorHAnsi" w:hAnsiTheme="minorHAnsi" w:cstheme="minorHAnsi"/>
          <w:sz w:val="22"/>
          <w:szCs w:val="22"/>
        </w:rPr>
      </w:pPr>
      <w:r w:rsidRPr="00E01239">
        <w:rPr>
          <w:rFonts w:asciiTheme="minorHAnsi" w:hAnsiTheme="minorHAnsi" w:cstheme="minorHAnsi"/>
          <w:b/>
          <w:bCs/>
          <w:sz w:val="22"/>
          <w:szCs w:val="22"/>
        </w:rPr>
        <w:t xml:space="preserve">Mariage forcé </w:t>
      </w:r>
      <w:r w:rsidRPr="00E01239">
        <w:rPr>
          <w:rFonts w:asciiTheme="minorHAnsi" w:hAnsiTheme="minorHAnsi" w:cstheme="minorHAnsi"/>
          <w:sz w:val="22"/>
          <w:szCs w:val="22"/>
        </w:rPr>
        <w:t xml:space="preserve">: le mariage d’un individu contre sa volonté. </w:t>
      </w:r>
    </w:p>
    <w:p w14:paraId="78623ACA" w14:textId="77777777" w:rsidR="00477A61" w:rsidRPr="00E01239" w:rsidRDefault="00477A61" w:rsidP="002A19B3">
      <w:pPr>
        <w:pStyle w:val="Paragraphedeliste"/>
        <w:numPr>
          <w:ilvl w:val="0"/>
          <w:numId w:val="94"/>
        </w:numPr>
        <w:spacing w:before="240"/>
        <w:jc w:val="both"/>
        <w:rPr>
          <w:rFonts w:asciiTheme="minorHAnsi" w:hAnsiTheme="minorHAnsi" w:cstheme="minorHAnsi"/>
          <w:sz w:val="22"/>
          <w:szCs w:val="22"/>
        </w:rPr>
      </w:pPr>
      <w:r w:rsidRPr="00E01239">
        <w:rPr>
          <w:rFonts w:asciiTheme="minorHAnsi" w:hAnsiTheme="minorHAnsi" w:cstheme="minorHAnsi"/>
          <w:b/>
          <w:bCs/>
          <w:sz w:val="22"/>
          <w:szCs w:val="22"/>
        </w:rPr>
        <w:t xml:space="preserve">Privation de ressources, d’opportunités ou de services : </w:t>
      </w:r>
      <w:r w:rsidRPr="00E01239">
        <w:rPr>
          <w:rFonts w:asciiTheme="minorHAnsi" w:hAnsiTheme="minorHAnsi" w:cstheme="minorHAnsi"/>
          <w:sz w:val="22"/>
          <w:szCs w:val="22"/>
        </w:rPr>
        <w:t xml:space="preserve">privation de l'accès légitime aux ressources/biens économiques ou aux moyens de subsistance, à l'éducation, à la santé ou à d'autres services sociaux (par exemple, une veuve privée d’un héritage ; des revenus soustraits par un partenaire intime ou un membre de sa famille ; une femme empêchée dans l’usage des contraceptifs ; une fille empêchée de fréquenter l'école, etc.) </w:t>
      </w:r>
    </w:p>
    <w:p w14:paraId="6B765BB4" w14:textId="77777777" w:rsidR="00477A61" w:rsidRPr="00E01239" w:rsidRDefault="00477A61" w:rsidP="002A19B3">
      <w:pPr>
        <w:pStyle w:val="Paragraphedeliste"/>
        <w:numPr>
          <w:ilvl w:val="0"/>
          <w:numId w:val="94"/>
        </w:numPr>
        <w:spacing w:before="240"/>
        <w:jc w:val="both"/>
        <w:rPr>
          <w:rFonts w:asciiTheme="minorHAnsi" w:hAnsiTheme="minorHAnsi" w:cstheme="minorHAnsi"/>
          <w:sz w:val="22"/>
          <w:szCs w:val="22"/>
        </w:rPr>
      </w:pPr>
      <w:bookmarkStart w:id="1390" w:name="_Hlk530833005"/>
      <w:r w:rsidRPr="00E01239">
        <w:rPr>
          <w:rFonts w:asciiTheme="minorHAnsi" w:hAnsiTheme="minorHAnsi" w:cstheme="minorHAnsi"/>
          <w:b/>
          <w:sz w:val="22"/>
          <w:szCs w:val="22"/>
        </w:rPr>
        <w:t>Violence psychologique/affective</w:t>
      </w:r>
      <w:r w:rsidRPr="00E01239">
        <w:rPr>
          <w:rFonts w:asciiTheme="minorHAnsi" w:hAnsiTheme="minorHAnsi" w:cstheme="minorHAnsi"/>
          <w:sz w:val="22"/>
          <w:szCs w:val="22"/>
        </w:rPr>
        <w:t xml:space="preserve"> : l’infliction d’une douleur ou un préjudice mental ou émotionnel. Exemples : menaces de violences physiques ou sexuelles, intimidation, humiliation, isolement forcé, harcèlement, harcèlement criminel, sollicitation indésirée, remarques, gestes ou mots écrits de nature sexuelle non désirés et/ou menaçante, destruction d'objets chers, etc.</w:t>
      </w:r>
      <w:bookmarkEnd w:id="1390"/>
      <w:r w:rsidRPr="00E01239">
        <w:rPr>
          <w:rFonts w:asciiTheme="minorHAnsi" w:hAnsiTheme="minorHAnsi" w:cstheme="minorHAnsi"/>
          <w:sz w:val="22"/>
          <w:szCs w:val="22"/>
        </w:rPr>
        <w:t xml:space="preserve"> </w:t>
      </w:r>
    </w:p>
    <w:p w14:paraId="36A90034"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sz w:val="22"/>
          <w:szCs w:val="22"/>
        </w:rPr>
        <w:t xml:space="preserve">Violence contre les enfants (VCE) : </w:t>
      </w:r>
      <w:bookmarkStart w:id="1391" w:name="_Hlk530833671"/>
      <w:r w:rsidRPr="00E01239">
        <w:rPr>
          <w:rFonts w:asciiTheme="minorHAnsi" w:hAnsiTheme="minorHAnsi" w:cstheme="minorHAnsi"/>
          <w:sz w:val="22"/>
          <w:szCs w:val="22"/>
        </w:rPr>
        <w:t>un préjudice physique, sexuel, émotionnel et/ou psychologique, négligence ou traitement négligent d'enfants mineurs (c'est-à-dire de moins de 18 ans), y compris le fait qu’un enfant soit exposé à un tel préjudice envers une tierce personne</w:t>
      </w:r>
      <w:r w:rsidRPr="00E01239">
        <w:rPr>
          <w:rStyle w:val="Appelnotedebasdep"/>
          <w:rFonts w:asciiTheme="minorHAnsi" w:hAnsiTheme="minorHAnsi" w:cstheme="minorHAnsi"/>
          <w:sz w:val="22"/>
          <w:szCs w:val="22"/>
        </w:rPr>
        <w:footnoteReference w:id="9"/>
      </w:r>
      <w:r w:rsidRPr="00E01239">
        <w:rPr>
          <w:rFonts w:asciiTheme="minorHAnsi" w:hAnsiTheme="minorHAnsi" w:cstheme="minorHAnsi"/>
          <w:sz w:val="22"/>
          <w:szCs w:val="22"/>
        </w:rPr>
        <w:t xml:space="preserve">, qui entraîne un préjudice </w:t>
      </w:r>
      <w:r w:rsidRPr="00E01239">
        <w:rPr>
          <w:rFonts w:asciiTheme="minorHAnsi" w:hAnsiTheme="minorHAnsi" w:cstheme="minorHAnsi"/>
          <w:sz w:val="22"/>
          <w:szCs w:val="22"/>
        </w:rPr>
        <w:lastRenderedPageBreak/>
        <w:t>réel ou potentiel pour sa santé, sa survie, son développement ou sa dignité, dans le contexte d'une relation de responsabilité, de confiance ou de pouvoir. Cela comprend l'utilisation des enfants à des fins lucratives, de travail</w:t>
      </w:r>
      <w:r w:rsidRPr="00E01239">
        <w:rPr>
          <w:rStyle w:val="Appelnotedebasdep"/>
          <w:rFonts w:asciiTheme="minorHAnsi" w:hAnsiTheme="minorHAnsi" w:cstheme="minorHAnsi"/>
          <w:sz w:val="22"/>
          <w:szCs w:val="22"/>
        </w:rPr>
        <w:footnoteReference w:id="10"/>
      </w:r>
      <w:r w:rsidRPr="00E01239">
        <w:rPr>
          <w:rFonts w:asciiTheme="minorHAnsi" w:hAnsiTheme="minorHAnsi" w:cstheme="minorHAnsi"/>
          <w:sz w:val="22"/>
          <w:szCs w:val="22"/>
        </w:rPr>
        <w:t xml:space="preserve">, </w:t>
      </w:r>
      <w:bookmarkEnd w:id="1391"/>
      <w:r w:rsidRPr="00E01239">
        <w:rPr>
          <w:rFonts w:asciiTheme="minorHAnsi" w:hAnsiTheme="minorHAnsi" w:cstheme="minorHAnsi"/>
          <w:sz w:val="22"/>
          <w:szCs w:val="22"/>
        </w:rPr>
        <w:t xml:space="preserve">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 </w:t>
      </w:r>
    </w:p>
    <w:p w14:paraId="0C798F74" w14:textId="77777777" w:rsidR="00477A61" w:rsidRPr="00E01239" w:rsidRDefault="00477A61" w:rsidP="00477A61">
      <w:pPr>
        <w:spacing w:before="240"/>
        <w:jc w:val="both"/>
        <w:rPr>
          <w:rFonts w:asciiTheme="minorHAnsi" w:hAnsiTheme="minorHAnsi" w:cstheme="minorHAnsi"/>
          <w:b/>
          <w:sz w:val="22"/>
          <w:szCs w:val="22"/>
        </w:rPr>
      </w:pPr>
      <w:bookmarkStart w:id="1392" w:name="_Hlk530834210"/>
      <w:r w:rsidRPr="00E01239">
        <w:rPr>
          <w:rFonts w:asciiTheme="minorHAnsi" w:hAnsiTheme="minorHAnsi" w:cstheme="minorHAnsi"/>
          <w:b/>
          <w:color w:val="191919"/>
          <w:sz w:val="22"/>
          <w:szCs w:val="22"/>
        </w:rPr>
        <w:t xml:space="preserve">Sollicitation malintentionnée des enfants : </w:t>
      </w:r>
      <w:bookmarkEnd w:id="1392"/>
      <w:r w:rsidRPr="00E01239">
        <w:rPr>
          <w:rFonts w:asciiTheme="minorHAnsi" w:hAnsiTheme="minorHAnsi" w:cstheme="minorHAnsi"/>
          <w:sz w:val="22"/>
          <w:szCs w:val="22"/>
        </w:rPr>
        <w:t>ce sont des comportements qui permettent à un agresseur de gagner la confiance d’un enfant à but sexuel. C’est ainsi qu’un délinquant peut établir une relation de confiance avec l'enfant, puis chercher à sexualiser cette relation (par exemple, en encourageant des sentiments romantiques ou en exposant l'enfant à des concepts sexuels à travers la pornographie)</w:t>
      </w:r>
      <w:r w:rsidRPr="00E01239">
        <w:rPr>
          <w:rFonts w:asciiTheme="minorHAnsi" w:hAnsiTheme="minorHAnsi" w:cstheme="minorHAnsi"/>
          <w:color w:val="191919"/>
          <w:sz w:val="22"/>
          <w:szCs w:val="22"/>
        </w:rPr>
        <w:t>.</w:t>
      </w:r>
    </w:p>
    <w:p w14:paraId="2E811056"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color w:val="191919"/>
          <w:sz w:val="22"/>
          <w:szCs w:val="22"/>
        </w:rPr>
        <w:t>Sollicitation malintentionnée des enfants sur Internet :</w:t>
      </w:r>
      <w:r w:rsidRPr="00E01239">
        <w:rPr>
          <w:rFonts w:asciiTheme="minorHAnsi" w:hAnsiTheme="minorHAnsi" w:cstheme="minorHAnsi"/>
          <w:color w:val="191919"/>
          <w:sz w:val="22"/>
          <w:szCs w:val="22"/>
        </w:rPr>
        <w:t xml:space="preserve"> </w:t>
      </w:r>
      <w:r w:rsidRPr="00E01239">
        <w:rPr>
          <w:rFonts w:asciiTheme="minorHAnsi" w:hAnsiTheme="minorHAnsi" w:cstheme="minorHAnsi"/>
          <w:sz w:val="22"/>
          <w:szCs w:val="22"/>
        </w:rPr>
        <w:t>est l'envoi de messages électroniques à contenu indécent à un destinataire que l'expéditeur croit être mineur, avec l'intention d'inciter le destinataire à se livrer ou à se soumettre à une activité sexuelle, y compris mais pas nécessairement l'expéditeur</w:t>
      </w:r>
      <w:r w:rsidRPr="00E01239">
        <w:rPr>
          <w:rStyle w:val="Appelnotedebasdep"/>
          <w:rFonts w:asciiTheme="minorHAnsi" w:hAnsiTheme="minorHAnsi" w:cstheme="minorHAnsi"/>
          <w:color w:val="191919"/>
          <w:sz w:val="22"/>
          <w:szCs w:val="22"/>
        </w:rPr>
        <w:footnoteReference w:id="11"/>
      </w:r>
      <w:r w:rsidRPr="00E01239">
        <w:rPr>
          <w:rFonts w:asciiTheme="minorHAnsi" w:hAnsiTheme="minorHAnsi" w:cstheme="minorHAnsi"/>
          <w:sz w:val="22"/>
          <w:szCs w:val="22"/>
        </w:rPr>
        <w:t>.</w:t>
      </w:r>
    </w:p>
    <w:p w14:paraId="285C79C0" w14:textId="77777777" w:rsidR="00477A61" w:rsidRPr="00E01239" w:rsidRDefault="00477A61" w:rsidP="00477A61">
      <w:pPr>
        <w:autoSpaceDE w:val="0"/>
        <w:autoSpaceDN w:val="0"/>
        <w:adjustRightInd w:val="0"/>
        <w:spacing w:before="240"/>
        <w:jc w:val="both"/>
        <w:rPr>
          <w:rFonts w:asciiTheme="minorHAnsi" w:hAnsiTheme="minorHAnsi" w:cstheme="minorHAnsi"/>
          <w:sz w:val="22"/>
          <w:szCs w:val="22"/>
        </w:rPr>
      </w:pPr>
      <w:r w:rsidRPr="00E01239">
        <w:rPr>
          <w:rFonts w:asciiTheme="minorHAnsi" w:hAnsiTheme="minorHAnsi" w:cstheme="minorHAnsi"/>
          <w:b/>
          <w:sz w:val="22"/>
          <w:szCs w:val="22"/>
        </w:rPr>
        <w:t>Mesures de responsabilité et confidentialité</w:t>
      </w:r>
      <w:r w:rsidRPr="00E01239">
        <w:rPr>
          <w:rFonts w:asciiTheme="minorHAnsi" w:hAnsiTheme="minorHAnsi" w:cstheme="minorHAnsi"/>
          <w:sz w:val="22"/>
          <w:szCs w:val="22"/>
        </w:rPr>
        <w:t xml:space="preserve"> : les mesures instituées pour assurer la confidentialité des survivant(e)s et pour tenir les contractuels, les consultants et le client, responsables de la mise en place d'un système équitable de traitement des cas de VBG et de VCE. </w:t>
      </w:r>
    </w:p>
    <w:p w14:paraId="7EB791AA" w14:textId="77777777" w:rsidR="00477A61" w:rsidRPr="00E01239" w:rsidRDefault="00477A61" w:rsidP="00477A61">
      <w:pPr>
        <w:autoSpaceDE w:val="0"/>
        <w:autoSpaceDN w:val="0"/>
        <w:adjustRightInd w:val="0"/>
        <w:spacing w:before="240"/>
        <w:jc w:val="both"/>
        <w:rPr>
          <w:rFonts w:asciiTheme="minorHAnsi" w:hAnsiTheme="minorHAnsi" w:cstheme="minorHAnsi"/>
          <w:sz w:val="22"/>
          <w:szCs w:val="22"/>
        </w:rPr>
      </w:pPr>
      <w:r w:rsidRPr="00E01239">
        <w:rPr>
          <w:rFonts w:asciiTheme="minorHAnsi" w:hAnsiTheme="minorHAnsi" w:cstheme="minorHAnsi"/>
          <w:b/>
          <w:sz w:val="22"/>
          <w:szCs w:val="22"/>
        </w:rPr>
        <w:t>Plan de gestion environnementale et sociale de l’entrepreneur (E-PGES)</w:t>
      </w:r>
      <w:r w:rsidRPr="00E01239">
        <w:rPr>
          <w:rFonts w:asciiTheme="minorHAnsi" w:hAnsiTheme="minorHAnsi" w:cstheme="minorHAnsi"/>
          <w:sz w:val="22"/>
          <w:szCs w:val="22"/>
        </w:rPr>
        <w:t xml:space="preserve"> : le plan préparé par l'entrepreneur qui décrit la façon dont il exécutera les activités des travaux conformément au plan de gestion environnementale et sociale (PGES) du projet.</w:t>
      </w:r>
    </w:p>
    <w:p w14:paraId="635C1B92" w14:textId="77777777" w:rsidR="00477A61" w:rsidRPr="00E01239" w:rsidRDefault="00477A61" w:rsidP="00477A61">
      <w:pPr>
        <w:spacing w:before="240"/>
        <w:jc w:val="both"/>
        <w:rPr>
          <w:rFonts w:asciiTheme="minorHAnsi" w:hAnsiTheme="minorHAnsi" w:cstheme="minorHAnsi"/>
          <w:b/>
          <w:sz w:val="22"/>
          <w:szCs w:val="22"/>
        </w:rPr>
      </w:pPr>
      <w:r w:rsidRPr="00E01239">
        <w:rPr>
          <w:rFonts w:asciiTheme="minorHAnsi" w:hAnsiTheme="minorHAnsi" w:cstheme="minorHAnsi"/>
          <w:b/>
          <w:sz w:val="22"/>
          <w:szCs w:val="22"/>
        </w:rPr>
        <w:t>Enfant</w:t>
      </w:r>
      <w:r w:rsidRPr="00E01239">
        <w:rPr>
          <w:rFonts w:asciiTheme="minorHAnsi" w:hAnsiTheme="minorHAnsi" w:cstheme="minorHAnsi"/>
          <w:sz w:val="22"/>
          <w:szCs w:val="22"/>
        </w:rPr>
        <w:t xml:space="preserve"> : terme utilisé de façon interchangeable avec le terme « mineur » qui désigne une personne âgée de moins de 18 ans. Ceci est conforme à l'article 1</w:t>
      </w:r>
      <w:r w:rsidRPr="00E01239">
        <w:rPr>
          <w:rFonts w:asciiTheme="minorHAnsi" w:hAnsiTheme="minorHAnsi" w:cstheme="minorHAnsi"/>
          <w:sz w:val="22"/>
          <w:szCs w:val="22"/>
          <w:vertAlign w:val="superscript"/>
        </w:rPr>
        <w:t>er</w:t>
      </w:r>
      <w:r w:rsidRPr="00E01239">
        <w:rPr>
          <w:rFonts w:asciiTheme="minorHAnsi" w:hAnsiTheme="minorHAnsi" w:cstheme="minorHAnsi"/>
          <w:sz w:val="22"/>
          <w:szCs w:val="22"/>
        </w:rPr>
        <w:t xml:space="preserve"> de la Convention des Nations Unies relative aux droits de l'enfant</w:t>
      </w:r>
      <w:r w:rsidRPr="00E01239">
        <w:rPr>
          <w:rFonts w:asciiTheme="minorHAnsi" w:hAnsiTheme="minorHAnsi" w:cstheme="minorHAnsi"/>
          <w:color w:val="191919"/>
          <w:sz w:val="22"/>
          <w:szCs w:val="22"/>
        </w:rPr>
        <w:t xml:space="preserve">. </w:t>
      </w:r>
    </w:p>
    <w:p w14:paraId="5F9A90C5" w14:textId="77777777" w:rsidR="00477A61" w:rsidRPr="00E01239" w:rsidRDefault="00477A61" w:rsidP="00477A61">
      <w:pPr>
        <w:spacing w:before="240"/>
        <w:jc w:val="both"/>
        <w:rPr>
          <w:rFonts w:asciiTheme="minorHAnsi" w:hAnsiTheme="minorHAnsi" w:cstheme="minorHAnsi"/>
          <w:b/>
          <w:sz w:val="22"/>
          <w:szCs w:val="22"/>
        </w:rPr>
      </w:pPr>
      <w:r w:rsidRPr="00E01239">
        <w:rPr>
          <w:rFonts w:asciiTheme="minorHAnsi" w:hAnsiTheme="minorHAnsi" w:cstheme="minorHAnsi"/>
          <w:b/>
          <w:sz w:val="22"/>
          <w:szCs w:val="22"/>
        </w:rPr>
        <w:t xml:space="preserve">Protection de l’enfant : </w:t>
      </w:r>
      <w:r w:rsidRPr="00E01239">
        <w:rPr>
          <w:rFonts w:asciiTheme="minorHAnsi" w:eastAsia="Calibri" w:hAnsiTheme="minorHAnsi" w:cstheme="minorHAnsi"/>
          <w:sz w:val="22"/>
          <w:szCs w:val="22"/>
        </w:rPr>
        <w:t xml:space="preserve">activité ou initiative visant à protéger les enfants de toute forme de préjudice, en particulier découlant de la VCE. </w:t>
      </w:r>
    </w:p>
    <w:p w14:paraId="47B0C283"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sz w:val="22"/>
          <w:szCs w:val="22"/>
        </w:rPr>
        <w:t>Consentement</w:t>
      </w:r>
      <w:r w:rsidRPr="00E01239">
        <w:rPr>
          <w:rFonts w:asciiTheme="minorHAnsi" w:hAnsiTheme="minorHAnsi" w:cstheme="minorHAnsi"/>
          <w:sz w:val="22"/>
          <w:szCs w:val="22"/>
        </w:rPr>
        <w:t xml:space="preserve"> : est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w:t>
      </w:r>
      <w:r w:rsidRPr="00E01239">
        <w:rPr>
          <w:rStyle w:val="Appelnotedebasdep"/>
          <w:rFonts w:asciiTheme="minorHAnsi" w:hAnsiTheme="minorHAnsi" w:cstheme="minorHAnsi"/>
          <w:sz w:val="22"/>
          <w:szCs w:val="22"/>
        </w:rPr>
        <w:footnoteReference w:id="12"/>
      </w:r>
      <w:r w:rsidRPr="00E01239">
        <w:rPr>
          <w:rFonts w:asciiTheme="minorHAnsi" w:hAnsiTheme="minorHAnsi" w:cstheme="minorHAnsi"/>
          <w:sz w:val="22"/>
          <w:szCs w:val="22"/>
        </w:rPr>
        <w:t xml:space="preserve">. La méconnaissance de l'âge de l'enfant et le consentement de celui-ci ne peuvent être invoqués comme moyen de défense. </w:t>
      </w:r>
    </w:p>
    <w:p w14:paraId="6322F979"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sz w:val="22"/>
          <w:szCs w:val="22"/>
        </w:rPr>
        <w:lastRenderedPageBreak/>
        <w:t xml:space="preserve">Consultant : </w:t>
      </w:r>
      <w:r w:rsidRPr="00E01239">
        <w:rPr>
          <w:rFonts w:asciiTheme="minorHAnsi" w:hAnsiTheme="minorHAnsi" w:cstheme="minorHAnsi"/>
          <w:sz w:val="22"/>
          <w:szCs w:val="22"/>
        </w:rPr>
        <w:t>toute entreprise, société, organisation ou autre institution qui a obtenu un contrat pour fournir des services de consultance dans le cadre du projet et qui a embauché des gestionnaires et/ou des employés pour effectuer ce travail.</w:t>
      </w:r>
    </w:p>
    <w:p w14:paraId="4FC987A6"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sz w:val="22"/>
          <w:szCs w:val="22"/>
        </w:rPr>
        <w:t xml:space="preserve">Entrepreneur : </w:t>
      </w:r>
      <w:r w:rsidRPr="00E01239">
        <w:rPr>
          <w:rFonts w:asciiTheme="minorHAnsi" w:hAnsiTheme="minorHAnsi" w:cstheme="minorHAnsi"/>
          <w:sz w:val="22"/>
          <w:szCs w:val="22"/>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l’entrepreneur.</w:t>
      </w:r>
    </w:p>
    <w:p w14:paraId="0165CC57"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sz w:val="22"/>
          <w:szCs w:val="22"/>
        </w:rPr>
        <w:t>Employé</w:t>
      </w:r>
      <w:r w:rsidRPr="00E01239">
        <w:rPr>
          <w:rFonts w:asciiTheme="minorHAnsi" w:hAnsiTheme="minorHAnsi" w:cstheme="minorHAnsi"/>
          <w:sz w:val="22"/>
          <w:szCs w:val="22"/>
        </w:rPr>
        <w:t xml:space="preserve"> : toute personne qui offre de la main-d'œuvre à l'entrepreneur ou au consultant dans le pays, sur le site du projet ou à l'extérieur, en vertu d'un contrat ou d'un accord de travail contre un salaire, exécuté de manière formelle ou informelle (y compris les stagiaires non rémunérés et les bénévoles), sans responsabilité de gestion ou de supervision d'autres employés.</w:t>
      </w:r>
    </w:p>
    <w:p w14:paraId="395CE1B3" w14:textId="77777777" w:rsidR="00477A61" w:rsidRPr="00E01239" w:rsidRDefault="00477A61" w:rsidP="00477A61">
      <w:pPr>
        <w:autoSpaceDE w:val="0"/>
        <w:autoSpaceDN w:val="0"/>
        <w:adjustRightInd w:val="0"/>
        <w:spacing w:before="240"/>
        <w:jc w:val="both"/>
        <w:rPr>
          <w:rFonts w:asciiTheme="minorHAnsi" w:hAnsiTheme="minorHAnsi" w:cstheme="minorHAnsi"/>
          <w:sz w:val="22"/>
          <w:szCs w:val="22"/>
        </w:rPr>
      </w:pPr>
      <w:r w:rsidRPr="00E01239">
        <w:rPr>
          <w:rFonts w:asciiTheme="minorHAnsi" w:hAnsiTheme="minorHAnsi" w:cstheme="minorHAnsi"/>
          <w:b/>
          <w:sz w:val="22"/>
          <w:szCs w:val="22"/>
        </w:rPr>
        <w:t>Procédure d’allégation d’incidents de VBG et de VCE :</w:t>
      </w:r>
      <w:r w:rsidRPr="00E01239">
        <w:rPr>
          <w:rFonts w:asciiTheme="minorHAnsi" w:hAnsiTheme="minorHAnsi" w:cstheme="minorHAnsi"/>
          <w:sz w:val="22"/>
          <w:szCs w:val="22"/>
        </w:rPr>
        <w:t xml:space="preserve"> procédure prescrite pour signaler les incidents de VBG ou VCE.</w:t>
      </w:r>
    </w:p>
    <w:p w14:paraId="3B4B5D6E" w14:textId="77777777" w:rsidR="00477A61" w:rsidRPr="00E01239" w:rsidRDefault="00477A61" w:rsidP="00477A61">
      <w:pPr>
        <w:autoSpaceDE w:val="0"/>
        <w:autoSpaceDN w:val="0"/>
        <w:adjustRightInd w:val="0"/>
        <w:spacing w:before="240"/>
        <w:jc w:val="both"/>
        <w:rPr>
          <w:rFonts w:asciiTheme="minorHAnsi" w:hAnsiTheme="minorHAnsi" w:cstheme="minorHAnsi"/>
          <w:sz w:val="22"/>
          <w:szCs w:val="22"/>
        </w:rPr>
      </w:pPr>
      <w:r w:rsidRPr="00E01239">
        <w:rPr>
          <w:rFonts w:asciiTheme="minorHAnsi" w:hAnsiTheme="minorHAnsi" w:cstheme="minorHAnsi"/>
          <w:b/>
          <w:sz w:val="22"/>
          <w:szCs w:val="22"/>
        </w:rPr>
        <w:t>Code de conduite concernant les VBG et les VCE :</w:t>
      </w:r>
      <w:r w:rsidRPr="00E01239">
        <w:rPr>
          <w:rFonts w:asciiTheme="minorHAnsi" w:hAnsiTheme="minorHAnsi" w:cstheme="minorHAnsi"/>
          <w:sz w:val="22"/>
          <w:szCs w:val="22"/>
        </w:rPr>
        <w:t xml:space="preserve"> Code de conduite adopté pour le projet couvrant l’engagement de l’entreprise et la responsabilité des gestionnaires et des individus concernant les VBG et les VCE.</w:t>
      </w:r>
    </w:p>
    <w:p w14:paraId="554C1C40" w14:textId="77777777" w:rsidR="00477A61" w:rsidRPr="00E01239" w:rsidRDefault="00477A61" w:rsidP="00477A61">
      <w:pPr>
        <w:autoSpaceDE w:val="0"/>
        <w:autoSpaceDN w:val="0"/>
        <w:adjustRightInd w:val="0"/>
        <w:spacing w:before="240"/>
        <w:jc w:val="both"/>
        <w:rPr>
          <w:rFonts w:asciiTheme="minorHAnsi" w:hAnsiTheme="minorHAnsi" w:cstheme="minorHAnsi"/>
          <w:sz w:val="22"/>
          <w:szCs w:val="22"/>
        </w:rPr>
      </w:pPr>
      <w:r w:rsidRPr="00E01239">
        <w:rPr>
          <w:rFonts w:asciiTheme="minorHAnsi" w:hAnsiTheme="minorHAnsi" w:cstheme="minorHAnsi"/>
          <w:b/>
          <w:sz w:val="22"/>
          <w:szCs w:val="22"/>
        </w:rPr>
        <w:t>Équipe de conformité VBG et la VCE (EC) :</w:t>
      </w:r>
      <w:r w:rsidRPr="00E01239">
        <w:rPr>
          <w:rFonts w:asciiTheme="minorHAnsi" w:hAnsiTheme="minorHAnsi" w:cstheme="minorHAnsi"/>
          <w:sz w:val="22"/>
          <w:szCs w:val="22"/>
        </w:rPr>
        <w:t xml:space="preserve"> une équipe mise en place par le projet pour régler les questions de GBV et VCE.</w:t>
      </w:r>
    </w:p>
    <w:p w14:paraId="63E4B48A"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sz w:val="22"/>
          <w:szCs w:val="22"/>
        </w:rPr>
        <w:t xml:space="preserve">Mécanisme de gestion des plaintes et des doléances (MGP) </w:t>
      </w:r>
      <w:r w:rsidRPr="00E01239">
        <w:rPr>
          <w:rFonts w:asciiTheme="minorHAnsi" w:hAnsiTheme="minorHAnsi" w:cstheme="minorHAnsi"/>
          <w:sz w:val="22"/>
          <w:szCs w:val="22"/>
        </w:rPr>
        <w:t xml:space="preserve">: le processus établi par un projet pour recevoir et traiter les plaintes. </w:t>
      </w:r>
    </w:p>
    <w:p w14:paraId="57EF048C"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sz w:val="22"/>
          <w:szCs w:val="22"/>
        </w:rPr>
        <w:t>Gestionnaire</w:t>
      </w:r>
      <w:r w:rsidRPr="00E01239">
        <w:rPr>
          <w:rFonts w:asciiTheme="minorHAnsi" w:hAnsiTheme="minorHAnsi" w:cstheme="minorHAnsi"/>
          <w:sz w:val="22"/>
          <w:szCs w:val="22"/>
        </w:rPr>
        <w:t xml:space="preserve"> : toute personne offrant de la main-d'œuvre à un entrepreneur ou à un consultant, sur le chantier ou à l'extérieur, en vertu d'un contrat de travail formel ou informel et en échange d'un salaire, avec la responsabilité de contrôle ou de direction des activités de l'équipe, de l'unité, de la division ou similaire d'un entrepreneur ou consultant et avec la responsabilité de superviser et gérer un nombre prédéfini d’employés.</w:t>
      </w:r>
    </w:p>
    <w:p w14:paraId="078E56B7" w14:textId="77777777" w:rsidR="00477A61" w:rsidRPr="00E01239" w:rsidRDefault="00477A61" w:rsidP="00477A61">
      <w:pPr>
        <w:autoSpaceDE w:val="0"/>
        <w:autoSpaceDN w:val="0"/>
        <w:adjustRightInd w:val="0"/>
        <w:spacing w:before="240"/>
        <w:jc w:val="both"/>
        <w:rPr>
          <w:rFonts w:asciiTheme="minorHAnsi" w:hAnsiTheme="minorHAnsi" w:cstheme="minorHAnsi"/>
          <w:sz w:val="22"/>
          <w:szCs w:val="22"/>
        </w:rPr>
      </w:pPr>
      <w:r w:rsidRPr="00E01239">
        <w:rPr>
          <w:rFonts w:asciiTheme="minorHAnsi" w:hAnsiTheme="minorHAnsi" w:cstheme="minorHAnsi"/>
          <w:b/>
          <w:sz w:val="22"/>
          <w:szCs w:val="22"/>
        </w:rPr>
        <w:t>Auteur :</w:t>
      </w:r>
      <w:r w:rsidRPr="00E01239">
        <w:rPr>
          <w:rFonts w:asciiTheme="minorHAnsi" w:hAnsiTheme="minorHAnsi" w:cstheme="minorHAnsi"/>
          <w:sz w:val="22"/>
          <w:szCs w:val="22"/>
        </w:rPr>
        <w:t xml:space="preserve"> la ou les personne(s) qui commettent ou menacent de commettre un acte ou des actes de VGB ou de VCE.</w:t>
      </w:r>
    </w:p>
    <w:p w14:paraId="7AA15483" w14:textId="77777777" w:rsidR="00477A61" w:rsidRPr="00E01239" w:rsidRDefault="00477A61" w:rsidP="00477A61">
      <w:pPr>
        <w:autoSpaceDE w:val="0"/>
        <w:autoSpaceDN w:val="0"/>
        <w:adjustRightInd w:val="0"/>
        <w:spacing w:before="240"/>
        <w:jc w:val="both"/>
        <w:rPr>
          <w:rFonts w:asciiTheme="minorHAnsi" w:hAnsiTheme="minorHAnsi" w:cstheme="minorHAnsi"/>
          <w:sz w:val="22"/>
          <w:szCs w:val="22"/>
        </w:rPr>
      </w:pPr>
      <w:r w:rsidRPr="00E01239">
        <w:rPr>
          <w:rFonts w:asciiTheme="minorHAnsi" w:hAnsiTheme="minorHAnsi" w:cstheme="minorHAnsi"/>
          <w:b/>
          <w:sz w:val="22"/>
          <w:szCs w:val="22"/>
        </w:rPr>
        <w:t>Protocole d’intervention :</w:t>
      </w:r>
      <w:r w:rsidRPr="00E01239">
        <w:rPr>
          <w:rFonts w:asciiTheme="minorHAnsi" w:hAnsiTheme="minorHAnsi" w:cstheme="minorHAnsi"/>
          <w:sz w:val="22"/>
          <w:szCs w:val="22"/>
        </w:rPr>
        <w:t xml:space="preserve"> mécanismes mis en place pour intervenir dans les cas de VBG et de VCE (voir Section 4.7 Protocole d’intervention).</w:t>
      </w:r>
    </w:p>
    <w:p w14:paraId="1A3421F9" w14:textId="77777777" w:rsidR="00477A61" w:rsidRPr="00E01239" w:rsidRDefault="00477A61" w:rsidP="00477A61">
      <w:pPr>
        <w:spacing w:before="240"/>
        <w:jc w:val="both"/>
        <w:rPr>
          <w:rFonts w:asciiTheme="minorHAnsi" w:hAnsiTheme="minorHAnsi" w:cstheme="minorHAnsi"/>
          <w:b/>
          <w:sz w:val="22"/>
          <w:szCs w:val="22"/>
        </w:rPr>
      </w:pPr>
      <w:r w:rsidRPr="00E01239">
        <w:rPr>
          <w:rFonts w:asciiTheme="minorHAnsi" w:hAnsiTheme="minorHAnsi" w:cstheme="minorHAnsi"/>
          <w:b/>
          <w:sz w:val="22"/>
          <w:szCs w:val="22"/>
        </w:rPr>
        <w:t>Survivant/e</w:t>
      </w:r>
      <w:r w:rsidRPr="00E01239" w:rsidDel="000847C9">
        <w:rPr>
          <w:rFonts w:asciiTheme="minorHAnsi" w:hAnsiTheme="minorHAnsi" w:cstheme="minorHAnsi"/>
          <w:b/>
          <w:sz w:val="22"/>
          <w:szCs w:val="22"/>
        </w:rPr>
        <w:t xml:space="preserve"> </w:t>
      </w:r>
      <w:r w:rsidRPr="00E01239">
        <w:rPr>
          <w:rFonts w:asciiTheme="minorHAnsi" w:hAnsiTheme="minorHAnsi" w:cstheme="minorHAnsi"/>
          <w:b/>
          <w:sz w:val="22"/>
          <w:szCs w:val="22"/>
        </w:rPr>
        <w:t xml:space="preserve">(s) : </w:t>
      </w:r>
      <w:r w:rsidRPr="00E01239">
        <w:rPr>
          <w:rFonts w:asciiTheme="minorHAnsi" w:hAnsiTheme="minorHAnsi" w:cstheme="minorHAnsi"/>
          <w:sz w:val="22"/>
          <w:szCs w:val="22"/>
        </w:rPr>
        <w:t xml:space="preserve">la ou les personnes négativement touchées par la VBG ou la VCE. Les femmes, les hommes et les enfants peuvent être des survivant(e)s de VBG ; seulement les enfants peuvent être des survivant(e)s de VCE. </w:t>
      </w:r>
    </w:p>
    <w:p w14:paraId="5D081503"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sz w:val="22"/>
          <w:szCs w:val="22"/>
        </w:rPr>
        <w:t xml:space="preserve">Chantier : </w:t>
      </w:r>
      <w:r w:rsidRPr="00E01239">
        <w:rPr>
          <w:rFonts w:asciiTheme="minorHAnsi" w:hAnsiTheme="minorHAnsi" w:cstheme="minorHAnsi"/>
          <w:sz w:val="22"/>
          <w:szCs w:val="22"/>
        </w:rPr>
        <w:t>endroit où se déroulent les travaux de développement de l’infrastructure au titre du projet. Les missions de consultance sont considérées comme ayant pour chantier les endroits où elles se déroulent.</w:t>
      </w:r>
    </w:p>
    <w:p w14:paraId="1A1AFFD7" w14:textId="77777777" w:rsidR="00477A61" w:rsidRPr="00E01239" w:rsidRDefault="00477A61" w:rsidP="00477A61">
      <w:pPr>
        <w:spacing w:before="240"/>
        <w:jc w:val="both"/>
        <w:rPr>
          <w:rFonts w:asciiTheme="minorHAnsi" w:hAnsiTheme="minorHAnsi" w:cstheme="minorHAnsi"/>
          <w:sz w:val="22"/>
          <w:szCs w:val="22"/>
        </w:rPr>
      </w:pPr>
      <w:r w:rsidRPr="00E01239">
        <w:rPr>
          <w:rFonts w:asciiTheme="minorHAnsi" w:hAnsiTheme="minorHAnsi" w:cstheme="minorHAnsi"/>
          <w:b/>
          <w:sz w:val="22"/>
          <w:szCs w:val="22"/>
        </w:rPr>
        <w:t>Environnement du chantier :</w:t>
      </w:r>
      <w:r w:rsidRPr="00E01239">
        <w:rPr>
          <w:rFonts w:asciiTheme="minorHAnsi" w:hAnsiTheme="minorHAnsi" w:cstheme="minorHAnsi"/>
          <w:sz w:val="22"/>
          <w:szCs w:val="22"/>
        </w:rPr>
        <w:t xml:space="preserve"> la « zone d’influence du projet » qui est tout endroit, urbain ou rural, directement touché par le projet, y compris les établissements humains.</w:t>
      </w:r>
    </w:p>
    <w:p w14:paraId="18D5963A" w14:textId="77777777" w:rsidR="00477A61" w:rsidRPr="00E01239" w:rsidRDefault="00477A61" w:rsidP="00477A61">
      <w:pPr>
        <w:autoSpaceDE w:val="0"/>
        <w:autoSpaceDN w:val="0"/>
        <w:adjustRightInd w:val="0"/>
        <w:jc w:val="both"/>
        <w:rPr>
          <w:rFonts w:asciiTheme="minorHAnsi" w:hAnsiTheme="minorHAnsi" w:cstheme="minorHAnsi"/>
          <w:color w:val="2F5496"/>
          <w:sz w:val="22"/>
          <w:szCs w:val="22"/>
        </w:rPr>
      </w:pPr>
    </w:p>
    <w:p w14:paraId="54F0EE9C" w14:textId="77777777" w:rsidR="00477A61" w:rsidRPr="00E01239" w:rsidRDefault="00477A61" w:rsidP="002A19B3">
      <w:pPr>
        <w:numPr>
          <w:ilvl w:val="1"/>
          <w:numId w:val="68"/>
        </w:numPr>
        <w:spacing w:line="360" w:lineRule="exact"/>
        <w:ind w:left="1134" w:hanging="567"/>
        <w:rPr>
          <w:rFonts w:asciiTheme="minorHAnsi" w:hAnsiTheme="minorHAnsi" w:cstheme="minorHAnsi"/>
          <w:sz w:val="22"/>
          <w:szCs w:val="22"/>
        </w:rPr>
      </w:pPr>
      <w:bookmarkStart w:id="1393" w:name="_Toc532302989"/>
      <w:r w:rsidRPr="00E01239">
        <w:rPr>
          <w:rFonts w:asciiTheme="minorHAnsi" w:hAnsiTheme="minorHAnsi" w:cstheme="minorHAnsi"/>
          <w:b/>
          <w:sz w:val="22"/>
          <w:szCs w:val="22"/>
        </w:rPr>
        <w:t>Codes de conduite</w:t>
      </w:r>
      <w:bookmarkEnd w:id="1393"/>
      <w:r w:rsidRPr="00E01239">
        <w:rPr>
          <w:rFonts w:asciiTheme="minorHAnsi" w:hAnsiTheme="minorHAnsi" w:cstheme="minorHAnsi"/>
          <w:b/>
          <w:sz w:val="22"/>
          <w:szCs w:val="22"/>
        </w:rPr>
        <w:t xml:space="preserve"> </w:t>
      </w:r>
    </w:p>
    <w:p w14:paraId="39FEB1B6" w14:textId="77777777" w:rsidR="00477A61" w:rsidRPr="00E01239" w:rsidRDefault="00477A61" w:rsidP="00477A61">
      <w:pPr>
        <w:rPr>
          <w:rFonts w:asciiTheme="minorHAnsi" w:hAnsiTheme="minorHAnsi" w:cstheme="minorHAnsi"/>
          <w:sz w:val="22"/>
          <w:szCs w:val="22"/>
        </w:rPr>
      </w:pPr>
    </w:p>
    <w:p w14:paraId="7AF46130"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lastRenderedPageBreak/>
        <w:t>Ce chapitre présente trois Codes de Conduite à utiliser :</w:t>
      </w:r>
    </w:p>
    <w:p w14:paraId="0C4178FC" w14:textId="77777777" w:rsidR="00477A61" w:rsidRPr="00E01239" w:rsidRDefault="00477A61" w:rsidP="00477A61">
      <w:pPr>
        <w:jc w:val="both"/>
        <w:rPr>
          <w:rFonts w:asciiTheme="minorHAnsi" w:hAnsiTheme="minorHAnsi" w:cstheme="minorHAnsi"/>
          <w:sz w:val="22"/>
          <w:szCs w:val="22"/>
        </w:rPr>
      </w:pPr>
    </w:p>
    <w:p w14:paraId="46CB097A" w14:textId="77777777" w:rsidR="00477A61" w:rsidRPr="00E01239" w:rsidRDefault="00477A61" w:rsidP="002A19B3">
      <w:pPr>
        <w:pStyle w:val="Paragraphedeliste"/>
        <w:numPr>
          <w:ilvl w:val="0"/>
          <w:numId w:val="90"/>
        </w:numPr>
        <w:ind w:left="567"/>
        <w:jc w:val="both"/>
        <w:rPr>
          <w:rFonts w:asciiTheme="minorHAnsi" w:hAnsiTheme="minorHAnsi" w:cstheme="minorHAnsi"/>
          <w:sz w:val="22"/>
          <w:szCs w:val="22"/>
        </w:rPr>
      </w:pPr>
      <w:r w:rsidRPr="00E01239">
        <w:rPr>
          <w:rFonts w:asciiTheme="minorHAnsi" w:hAnsiTheme="minorHAnsi" w:cstheme="minorHAnsi"/>
          <w:b/>
          <w:sz w:val="22"/>
          <w:szCs w:val="22"/>
        </w:rPr>
        <w:t xml:space="preserve">Code de conduite de l’entreprise : </w:t>
      </w:r>
      <w:r w:rsidRPr="00E01239">
        <w:rPr>
          <w:rFonts w:asciiTheme="minorHAnsi" w:hAnsiTheme="minorHAnsi" w:cstheme="minorHAnsi"/>
          <w:sz w:val="22"/>
          <w:szCs w:val="22"/>
        </w:rPr>
        <w:t xml:space="preserve">Engage l’entreprise à aborder les questions de VBG et de VCE ; </w:t>
      </w:r>
    </w:p>
    <w:p w14:paraId="7637746B" w14:textId="77777777" w:rsidR="00477A61" w:rsidRPr="00E01239" w:rsidRDefault="00477A61" w:rsidP="002A19B3">
      <w:pPr>
        <w:pStyle w:val="Paragraphedeliste"/>
        <w:numPr>
          <w:ilvl w:val="0"/>
          <w:numId w:val="90"/>
        </w:numPr>
        <w:ind w:left="567"/>
        <w:jc w:val="both"/>
        <w:rPr>
          <w:rFonts w:asciiTheme="minorHAnsi" w:hAnsiTheme="minorHAnsi" w:cstheme="minorHAnsi"/>
          <w:sz w:val="22"/>
          <w:szCs w:val="22"/>
        </w:rPr>
      </w:pPr>
      <w:r w:rsidRPr="00E01239">
        <w:rPr>
          <w:rFonts w:asciiTheme="minorHAnsi" w:hAnsiTheme="minorHAnsi" w:cstheme="minorHAnsi"/>
          <w:b/>
          <w:sz w:val="22"/>
          <w:szCs w:val="22"/>
        </w:rPr>
        <w:t>Code de conduite du gestionnaire :</w:t>
      </w:r>
      <w:r w:rsidRPr="00E01239">
        <w:rPr>
          <w:rFonts w:asciiTheme="minorHAnsi" w:hAnsiTheme="minorHAnsi" w:cstheme="minorHAnsi"/>
          <w:sz w:val="22"/>
          <w:szCs w:val="22"/>
        </w:rPr>
        <w:t xml:space="preserve"> Engage les gestionnaires à mettre en œuvre le Code de conduite de l’entreprise, y compris ceux que qui sont signés par les individus ; et</w:t>
      </w:r>
    </w:p>
    <w:p w14:paraId="487A2AAD" w14:textId="77777777" w:rsidR="00477A61" w:rsidRPr="00E01239" w:rsidRDefault="00477A61" w:rsidP="002A19B3">
      <w:pPr>
        <w:pStyle w:val="Paragraphedeliste"/>
        <w:numPr>
          <w:ilvl w:val="0"/>
          <w:numId w:val="90"/>
        </w:numPr>
        <w:ind w:left="567"/>
        <w:jc w:val="both"/>
        <w:rPr>
          <w:rFonts w:asciiTheme="minorHAnsi" w:hAnsiTheme="minorHAnsi" w:cstheme="minorHAnsi"/>
          <w:sz w:val="22"/>
          <w:szCs w:val="22"/>
        </w:rPr>
      </w:pPr>
      <w:r w:rsidRPr="00E01239">
        <w:rPr>
          <w:rFonts w:asciiTheme="minorHAnsi" w:hAnsiTheme="minorHAnsi" w:cstheme="minorHAnsi"/>
          <w:b/>
          <w:sz w:val="22"/>
          <w:szCs w:val="22"/>
        </w:rPr>
        <w:t>Code de conduite individuel :</w:t>
      </w:r>
      <w:r w:rsidRPr="00E01239">
        <w:rPr>
          <w:rFonts w:asciiTheme="minorHAnsi" w:hAnsiTheme="minorHAnsi" w:cstheme="minorHAnsi"/>
          <w:sz w:val="22"/>
          <w:szCs w:val="22"/>
        </w:rPr>
        <w:t xml:space="preserve"> Code de conduite pour toute personne travaillant sur le projet, y compris les gestionnaires. </w:t>
      </w:r>
    </w:p>
    <w:p w14:paraId="11C407CA" w14:textId="77777777" w:rsidR="00477A61" w:rsidRPr="00E01239" w:rsidRDefault="00477A61" w:rsidP="00477A61">
      <w:pPr>
        <w:rPr>
          <w:rFonts w:asciiTheme="minorHAnsi" w:hAnsiTheme="minorHAnsi" w:cstheme="minorHAnsi"/>
          <w:b/>
          <w:sz w:val="22"/>
          <w:szCs w:val="22"/>
        </w:rPr>
      </w:pPr>
      <w:r w:rsidRPr="00E01239">
        <w:rPr>
          <w:rFonts w:asciiTheme="minorHAnsi" w:hAnsiTheme="minorHAnsi" w:cstheme="minorHAnsi"/>
          <w:b/>
          <w:sz w:val="22"/>
          <w:szCs w:val="22"/>
        </w:rPr>
        <w:br w:type="page"/>
      </w:r>
    </w:p>
    <w:p w14:paraId="286B9B2A" w14:textId="77777777" w:rsidR="00477A61" w:rsidRPr="00E01239" w:rsidRDefault="00477A61" w:rsidP="00477A61">
      <w:pPr>
        <w:pBdr>
          <w:bottom w:val="single" w:sz="4" w:space="1" w:color="A6A6A6"/>
        </w:pBdr>
        <w:jc w:val="center"/>
        <w:rPr>
          <w:rFonts w:asciiTheme="minorHAnsi" w:hAnsiTheme="minorHAnsi" w:cstheme="minorHAnsi"/>
          <w:b/>
          <w:bCs/>
          <w:color w:val="00B0F0"/>
          <w:sz w:val="22"/>
          <w:szCs w:val="22"/>
        </w:rPr>
      </w:pPr>
      <w:bookmarkStart w:id="1394" w:name="_Toc532302990"/>
      <w:r w:rsidRPr="00E01239">
        <w:rPr>
          <w:rFonts w:asciiTheme="minorHAnsi" w:hAnsiTheme="minorHAnsi" w:cstheme="minorHAnsi"/>
          <w:b/>
          <w:bCs/>
          <w:color w:val="00B0F0"/>
          <w:sz w:val="22"/>
          <w:szCs w:val="22"/>
        </w:rPr>
        <w:lastRenderedPageBreak/>
        <w:t>Code de conduite de l’entreprise</w:t>
      </w:r>
      <w:bookmarkEnd w:id="1394"/>
    </w:p>
    <w:p w14:paraId="432C5860" w14:textId="77777777" w:rsidR="00477A61" w:rsidRPr="00E01239" w:rsidRDefault="00477A61" w:rsidP="00477A61">
      <w:pPr>
        <w:jc w:val="both"/>
        <w:rPr>
          <w:rFonts w:asciiTheme="minorHAnsi" w:hAnsiTheme="minorHAnsi" w:cstheme="minorHAnsi"/>
          <w:sz w:val="22"/>
          <w:szCs w:val="22"/>
        </w:rPr>
      </w:pPr>
    </w:p>
    <w:p w14:paraId="1747249B" w14:textId="77777777" w:rsidR="00477A61" w:rsidRPr="00E01239" w:rsidRDefault="00477A61" w:rsidP="00477A61">
      <w:pPr>
        <w:jc w:val="both"/>
        <w:rPr>
          <w:rFonts w:asciiTheme="minorHAnsi" w:hAnsiTheme="minorHAnsi" w:cstheme="minorHAnsi"/>
          <w:sz w:val="22"/>
          <w:szCs w:val="22"/>
        </w:rPr>
      </w:pPr>
      <w:bookmarkStart w:id="1395" w:name="_Hlk530891158"/>
      <w:r w:rsidRPr="00E01239">
        <w:rPr>
          <w:rFonts w:asciiTheme="minorHAnsi" w:hAnsiTheme="minorHAnsi" w:cstheme="minorHAnsi"/>
          <w:sz w:val="22"/>
          <w:szCs w:val="22"/>
        </w:rPr>
        <w:t>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et la violence contre les enfants (VCE) n’aient pas lieu – elles ne seront tolérées par aucun employé, sous-traitant, fournisseur, associé ou représentant de l'entreprise</w:t>
      </w:r>
      <w:bookmarkEnd w:id="1395"/>
      <w:r w:rsidRPr="00E01239">
        <w:rPr>
          <w:rFonts w:asciiTheme="minorHAnsi" w:hAnsiTheme="minorHAnsi" w:cstheme="minorHAnsi"/>
          <w:sz w:val="22"/>
          <w:szCs w:val="22"/>
        </w:rPr>
        <w:t xml:space="preserve">. </w:t>
      </w:r>
    </w:p>
    <w:p w14:paraId="1F541DF6" w14:textId="77777777" w:rsidR="00477A61" w:rsidRPr="00E01239" w:rsidRDefault="00477A61" w:rsidP="00477A61">
      <w:pPr>
        <w:jc w:val="both"/>
        <w:rPr>
          <w:rFonts w:asciiTheme="minorHAnsi" w:hAnsiTheme="minorHAnsi" w:cstheme="minorHAnsi"/>
          <w:sz w:val="22"/>
          <w:szCs w:val="22"/>
        </w:rPr>
      </w:pPr>
    </w:p>
    <w:p w14:paraId="790E1D10"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 :</w:t>
      </w:r>
    </w:p>
    <w:p w14:paraId="2D7DDF95" w14:textId="77777777" w:rsidR="00477A61" w:rsidRPr="00E01239" w:rsidRDefault="00477A61" w:rsidP="00477A61">
      <w:pPr>
        <w:jc w:val="both"/>
        <w:rPr>
          <w:rFonts w:asciiTheme="minorHAnsi" w:hAnsiTheme="minorHAnsi" w:cstheme="minorHAnsi"/>
          <w:sz w:val="22"/>
          <w:szCs w:val="22"/>
        </w:rPr>
      </w:pPr>
    </w:p>
    <w:p w14:paraId="50F718D7" w14:textId="77777777" w:rsidR="00477A61" w:rsidRPr="00E01239" w:rsidRDefault="00477A61" w:rsidP="00477A61">
      <w:pPr>
        <w:jc w:val="both"/>
        <w:rPr>
          <w:rFonts w:asciiTheme="minorHAnsi" w:hAnsiTheme="minorHAnsi" w:cstheme="minorHAnsi"/>
          <w:bCs/>
          <w:color w:val="000000"/>
          <w:sz w:val="22"/>
          <w:szCs w:val="22"/>
        </w:rPr>
      </w:pPr>
      <w:r w:rsidRPr="00E01239">
        <w:rPr>
          <w:rFonts w:asciiTheme="minorHAnsi" w:hAnsiTheme="minorHAnsi" w:cstheme="minorHAnsi"/>
          <w:b/>
          <w:sz w:val="22"/>
          <w:szCs w:val="22"/>
        </w:rPr>
        <w:t>Généralités</w:t>
      </w:r>
      <w:r w:rsidRPr="00E01239">
        <w:rPr>
          <w:rFonts w:asciiTheme="minorHAnsi" w:hAnsiTheme="minorHAnsi" w:cstheme="minorHAnsi"/>
          <w:sz w:val="22"/>
          <w:szCs w:val="22"/>
        </w:rPr>
        <w:t xml:space="preserve"> </w:t>
      </w:r>
    </w:p>
    <w:p w14:paraId="3280D569"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bookmarkStart w:id="1396" w:name="_Hlk530891894"/>
      <w:r w:rsidRPr="00E01239">
        <w:rPr>
          <w:rFonts w:asciiTheme="minorHAnsi" w:hAnsiTheme="minorHAnsi" w:cstheme="minorHAnsi"/>
          <w:sz w:val="22"/>
          <w:szCs w:val="22"/>
          <w:lang w:val="fr-FR"/>
        </w:rPr>
        <w:t xml:space="preserve">L'entreprise - et par conséquent tous les employés, associés, représentants, sous-traitants et les fournisseurs - s'engage à respecter toutes les lois, règles et réglementations nationales pertinentes. </w:t>
      </w:r>
    </w:p>
    <w:p w14:paraId="1387E6CD"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L'entreprise s'engage à mettre intégralement en œuvre son « Plan de gestion environnementale et sociale des entrepreneurs » (E-PGES).</w:t>
      </w:r>
    </w:p>
    <w:p w14:paraId="5FAE0F27"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 et de VCE constituent une violation de cet engagement. </w:t>
      </w:r>
    </w:p>
    <w:p w14:paraId="33882C5A"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L'entreprise s'assure que les interactions avec les membres de la communauté locale aient lieu dans le respect et en absence de discrimination.</w:t>
      </w:r>
    </w:p>
    <w:p w14:paraId="0A1A42BA"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2C7E9EBB"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L'entreprise suivra toutes les instructions de travail raisonnables (y compris celles qui concernent les normes environnementales et sociales).</w:t>
      </w:r>
    </w:p>
    <w:p w14:paraId="109C3883"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L'entreprise protégera les biens et veillera à leur bonne utilisation (par exemple, interdire le vol, la négligence ou le gaspillage).</w:t>
      </w:r>
      <w:bookmarkEnd w:id="1396"/>
    </w:p>
    <w:p w14:paraId="5430C57E" w14:textId="77777777" w:rsidR="00477A61" w:rsidRPr="00E01239" w:rsidRDefault="00477A61" w:rsidP="00477A61">
      <w:pPr>
        <w:pStyle w:val="NormalWeb"/>
        <w:jc w:val="both"/>
        <w:rPr>
          <w:rFonts w:asciiTheme="minorHAnsi" w:hAnsiTheme="minorHAnsi" w:cstheme="minorHAnsi"/>
          <w:b/>
          <w:sz w:val="22"/>
          <w:szCs w:val="22"/>
          <w:lang w:val="fr-FR"/>
        </w:rPr>
      </w:pPr>
      <w:r w:rsidRPr="00E01239">
        <w:rPr>
          <w:rFonts w:asciiTheme="minorHAnsi" w:hAnsiTheme="minorHAnsi" w:cstheme="minorHAnsi"/>
          <w:b/>
          <w:sz w:val="22"/>
          <w:szCs w:val="22"/>
          <w:lang w:val="fr-FR"/>
        </w:rPr>
        <w:t>Hygiène et sécurité</w:t>
      </w:r>
    </w:p>
    <w:p w14:paraId="6E154CAF"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L'entreprise veillera à ce que le plan de gestion de l’hygiène et de la sécurité au travail (HST) du projet soit efficacement mis en œuvre par le personnel de l'entreprise, ainsi que par les sous-traitants et les fournisseurs.</w:t>
      </w:r>
    </w:p>
    <w:p w14:paraId="422BD494"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2687071C" w14:textId="77777777" w:rsidR="00477A61" w:rsidRPr="00E01239" w:rsidRDefault="00477A61" w:rsidP="002A19B3">
      <w:pPr>
        <w:pStyle w:val="NormalWeb"/>
        <w:numPr>
          <w:ilvl w:val="0"/>
          <w:numId w:val="70"/>
        </w:numPr>
        <w:spacing w:after="120" w:afterAutospacing="0"/>
        <w:ind w:left="426" w:hanging="357"/>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L’entreprise :</w:t>
      </w:r>
    </w:p>
    <w:p w14:paraId="252892BE" w14:textId="77777777" w:rsidR="00477A61" w:rsidRPr="00E01239" w:rsidRDefault="00477A61" w:rsidP="002A19B3">
      <w:pPr>
        <w:pStyle w:val="NormalWeb"/>
        <w:numPr>
          <w:ilvl w:val="1"/>
          <w:numId w:val="89"/>
        </w:numPr>
        <w:spacing w:before="0" w:beforeAutospacing="0"/>
        <w:ind w:left="993"/>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Interdira la consommation d’alcool pendant le travail ;</w:t>
      </w:r>
    </w:p>
    <w:p w14:paraId="20924723" w14:textId="77777777" w:rsidR="00477A61" w:rsidRPr="00E01239" w:rsidRDefault="00477A61" w:rsidP="002A19B3">
      <w:pPr>
        <w:pStyle w:val="NormalWeb"/>
        <w:numPr>
          <w:ilvl w:val="1"/>
          <w:numId w:val="89"/>
        </w:numPr>
        <w:spacing w:after="0" w:afterAutospacing="0"/>
        <w:ind w:left="993" w:hanging="357"/>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Interdira l'usage de stupéfiants ou d'autres substances qui peuvent altérer les facultés à tout moment.</w:t>
      </w:r>
    </w:p>
    <w:p w14:paraId="26BFC177"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lastRenderedPageBreak/>
        <w:t>L'entreprise veillera à ce que des installations sanitaires adéquates soient à disposition des travailleurs sur le site et dans tous les logements des travailleurs du projet.</w:t>
      </w:r>
    </w:p>
    <w:p w14:paraId="256DAB1A" w14:textId="77777777" w:rsidR="00477A61" w:rsidRPr="00E01239" w:rsidRDefault="00477A61" w:rsidP="00477A61">
      <w:pPr>
        <w:pStyle w:val="NormalWeb"/>
        <w:jc w:val="both"/>
        <w:rPr>
          <w:rFonts w:asciiTheme="minorHAnsi" w:hAnsiTheme="minorHAnsi" w:cstheme="minorHAnsi"/>
          <w:b/>
          <w:sz w:val="22"/>
          <w:szCs w:val="22"/>
          <w:lang w:val="fr-FR"/>
        </w:rPr>
      </w:pPr>
      <w:r w:rsidRPr="00E01239">
        <w:rPr>
          <w:rFonts w:asciiTheme="minorHAnsi" w:hAnsiTheme="minorHAnsi" w:cstheme="minorHAnsi"/>
          <w:b/>
          <w:sz w:val="22"/>
          <w:szCs w:val="22"/>
          <w:lang w:val="fr-FR"/>
        </w:rPr>
        <w:t>Violences basées sur le genre et violences contre les enfants</w:t>
      </w:r>
    </w:p>
    <w:p w14:paraId="7B49D91C"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Les actes de VBG et de VCE constituent une faute grave et peuvent donc donner lieu à des sanctions, y compris des pénalités et/ou le licenciement, et, le cas échéant, le renvoi à la police pour la suite à donner. </w:t>
      </w:r>
    </w:p>
    <w:p w14:paraId="5B1B111D" w14:textId="77777777" w:rsidR="00477A61" w:rsidRPr="00E01239" w:rsidRDefault="00477A61" w:rsidP="002A19B3">
      <w:pPr>
        <w:pStyle w:val="NormalWeb"/>
        <w:numPr>
          <w:ilvl w:val="0"/>
          <w:numId w:val="70"/>
        </w:numPr>
        <w:spacing w:after="120" w:afterAutospacing="0"/>
        <w:ind w:left="426" w:hanging="357"/>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Toutes les formes de VBG et de VCE, y compris la sollicitation des enfants, sont inacceptables, qu'elles aient lieu sur le lieu de travail, dans les environs du lieu de travail, dans les campements de travailleurs ou dans la communauté locale. </w:t>
      </w:r>
    </w:p>
    <w:p w14:paraId="386C6ECF" w14:textId="77777777" w:rsidR="00477A61" w:rsidRPr="00E01239" w:rsidRDefault="00477A61" w:rsidP="002A19B3">
      <w:pPr>
        <w:pStyle w:val="Paragraphedeliste"/>
        <w:numPr>
          <w:ilvl w:val="1"/>
          <w:numId w:val="88"/>
        </w:numPr>
        <w:autoSpaceDE w:val="0"/>
        <w:autoSpaceDN w:val="0"/>
        <w:adjustRightInd w:val="0"/>
        <w:ind w:left="993"/>
        <w:jc w:val="both"/>
        <w:rPr>
          <w:rFonts w:asciiTheme="minorHAnsi" w:hAnsiTheme="minorHAnsi" w:cstheme="minorHAnsi"/>
          <w:sz w:val="22"/>
          <w:szCs w:val="22"/>
        </w:rPr>
      </w:pPr>
      <w:r w:rsidRPr="00E01239">
        <w:rPr>
          <w:rFonts w:asciiTheme="minorHAnsi" w:hAnsiTheme="minorHAnsi" w:cstheme="minorHAnsi"/>
          <w:sz w:val="22"/>
          <w:szCs w:val="22"/>
        </w:rPr>
        <w:t xml:space="preserve">Harcèlement sexuel - par exemple, il est interdit de faire des avances sexuelles indésirées, de demander des faveurs sexuelles, ou d'avoir un comportement verbal ou physique à connotation sexuelle, y compris des actes subtils. </w:t>
      </w:r>
    </w:p>
    <w:p w14:paraId="32E3DCE8" w14:textId="77777777" w:rsidR="00477A61" w:rsidRPr="00E01239" w:rsidRDefault="00477A61" w:rsidP="002A19B3">
      <w:pPr>
        <w:pStyle w:val="NormalWeb"/>
        <w:numPr>
          <w:ilvl w:val="1"/>
          <w:numId w:val="88"/>
        </w:numPr>
        <w:spacing w:after="120" w:afterAutospacing="0"/>
        <w:ind w:left="992" w:hanging="357"/>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Faveurs sexuelles — par exemple, il est interdit de promettre ou de réaliser des traitements de faveurs conditionnés par des actes sexuels, ou d'autres formes de comportement humiliant, dégradant ou d'exploitation. </w:t>
      </w:r>
    </w:p>
    <w:p w14:paraId="6A9E84B9" w14:textId="77777777" w:rsidR="00477A61" w:rsidRPr="00E01239" w:rsidRDefault="00477A61" w:rsidP="002A19B3">
      <w:pPr>
        <w:pStyle w:val="NormalWeb"/>
        <w:numPr>
          <w:ilvl w:val="0"/>
          <w:numId w:val="70"/>
        </w:numPr>
        <w:spacing w:before="0" w:beforeAutospacing="0"/>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5E56A23E"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À moins qu’il n’y ait consentement</w:t>
      </w:r>
      <w:r w:rsidRPr="00E01239">
        <w:rPr>
          <w:rStyle w:val="Appelnotedebasdep"/>
          <w:rFonts w:asciiTheme="minorHAnsi" w:hAnsiTheme="minorHAnsi" w:cstheme="minorHAnsi"/>
          <w:sz w:val="22"/>
          <w:szCs w:val="22"/>
          <w:lang w:val="fr-FR"/>
        </w:rPr>
        <w:footnoteReference w:id="13"/>
      </w:r>
      <w:r w:rsidRPr="00E01239">
        <w:rPr>
          <w:rFonts w:asciiTheme="minorHAnsi" w:hAnsiTheme="minorHAnsi" w:cstheme="minorHAnsi"/>
          <w:sz w:val="22"/>
          <w:szCs w:val="22"/>
          <w:lang w:val="fr-FR"/>
        </w:rPr>
        <w:t xml:space="preserve">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3C9B1A16"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Outre les sanctions appliquées par l’entreprise, des poursuites judiciaires à l’encontre des auteurs d'actes de VBG ou de VCE seront engagées, le cas échéant. </w:t>
      </w:r>
    </w:p>
    <w:p w14:paraId="2544979C"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Tous les employés, y compris les bénévoles et les sous-traitants, sont fortement encouragés à signaler les actes présumés ou réels de VBG et/ou de VCE commis par un collègue, dans la même entreprise ou non. Les rapports doivent être présentés conformément aux Procédures d'allégation d’actes de VBG et de VCE du projet. </w:t>
      </w:r>
    </w:p>
    <w:p w14:paraId="5378F870"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Les gestionnaires sont tenus de signaler les actes présumés ou avérés de VBG et/ou de VCE et d'agir en conséquence, car ils ont la responsabilité du respect des engagements de l'entreprise et de tenir leurs subordonnés directs pour responsables de ces actes.</w:t>
      </w:r>
    </w:p>
    <w:p w14:paraId="62DFC670" w14:textId="77777777" w:rsidR="00477A61" w:rsidRPr="00E01239" w:rsidRDefault="00477A61" w:rsidP="00477A61">
      <w:pPr>
        <w:rPr>
          <w:rFonts w:asciiTheme="minorHAnsi" w:eastAsia="Arial Unicode MS" w:hAnsiTheme="minorHAnsi" w:cstheme="minorHAnsi"/>
          <w:b/>
          <w:sz w:val="22"/>
          <w:szCs w:val="22"/>
        </w:rPr>
      </w:pPr>
      <w:r w:rsidRPr="00E01239">
        <w:rPr>
          <w:rFonts w:asciiTheme="minorHAnsi" w:hAnsiTheme="minorHAnsi" w:cstheme="minorHAnsi"/>
          <w:b/>
          <w:sz w:val="22"/>
          <w:szCs w:val="22"/>
        </w:rPr>
        <w:br w:type="page"/>
      </w:r>
    </w:p>
    <w:p w14:paraId="3DCCAA27" w14:textId="77777777" w:rsidR="00477A61" w:rsidRPr="00E01239" w:rsidRDefault="00477A61" w:rsidP="00477A61">
      <w:pPr>
        <w:pStyle w:val="NormalWeb"/>
        <w:jc w:val="both"/>
        <w:rPr>
          <w:rFonts w:asciiTheme="minorHAnsi" w:hAnsiTheme="minorHAnsi" w:cstheme="minorHAnsi"/>
          <w:b/>
          <w:sz w:val="22"/>
          <w:szCs w:val="22"/>
          <w:lang w:val="fr-FR"/>
        </w:rPr>
      </w:pPr>
      <w:r w:rsidRPr="00E01239">
        <w:rPr>
          <w:rFonts w:asciiTheme="minorHAnsi" w:hAnsiTheme="minorHAnsi" w:cstheme="minorHAnsi"/>
          <w:b/>
          <w:sz w:val="22"/>
          <w:szCs w:val="22"/>
          <w:lang w:val="fr-FR"/>
        </w:rPr>
        <w:lastRenderedPageBreak/>
        <w:t xml:space="preserve">Mise en œuvre </w:t>
      </w:r>
    </w:p>
    <w:p w14:paraId="6FA8707C" w14:textId="77777777" w:rsidR="00477A61" w:rsidRPr="00E01239" w:rsidRDefault="00477A61" w:rsidP="00477A61">
      <w:pPr>
        <w:pStyle w:val="NormalWeb"/>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Pour veiller à ce que les principes énoncés ci-dessus soient efficacement mis en œuvre, l’entreprise s’engage à faire en sorte que :</w:t>
      </w:r>
    </w:p>
    <w:p w14:paraId="2BF0287A"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374DABA9"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bookmarkStart w:id="1398" w:name="_Hlk530926223"/>
      <w:r w:rsidRPr="00E01239">
        <w:rPr>
          <w:rFonts w:asciiTheme="minorHAnsi" w:hAnsiTheme="minorHAnsi" w:cstheme="minorHAnsi"/>
          <w:sz w:val="22"/>
          <w:szCs w:val="22"/>
          <w:lang w:val="fr-FR"/>
        </w:rPr>
        <w:t>Tous les employés signent le « Code de conduite individuel » du projet confirmant leur engagement à respecter les normes ESHS et HST, et à ne pas entreprendre des activités entraînant les VBG ou les VCE.</w:t>
      </w:r>
    </w:p>
    <w:p w14:paraId="39BF35FB" w14:textId="77777777" w:rsidR="00477A61" w:rsidRPr="00E01239" w:rsidRDefault="00477A61" w:rsidP="002A19B3">
      <w:pPr>
        <w:pStyle w:val="Paragraphedeliste"/>
        <w:numPr>
          <w:ilvl w:val="0"/>
          <w:numId w:val="70"/>
        </w:numPr>
        <w:autoSpaceDE w:val="0"/>
        <w:autoSpaceDN w:val="0"/>
        <w:adjustRightInd w:val="0"/>
        <w:ind w:left="426"/>
        <w:jc w:val="both"/>
        <w:rPr>
          <w:rFonts w:asciiTheme="minorHAnsi" w:hAnsiTheme="minorHAnsi" w:cstheme="minorHAnsi"/>
          <w:sz w:val="22"/>
          <w:szCs w:val="22"/>
        </w:rPr>
      </w:pPr>
      <w:r w:rsidRPr="00E01239">
        <w:rPr>
          <w:rFonts w:asciiTheme="minorHAnsi" w:hAnsiTheme="minorHAnsi" w:cstheme="minorHAnsi"/>
          <w:sz w:val="22"/>
          <w:szCs w:val="22"/>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7786B1E0" w14:textId="77777777" w:rsidR="00477A61" w:rsidRPr="00E01239" w:rsidRDefault="00477A61" w:rsidP="002A19B3">
      <w:pPr>
        <w:pStyle w:val="Paragraphedeliste"/>
        <w:numPr>
          <w:ilvl w:val="0"/>
          <w:numId w:val="70"/>
        </w:numPr>
        <w:autoSpaceDE w:val="0"/>
        <w:autoSpaceDN w:val="0"/>
        <w:adjustRightInd w:val="0"/>
        <w:ind w:left="426"/>
        <w:jc w:val="both"/>
        <w:rPr>
          <w:rFonts w:asciiTheme="minorHAnsi" w:hAnsiTheme="minorHAnsi" w:cstheme="minorHAnsi"/>
          <w:sz w:val="22"/>
          <w:szCs w:val="22"/>
        </w:rPr>
      </w:pPr>
      <w:bookmarkStart w:id="1399" w:name="_Hlk530907737"/>
      <w:bookmarkEnd w:id="1398"/>
      <w:r w:rsidRPr="00E01239">
        <w:rPr>
          <w:rFonts w:asciiTheme="minorHAnsi" w:hAnsiTheme="minorHAnsi" w:cstheme="minorHAnsi"/>
          <w:sz w:val="22"/>
          <w:szCs w:val="22"/>
        </w:rPr>
        <w:t xml:space="preserve">Les copies affichées et distribuées du Code de conduite de l'entreprise et du Code de conduite individuel doivent être traduites dans la langue appropriée utilisée dans les zones du chantier ainsi que dans la langue maternelle de tout personnel </w:t>
      </w:r>
      <w:bookmarkEnd w:id="1399"/>
      <w:r w:rsidRPr="00E01239">
        <w:rPr>
          <w:rFonts w:asciiTheme="minorHAnsi" w:hAnsiTheme="minorHAnsi" w:cstheme="minorHAnsi"/>
          <w:sz w:val="22"/>
          <w:szCs w:val="22"/>
        </w:rPr>
        <w:t xml:space="preserve">international. </w:t>
      </w:r>
    </w:p>
    <w:p w14:paraId="0562DA76" w14:textId="77777777" w:rsidR="00477A61" w:rsidRPr="00E01239" w:rsidRDefault="00477A61" w:rsidP="002A19B3">
      <w:pPr>
        <w:pStyle w:val="Paragraphedeliste"/>
        <w:numPr>
          <w:ilvl w:val="0"/>
          <w:numId w:val="70"/>
        </w:numPr>
        <w:ind w:left="426"/>
        <w:rPr>
          <w:rFonts w:asciiTheme="minorHAnsi" w:hAnsiTheme="minorHAnsi" w:cstheme="minorHAnsi"/>
          <w:sz w:val="22"/>
          <w:szCs w:val="22"/>
        </w:rPr>
      </w:pPr>
      <w:r w:rsidRPr="00E01239">
        <w:rPr>
          <w:rFonts w:asciiTheme="minorHAnsi" w:hAnsiTheme="minorHAnsi" w:cstheme="minorHAnsi"/>
          <w:sz w:val="22"/>
          <w:szCs w:val="22"/>
        </w:rPr>
        <w:t xml:space="preserve">Une personne désignée doit être nommée « Point focal » de l'entreprise pour le traitement des questions de VBG et de VCE, y compris pour représenter l'entreprise au sein de </w:t>
      </w:r>
      <w:bookmarkStart w:id="1400" w:name="_Hlk530927924"/>
      <w:r w:rsidRPr="00E01239">
        <w:rPr>
          <w:rFonts w:asciiTheme="minorHAnsi" w:hAnsiTheme="minorHAnsi" w:cstheme="minorHAnsi"/>
          <w:sz w:val="22"/>
          <w:szCs w:val="22"/>
        </w:rPr>
        <w:t>l’Equipe de Conformité (EC) contre les VBG et les VCE</w:t>
      </w:r>
      <w:bookmarkEnd w:id="1400"/>
      <w:r w:rsidRPr="00E01239">
        <w:rPr>
          <w:rFonts w:asciiTheme="minorHAnsi" w:hAnsiTheme="minorHAnsi" w:cstheme="minorHAnsi"/>
          <w:sz w:val="22"/>
          <w:szCs w:val="22"/>
        </w:rPr>
        <w:t xml:space="preserve">, qui est composée de représentants du client, de l'entrepreneur/des entrepreneurs, du consultant en supervision et du(des) prestataire(s) de services locaux. </w:t>
      </w:r>
    </w:p>
    <w:p w14:paraId="3C638C8D" w14:textId="77777777" w:rsidR="00477A61" w:rsidRPr="00E01239" w:rsidRDefault="00477A61" w:rsidP="002A19B3">
      <w:pPr>
        <w:pStyle w:val="NormalWeb"/>
        <w:numPr>
          <w:ilvl w:val="0"/>
          <w:numId w:val="70"/>
        </w:numPr>
        <w:autoSpaceDE w:val="0"/>
        <w:autoSpaceDN w:val="0"/>
        <w:adjustRightInd w:val="0"/>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En consultation avec de l’Equipe de conformité (EC), un Plan d'action efficace doit être élaboré, ce dernier doit comprendre au minimum les dispositions suivantes : </w:t>
      </w:r>
    </w:p>
    <w:p w14:paraId="5213D317" w14:textId="77777777" w:rsidR="00477A61" w:rsidRPr="00E01239" w:rsidRDefault="00477A61" w:rsidP="002A19B3">
      <w:pPr>
        <w:pStyle w:val="Paragraphedeliste"/>
        <w:numPr>
          <w:ilvl w:val="1"/>
          <w:numId w:val="87"/>
        </w:numPr>
        <w:autoSpaceDE w:val="0"/>
        <w:autoSpaceDN w:val="0"/>
        <w:adjustRightInd w:val="0"/>
        <w:ind w:left="993"/>
        <w:jc w:val="both"/>
        <w:rPr>
          <w:rFonts w:asciiTheme="minorHAnsi" w:hAnsiTheme="minorHAnsi" w:cstheme="minorHAnsi"/>
          <w:sz w:val="22"/>
          <w:szCs w:val="22"/>
        </w:rPr>
      </w:pPr>
      <w:r w:rsidRPr="00E01239">
        <w:rPr>
          <w:rFonts w:asciiTheme="minorHAnsi" w:hAnsiTheme="minorHAnsi" w:cstheme="minorHAnsi"/>
          <w:sz w:val="22"/>
          <w:szCs w:val="22"/>
        </w:rPr>
        <w:t>La</w:t>
      </w:r>
      <w:r w:rsidRPr="00E01239">
        <w:rPr>
          <w:rFonts w:asciiTheme="minorHAnsi" w:hAnsiTheme="minorHAnsi" w:cstheme="minorHAnsi"/>
          <w:b/>
          <w:sz w:val="22"/>
          <w:szCs w:val="22"/>
        </w:rPr>
        <w:t xml:space="preserve"> Procédure d’allégation des incidents de VBG et de VCE</w:t>
      </w:r>
      <w:r w:rsidRPr="00E01239">
        <w:rPr>
          <w:rFonts w:asciiTheme="minorHAnsi" w:hAnsiTheme="minorHAnsi" w:cstheme="minorHAnsi"/>
          <w:sz w:val="22"/>
          <w:szCs w:val="22"/>
        </w:rPr>
        <w:t xml:space="preserve"> pour signaler les incidents de VBG et de VCE par le biais du Mécanisme de règlement des plaintes (Section 4.3 Plan d’action) ;</w:t>
      </w:r>
    </w:p>
    <w:p w14:paraId="5D95F956" w14:textId="77777777" w:rsidR="00477A61" w:rsidRPr="00E01239" w:rsidRDefault="00477A61" w:rsidP="002A19B3">
      <w:pPr>
        <w:pStyle w:val="Paragraphedeliste"/>
        <w:numPr>
          <w:ilvl w:val="1"/>
          <w:numId w:val="87"/>
        </w:numPr>
        <w:autoSpaceDE w:val="0"/>
        <w:autoSpaceDN w:val="0"/>
        <w:adjustRightInd w:val="0"/>
        <w:ind w:left="993"/>
        <w:jc w:val="both"/>
        <w:rPr>
          <w:rFonts w:asciiTheme="minorHAnsi" w:hAnsiTheme="minorHAnsi" w:cstheme="minorHAnsi"/>
          <w:sz w:val="22"/>
          <w:szCs w:val="22"/>
        </w:rPr>
      </w:pPr>
      <w:r w:rsidRPr="00E01239">
        <w:rPr>
          <w:rFonts w:asciiTheme="minorHAnsi" w:hAnsiTheme="minorHAnsi" w:cstheme="minorHAnsi"/>
          <w:sz w:val="22"/>
          <w:szCs w:val="22"/>
        </w:rPr>
        <w:t>Les</w:t>
      </w:r>
      <w:r w:rsidRPr="00E01239">
        <w:rPr>
          <w:rFonts w:asciiTheme="minorHAnsi" w:hAnsiTheme="minorHAnsi" w:cstheme="minorHAnsi"/>
          <w:b/>
          <w:sz w:val="22"/>
          <w:szCs w:val="22"/>
        </w:rPr>
        <w:t xml:space="preserve"> mesures de responsabilité et confidentialité </w:t>
      </w:r>
      <w:r w:rsidRPr="00E01239">
        <w:rPr>
          <w:rFonts w:asciiTheme="minorHAnsi" w:hAnsiTheme="minorHAnsi" w:cstheme="minorHAnsi"/>
          <w:sz w:val="22"/>
          <w:szCs w:val="22"/>
        </w:rPr>
        <w:t>pour protéger la vie privée de tous les intéressés (Section 4.4 Plan d’action) ; et</w:t>
      </w:r>
    </w:p>
    <w:p w14:paraId="5D8B4C3B" w14:textId="77777777" w:rsidR="00477A61" w:rsidRPr="00E01239" w:rsidRDefault="00477A61" w:rsidP="002A19B3">
      <w:pPr>
        <w:pStyle w:val="Paragraphedeliste"/>
        <w:numPr>
          <w:ilvl w:val="1"/>
          <w:numId w:val="87"/>
        </w:numPr>
        <w:autoSpaceDE w:val="0"/>
        <w:autoSpaceDN w:val="0"/>
        <w:adjustRightInd w:val="0"/>
        <w:ind w:left="993"/>
        <w:jc w:val="both"/>
        <w:rPr>
          <w:rFonts w:asciiTheme="minorHAnsi" w:hAnsiTheme="minorHAnsi" w:cstheme="minorHAnsi"/>
          <w:sz w:val="22"/>
          <w:szCs w:val="22"/>
        </w:rPr>
      </w:pPr>
      <w:r w:rsidRPr="00E01239">
        <w:rPr>
          <w:rFonts w:asciiTheme="minorHAnsi" w:hAnsiTheme="minorHAnsi" w:cstheme="minorHAnsi"/>
          <w:sz w:val="22"/>
          <w:szCs w:val="22"/>
        </w:rPr>
        <w:t>Le</w:t>
      </w:r>
      <w:r w:rsidRPr="00E01239">
        <w:rPr>
          <w:rFonts w:asciiTheme="minorHAnsi" w:hAnsiTheme="minorHAnsi" w:cstheme="minorHAnsi"/>
          <w:b/>
          <w:sz w:val="22"/>
          <w:szCs w:val="22"/>
        </w:rPr>
        <w:t xml:space="preserve"> Protocole d’intervention </w:t>
      </w:r>
      <w:r w:rsidRPr="00E01239">
        <w:rPr>
          <w:rFonts w:asciiTheme="minorHAnsi" w:hAnsiTheme="minorHAnsi" w:cstheme="minorHAnsi"/>
          <w:sz w:val="22"/>
          <w:szCs w:val="22"/>
        </w:rPr>
        <w:t xml:space="preserve">applicable aux survivant(e)s et aux auteurs de VBG et de VCE (Section 4.7 Plan d’action). </w:t>
      </w:r>
    </w:p>
    <w:p w14:paraId="43F8542B"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bookmarkStart w:id="1401" w:name="_Hlk530927511"/>
      <w:r w:rsidRPr="00E01239">
        <w:rPr>
          <w:rFonts w:asciiTheme="minorHAnsi" w:hAnsiTheme="minorHAnsi" w:cstheme="minorHAnsi"/>
          <w:sz w:val="22"/>
          <w:szCs w:val="22"/>
          <w:lang w:val="fr-FR"/>
        </w:rPr>
        <w:t>L</w:t>
      </w:r>
      <w:bookmarkEnd w:id="1401"/>
      <w:r w:rsidRPr="00E01239">
        <w:rPr>
          <w:rFonts w:asciiTheme="minorHAnsi" w:hAnsiTheme="minorHAnsi" w:cstheme="minorHAnsi"/>
          <w:sz w:val="22"/>
          <w:szCs w:val="22"/>
          <w:lang w:val="fr-FR"/>
        </w:rPr>
        <w:t>'entreprise doit mettre en œuvre de manière efficace le Plan d'action Violences Basées sur le Genre (VBG) et Violences contre les Enfants (VCE) final convenu, en faisant part à l’Equipe de conformité (EC) d’éventuels améliorations et de mises à jour, le cas échéant.</w:t>
      </w:r>
    </w:p>
    <w:p w14:paraId="28C1BC35"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r w:rsidRPr="00E01239">
        <w:rPr>
          <w:rFonts w:asciiTheme="minorHAnsi" w:hAnsiTheme="minorHAnsi" w:cstheme="minorHAnsi"/>
          <w:sz w:val="22"/>
          <w:szCs w:val="22"/>
          <w:lang w:val="fr-FR"/>
        </w:rPr>
        <w:t xml:space="preserve">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projet. </w:t>
      </w:r>
    </w:p>
    <w:p w14:paraId="2B5DF4C7" w14:textId="77777777" w:rsidR="00477A61" w:rsidRPr="00E01239" w:rsidRDefault="00477A61" w:rsidP="002A19B3">
      <w:pPr>
        <w:pStyle w:val="NormalWeb"/>
        <w:numPr>
          <w:ilvl w:val="0"/>
          <w:numId w:val="70"/>
        </w:numPr>
        <w:ind w:left="426"/>
        <w:jc w:val="both"/>
        <w:rPr>
          <w:rFonts w:asciiTheme="minorHAnsi" w:hAnsiTheme="minorHAnsi" w:cstheme="minorHAnsi"/>
          <w:sz w:val="22"/>
          <w:szCs w:val="22"/>
          <w:lang w:val="fr-FR"/>
        </w:rPr>
      </w:pPr>
      <w:bookmarkStart w:id="1402" w:name="_Hlk530888856"/>
      <w:r w:rsidRPr="00E01239">
        <w:rPr>
          <w:rFonts w:asciiTheme="minorHAnsi" w:hAnsiTheme="minorHAnsi" w:cstheme="minorHAnsi"/>
          <w:sz w:val="22"/>
          <w:szCs w:val="22"/>
          <w:lang w:val="fr-FR"/>
        </w:rPr>
        <w:t>Tous les employés doivent suivre un cours de formation obligatoire une fois par mois pendant toute la durée du contrat, à partir d’une première formation au moment de l’entrée en service avant le début des travaux, afin de renforcer la compréhension des normes ESHS et HST du projet et du Code de conduite VBG et VCE</w:t>
      </w:r>
      <w:bookmarkEnd w:id="1402"/>
      <w:r w:rsidRPr="00E01239">
        <w:rPr>
          <w:rFonts w:asciiTheme="minorHAnsi" w:hAnsiTheme="minorHAnsi" w:cstheme="minorHAnsi"/>
          <w:sz w:val="22"/>
          <w:szCs w:val="22"/>
          <w:lang w:val="fr-FR"/>
        </w:rPr>
        <w:t xml:space="preserve">. </w:t>
      </w:r>
    </w:p>
    <w:p w14:paraId="4E84409F" w14:textId="77777777" w:rsidR="00477A61" w:rsidRPr="00E01239" w:rsidRDefault="00477A61" w:rsidP="00477A61">
      <w:pPr>
        <w:pStyle w:val="NormalWeb"/>
        <w:jc w:val="both"/>
        <w:rPr>
          <w:rFonts w:asciiTheme="minorHAnsi" w:hAnsiTheme="minorHAnsi" w:cstheme="minorHAnsi"/>
          <w:i/>
          <w:sz w:val="22"/>
          <w:szCs w:val="22"/>
          <w:lang w:val="fr-FR"/>
        </w:rPr>
      </w:pPr>
      <w:r w:rsidRPr="00E01239">
        <w:rPr>
          <w:rFonts w:asciiTheme="minorHAnsi" w:hAnsiTheme="minorHAnsi" w:cstheme="minorHAnsi"/>
          <w:i/>
          <w:sz w:val="22"/>
          <w:szCs w:val="22"/>
          <w:lang w:val="fr-FR"/>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 et de VCE. Je comprends que toute action incompatible avec le présent Code de conduite </w:t>
      </w:r>
      <w:r w:rsidRPr="00E01239">
        <w:rPr>
          <w:rFonts w:asciiTheme="minorHAnsi" w:hAnsiTheme="minorHAnsi" w:cstheme="minorHAnsi"/>
          <w:i/>
          <w:sz w:val="22"/>
          <w:szCs w:val="22"/>
          <w:lang w:val="fr-FR"/>
        </w:rPr>
        <w:lastRenderedPageBreak/>
        <w:t>de l'entreprise ou le fait de ne pas agir conformément au présent Code de conduite de l'entreprise peut entraîner des mesures disciplinaires.</w:t>
      </w:r>
    </w:p>
    <w:p w14:paraId="42AFF4CB" w14:textId="77777777" w:rsidR="00477A61" w:rsidRPr="00E01239" w:rsidRDefault="00477A61" w:rsidP="00477A61">
      <w:pPr>
        <w:pStyle w:val="NormalWeb"/>
        <w:jc w:val="both"/>
        <w:rPr>
          <w:rFonts w:asciiTheme="minorHAnsi" w:hAnsiTheme="minorHAnsi" w:cstheme="minorHAnsi"/>
          <w:i/>
          <w:sz w:val="22"/>
          <w:szCs w:val="22"/>
          <w:lang w:val="fr-FR"/>
        </w:rPr>
      </w:pPr>
    </w:p>
    <w:p w14:paraId="734EF233" w14:textId="77777777" w:rsidR="00477A61" w:rsidRPr="00E01239" w:rsidRDefault="00477A61" w:rsidP="00477A61">
      <w:pPr>
        <w:jc w:val="both"/>
        <w:rPr>
          <w:rFonts w:asciiTheme="minorHAnsi" w:hAnsiTheme="minorHAnsi" w:cstheme="minorHAnsi"/>
          <w:bCs/>
          <w:color w:val="000000"/>
          <w:sz w:val="22"/>
          <w:szCs w:val="22"/>
        </w:rPr>
      </w:pP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t xml:space="preserve">Nom de l’entreprise : </w:t>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t>_________________________</w:t>
      </w:r>
    </w:p>
    <w:p w14:paraId="36AE824B" w14:textId="77777777" w:rsidR="00477A61" w:rsidRPr="00E01239" w:rsidRDefault="00477A61" w:rsidP="00477A61">
      <w:pPr>
        <w:jc w:val="both"/>
        <w:rPr>
          <w:rFonts w:asciiTheme="minorHAnsi" w:hAnsiTheme="minorHAnsi" w:cstheme="minorHAnsi"/>
          <w:bCs/>
          <w:color w:val="000000"/>
          <w:sz w:val="22"/>
          <w:szCs w:val="22"/>
        </w:rPr>
      </w:pPr>
      <w:r w:rsidRPr="00E01239">
        <w:rPr>
          <w:rFonts w:asciiTheme="minorHAnsi" w:hAnsiTheme="minorHAnsi" w:cstheme="minorHAnsi"/>
          <w:bCs/>
          <w:color w:val="000000"/>
          <w:sz w:val="22"/>
          <w:szCs w:val="22"/>
        </w:rPr>
        <w:tab/>
      </w:r>
    </w:p>
    <w:p w14:paraId="5FC94326" w14:textId="77777777" w:rsidR="00477A61" w:rsidRPr="00E01239" w:rsidRDefault="00477A61" w:rsidP="00477A61">
      <w:pPr>
        <w:jc w:val="both"/>
        <w:rPr>
          <w:rFonts w:asciiTheme="minorHAnsi" w:hAnsiTheme="minorHAnsi" w:cstheme="minorHAnsi"/>
          <w:bCs/>
          <w:color w:val="000000"/>
          <w:sz w:val="22"/>
          <w:szCs w:val="22"/>
        </w:rPr>
      </w:pP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t>Signature :</w:t>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t>_________________________</w:t>
      </w:r>
    </w:p>
    <w:p w14:paraId="4721E2B8" w14:textId="77777777" w:rsidR="00477A61" w:rsidRPr="00E01239" w:rsidRDefault="00477A61" w:rsidP="00477A61">
      <w:pPr>
        <w:jc w:val="both"/>
        <w:rPr>
          <w:rFonts w:asciiTheme="minorHAnsi" w:hAnsiTheme="minorHAnsi" w:cstheme="minorHAnsi"/>
          <w:bCs/>
          <w:color w:val="000000"/>
          <w:sz w:val="22"/>
          <w:szCs w:val="22"/>
        </w:rPr>
      </w:pPr>
    </w:p>
    <w:p w14:paraId="7A03857B" w14:textId="77777777" w:rsidR="00477A61" w:rsidRPr="00E01239" w:rsidRDefault="00477A61" w:rsidP="00477A61">
      <w:pPr>
        <w:jc w:val="both"/>
        <w:rPr>
          <w:rFonts w:asciiTheme="minorHAnsi" w:hAnsiTheme="minorHAnsi" w:cstheme="minorHAnsi"/>
          <w:bCs/>
          <w:color w:val="000000"/>
          <w:sz w:val="22"/>
          <w:szCs w:val="22"/>
        </w:rPr>
      </w:pP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t xml:space="preserve">Nom en toutes lettres : </w:t>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t>___________________</w:t>
      </w:r>
    </w:p>
    <w:p w14:paraId="7424BB50" w14:textId="77777777" w:rsidR="00477A61" w:rsidRPr="00E01239" w:rsidRDefault="00477A61" w:rsidP="00477A61">
      <w:pPr>
        <w:jc w:val="both"/>
        <w:rPr>
          <w:rFonts w:asciiTheme="minorHAnsi" w:hAnsiTheme="minorHAnsi" w:cstheme="minorHAnsi"/>
          <w:bCs/>
          <w:color w:val="000000"/>
          <w:sz w:val="22"/>
          <w:szCs w:val="22"/>
        </w:rPr>
      </w:pP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r>
    </w:p>
    <w:p w14:paraId="4032E12D" w14:textId="77777777" w:rsidR="00477A61" w:rsidRPr="00E01239" w:rsidRDefault="00477A61" w:rsidP="00477A61">
      <w:pPr>
        <w:ind w:left="720" w:firstLine="720"/>
        <w:jc w:val="both"/>
        <w:rPr>
          <w:rFonts w:asciiTheme="minorHAnsi" w:hAnsiTheme="minorHAnsi" w:cstheme="minorHAnsi"/>
          <w:bCs/>
          <w:color w:val="000000"/>
          <w:sz w:val="22"/>
          <w:szCs w:val="22"/>
        </w:rPr>
      </w:pPr>
      <w:r w:rsidRPr="00E01239">
        <w:rPr>
          <w:rFonts w:asciiTheme="minorHAnsi" w:hAnsiTheme="minorHAnsi" w:cstheme="minorHAnsi"/>
          <w:bCs/>
          <w:color w:val="000000"/>
          <w:sz w:val="22"/>
          <w:szCs w:val="22"/>
        </w:rPr>
        <w:t xml:space="preserve">Titre : </w:t>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t>_________________________</w:t>
      </w:r>
    </w:p>
    <w:p w14:paraId="7AF55196" w14:textId="77777777" w:rsidR="00477A61" w:rsidRPr="00E01239" w:rsidRDefault="00477A61" w:rsidP="00477A61">
      <w:pPr>
        <w:rPr>
          <w:rFonts w:asciiTheme="minorHAnsi" w:hAnsiTheme="minorHAnsi" w:cstheme="minorHAnsi"/>
          <w:smallCaps/>
          <w:sz w:val="22"/>
          <w:szCs w:val="22"/>
        </w:rPr>
      </w:pPr>
    </w:p>
    <w:p w14:paraId="3047EA51" w14:textId="77777777" w:rsidR="00477A61" w:rsidRPr="00E01239" w:rsidRDefault="00477A61" w:rsidP="00477A61">
      <w:pPr>
        <w:jc w:val="both"/>
        <w:rPr>
          <w:rFonts w:asciiTheme="minorHAnsi" w:hAnsiTheme="minorHAnsi" w:cstheme="minorHAnsi"/>
          <w:bCs/>
          <w:color w:val="000000"/>
          <w:sz w:val="22"/>
          <w:szCs w:val="22"/>
        </w:rPr>
      </w:pP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t xml:space="preserve">Date : </w:t>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r>
      <w:r w:rsidRPr="00E01239">
        <w:rPr>
          <w:rFonts w:asciiTheme="minorHAnsi" w:hAnsiTheme="minorHAnsi" w:cstheme="minorHAnsi"/>
          <w:bCs/>
          <w:color w:val="000000"/>
          <w:sz w:val="22"/>
          <w:szCs w:val="22"/>
        </w:rPr>
        <w:tab/>
        <w:t>_________________________</w:t>
      </w:r>
    </w:p>
    <w:p w14:paraId="51F504F5" w14:textId="77777777" w:rsidR="00477A61" w:rsidRPr="00E01239" w:rsidRDefault="00477A61" w:rsidP="00477A61">
      <w:pPr>
        <w:jc w:val="both"/>
        <w:rPr>
          <w:rFonts w:asciiTheme="minorHAnsi" w:hAnsiTheme="minorHAnsi" w:cstheme="minorHAnsi"/>
          <w:bCs/>
          <w:color w:val="000000"/>
          <w:sz w:val="22"/>
          <w:szCs w:val="22"/>
        </w:rPr>
      </w:pPr>
    </w:p>
    <w:p w14:paraId="3FCC1B8C" w14:textId="77777777" w:rsidR="00477A61" w:rsidRPr="00E01239" w:rsidRDefault="00477A61" w:rsidP="00477A61">
      <w:pPr>
        <w:rPr>
          <w:rFonts w:asciiTheme="minorHAnsi" w:hAnsiTheme="minorHAnsi" w:cstheme="minorHAnsi"/>
          <w:color w:val="2F5496"/>
          <w:sz w:val="22"/>
          <w:szCs w:val="22"/>
        </w:rPr>
      </w:pPr>
      <w:r w:rsidRPr="00E01239">
        <w:rPr>
          <w:rFonts w:asciiTheme="minorHAnsi" w:hAnsiTheme="minorHAnsi" w:cstheme="minorHAnsi"/>
          <w:sz w:val="22"/>
          <w:szCs w:val="22"/>
        </w:rPr>
        <w:br w:type="page"/>
      </w:r>
    </w:p>
    <w:p w14:paraId="14499CF5" w14:textId="77777777" w:rsidR="00477A61" w:rsidRPr="00E01239" w:rsidRDefault="00477A61" w:rsidP="00477A61">
      <w:pPr>
        <w:rPr>
          <w:rFonts w:asciiTheme="minorHAnsi" w:hAnsiTheme="minorHAnsi" w:cstheme="minorHAnsi"/>
          <w:color w:val="2E74B5"/>
          <w:sz w:val="22"/>
          <w:szCs w:val="22"/>
        </w:rPr>
      </w:pPr>
    </w:p>
    <w:p w14:paraId="67172756" w14:textId="77777777" w:rsidR="00477A61" w:rsidRPr="00E01239" w:rsidRDefault="00477A61" w:rsidP="00477A61">
      <w:pPr>
        <w:pBdr>
          <w:bottom w:val="single" w:sz="4" w:space="1" w:color="A6A6A6"/>
        </w:pBdr>
        <w:jc w:val="center"/>
        <w:rPr>
          <w:rFonts w:asciiTheme="minorHAnsi" w:hAnsiTheme="minorHAnsi" w:cstheme="minorHAnsi"/>
          <w:b/>
          <w:bCs/>
          <w:color w:val="00B0F0"/>
          <w:sz w:val="22"/>
          <w:szCs w:val="22"/>
        </w:rPr>
      </w:pPr>
      <w:bookmarkStart w:id="1403" w:name="_Toc532302991"/>
      <w:r w:rsidRPr="00E01239">
        <w:rPr>
          <w:rFonts w:asciiTheme="minorHAnsi" w:hAnsiTheme="minorHAnsi" w:cstheme="minorHAnsi"/>
          <w:b/>
          <w:bCs/>
          <w:color w:val="00B0F0"/>
          <w:sz w:val="22"/>
          <w:szCs w:val="22"/>
        </w:rPr>
        <w:t>Code de conduite du gestionnaire</w:t>
      </w:r>
      <w:bookmarkEnd w:id="1403"/>
    </w:p>
    <w:p w14:paraId="7E4D0141" w14:textId="77777777" w:rsidR="00477A61" w:rsidRPr="00E01239" w:rsidRDefault="00477A61" w:rsidP="00477A61">
      <w:pPr>
        <w:jc w:val="both"/>
        <w:rPr>
          <w:rFonts w:asciiTheme="minorHAnsi" w:hAnsiTheme="minorHAnsi" w:cstheme="minorHAnsi"/>
          <w:sz w:val="22"/>
          <w:szCs w:val="22"/>
        </w:rPr>
      </w:pPr>
    </w:p>
    <w:p w14:paraId="6B3613D8"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VBG et aux VCE. Cela signifie que les gestionnaires ont la lourde responsabilité de créer et maintenir un environnement qui respecte ces normes et permet de prévenir les VBG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entrepreneurs (E-PGES) et du Plan de gestion des normes d’hygiène et de sécurité au travail (HST), ainsi qu’à développer des systèmes qui facilitent la mise en œuvre du Plan d’action sur les VBG et les VCE. Ils doivent garantir un lieu de travail sûr ainsi qu’un environnement sans VBG et VCE aussi bien dans le milieu de travail qu’au sein des communautés locales. Ces responsabilités comprennent, sans toutefois s’y limiter : </w:t>
      </w:r>
    </w:p>
    <w:p w14:paraId="14A441C7" w14:textId="77777777" w:rsidR="00477A61" w:rsidRPr="00E01239" w:rsidRDefault="00477A61" w:rsidP="00477A61">
      <w:pPr>
        <w:jc w:val="both"/>
        <w:rPr>
          <w:rFonts w:asciiTheme="minorHAnsi" w:hAnsiTheme="minorHAnsi" w:cstheme="minorHAnsi"/>
          <w:sz w:val="22"/>
          <w:szCs w:val="22"/>
        </w:rPr>
      </w:pPr>
    </w:p>
    <w:p w14:paraId="7C7C2FF4" w14:textId="77777777" w:rsidR="00477A61" w:rsidRPr="00E01239" w:rsidRDefault="00477A61" w:rsidP="00477A61">
      <w:pPr>
        <w:autoSpaceDE w:val="0"/>
        <w:autoSpaceDN w:val="0"/>
        <w:adjustRightInd w:val="0"/>
        <w:jc w:val="both"/>
        <w:rPr>
          <w:rFonts w:asciiTheme="minorHAnsi" w:hAnsiTheme="minorHAnsi" w:cstheme="minorHAnsi"/>
          <w:b/>
          <w:bCs/>
          <w:sz w:val="22"/>
          <w:szCs w:val="22"/>
        </w:rPr>
      </w:pPr>
      <w:r w:rsidRPr="00E01239">
        <w:rPr>
          <w:rFonts w:asciiTheme="minorHAnsi" w:hAnsiTheme="minorHAnsi" w:cstheme="minorHAnsi"/>
          <w:b/>
          <w:bCs/>
          <w:sz w:val="22"/>
          <w:szCs w:val="22"/>
        </w:rPr>
        <w:t>La mise en œuvre</w:t>
      </w:r>
    </w:p>
    <w:p w14:paraId="43489A7A" w14:textId="77777777" w:rsidR="00477A61" w:rsidRPr="00E01239" w:rsidRDefault="00477A61" w:rsidP="00477A61">
      <w:pPr>
        <w:autoSpaceDE w:val="0"/>
        <w:autoSpaceDN w:val="0"/>
        <w:adjustRightInd w:val="0"/>
        <w:jc w:val="both"/>
        <w:rPr>
          <w:rFonts w:asciiTheme="minorHAnsi" w:hAnsiTheme="minorHAnsi" w:cstheme="minorHAnsi"/>
          <w:b/>
          <w:bCs/>
          <w:sz w:val="22"/>
          <w:szCs w:val="22"/>
        </w:rPr>
      </w:pPr>
    </w:p>
    <w:p w14:paraId="535B1775" w14:textId="77777777" w:rsidR="00477A61" w:rsidRPr="00E01239" w:rsidRDefault="00477A61" w:rsidP="002A19B3">
      <w:pPr>
        <w:pStyle w:val="Paragraphedeliste"/>
        <w:numPr>
          <w:ilvl w:val="0"/>
          <w:numId w:val="77"/>
        </w:numPr>
        <w:ind w:left="426"/>
        <w:contextualSpacing w:val="0"/>
        <w:rPr>
          <w:rFonts w:asciiTheme="minorHAnsi" w:hAnsiTheme="minorHAnsi" w:cstheme="minorHAnsi"/>
          <w:sz w:val="22"/>
          <w:szCs w:val="22"/>
        </w:rPr>
      </w:pPr>
      <w:r w:rsidRPr="00E01239">
        <w:rPr>
          <w:rFonts w:asciiTheme="minorHAnsi" w:hAnsiTheme="minorHAnsi" w:cstheme="minorHAnsi"/>
          <w:sz w:val="22"/>
          <w:szCs w:val="22"/>
        </w:rPr>
        <w:t>Garantir une efficacité maximale du Code de conduite de l’entreprise et du Code de conduite individuel :</w:t>
      </w:r>
    </w:p>
    <w:p w14:paraId="689FB4E0" w14:textId="77777777" w:rsidR="00477A61" w:rsidRPr="00E01239" w:rsidRDefault="00477A61" w:rsidP="002A19B3">
      <w:pPr>
        <w:pStyle w:val="Paragraphedeliste"/>
        <w:numPr>
          <w:ilvl w:val="1"/>
          <w:numId w:val="86"/>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51EAD941" w14:textId="77777777" w:rsidR="00477A61" w:rsidRPr="00E01239" w:rsidRDefault="00477A61" w:rsidP="002A19B3">
      <w:pPr>
        <w:pStyle w:val="Paragraphedeliste"/>
        <w:numPr>
          <w:ilvl w:val="1"/>
          <w:numId w:val="86"/>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S’assurer que tous les exemplaires affichés et distribués du Code de conduite de l’entreprise et du Code de conduite individuel sont traduits dans la langue appropriée qui est utilisée sur le lieu de travail ainsi que dans la langue maternelle de tout employé international. </w:t>
      </w:r>
    </w:p>
    <w:p w14:paraId="399D7153" w14:textId="77777777" w:rsidR="00477A61" w:rsidRPr="00E01239" w:rsidRDefault="00477A61" w:rsidP="002A19B3">
      <w:pPr>
        <w:pStyle w:val="Paragraphedeliste"/>
        <w:numPr>
          <w:ilvl w:val="0"/>
          <w:numId w:val="77"/>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Expliquer oralement et par écrit le Code de conduite de l’entreprise et le Code de conduite individuel à l’ensemble du personnel. </w:t>
      </w:r>
    </w:p>
    <w:p w14:paraId="68114767" w14:textId="77777777" w:rsidR="00477A61" w:rsidRPr="00E01239" w:rsidRDefault="00477A61" w:rsidP="002A19B3">
      <w:pPr>
        <w:pStyle w:val="Paragraphedeliste"/>
        <w:numPr>
          <w:ilvl w:val="0"/>
          <w:numId w:val="77"/>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Veiller à ce que :</w:t>
      </w:r>
    </w:p>
    <w:p w14:paraId="79ED3AD8" w14:textId="77777777" w:rsidR="00477A61" w:rsidRPr="00E01239" w:rsidRDefault="00477A61" w:rsidP="002A19B3">
      <w:pPr>
        <w:pStyle w:val="Paragraphedeliste"/>
        <w:numPr>
          <w:ilvl w:val="1"/>
          <w:numId w:val="84"/>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Tous les subordonnés directs signent le « Code de conduite individuel », en confirmant qu’ils l’ont lu et qu’ils y souscrivent ;</w:t>
      </w:r>
    </w:p>
    <w:p w14:paraId="1CF7570C" w14:textId="77777777" w:rsidR="00477A61" w:rsidRPr="00E01239" w:rsidRDefault="00477A61" w:rsidP="002A19B3">
      <w:pPr>
        <w:pStyle w:val="Paragraphedeliste"/>
        <w:numPr>
          <w:ilvl w:val="1"/>
          <w:numId w:val="84"/>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listes du personnel et les copies signées du Code de conduite individuel soient fournies au gestionnaire chargé de l’HST, à l’Equipe de conformité (EC) et au client ;</w:t>
      </w:r>
    </w:p>
    <w:p w14:paraId="57D33476" w14:textId="77777777" w:rsidR="00477A61" w:rsidRPr="00E01239" w:rsidRDefault="00477A61" w:rsidP="002A19B3">
      <w:pPr>
        <w:pStyle w:val="Paragraphedeliste"/>
        <w:numPr>
          <w:ilvl w:val="1"/>
          <w:numId w:val="84"/>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Participer à la formation et s’assurer que le personnel y participe également, comme indiqué ci-dessous ;</w:t>
      </w:r>
    </w:p>
    <w:p w14:paraId="5C90692F" w14:textId="77777777" w:rsidR="00477A61" w:rsidRPr="00E01239" w:rsidRDefault="00477A61" w:rsidP="002A19B3">
      <w:pPr>
        <w:pStyle w:val="Paragraphedeliste"/>
        <w:numPr>
          <w:ilvl w:val="1"/>
          <w:numId w:val="84"/>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Mettre en place un mécanisme permettant au personnel de :</w:t>
      </w:r>
    </w:p>
    <w:p w14:paraId="2B201381" w14:textId="77777777" w:rsidR="00477A61" w:rsidRPr="00E01239" w:rsidRDefault="00477A61" w:rsidP="002A19B3">
      <w:pPr>
        <w:pStyle w:val="Paragraphedeliste"/>
        <w:numPr>
          <w:ilvl w:val="2"/>
          <w:numId w:val="85"/>
        </w:numPr>
        <w:autoSpaceDE w:val="0"/>
        <w:autoSpaceDN w:val="0"/>
        <w:adjustRightInd w:val="0"/>
        <w:ind w:left="1843" w:hanging="458"/>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Signaler les préoccupations relatives à la conformité aux normes ESHS ou aux exigences des normes HST ; et </w:t>
      </w:r>
    </w:p>
    <w:p w14:paraId="08991721" w14:textId="77777777" w:rsidR="00477A61" w:rsidRPr="00E01239" w:rsidRDefault="00477A61" w:rsidP="002A19B3">
      <w:pPr>
        <w:pStyle w:val="Paragraphedeliste"/>
        <w:numPr>
          <w:ilvl w:val="2"/>
          <w:numId w:val="85"/>
        </w:numPr>
        <w:autoSpaceDE w:val="0"/>
        <w:autoSpaceDN w:val="0"/>
        <w:adjustRightInd w:val="0"/>
        <w:ind w:left="1843" w:hanging="458"/>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Signaler en toute confidentialité les incidents liés aux VBG ou aux VCE par le biais du Mécanisme des plaintes et des doléances </w:t>
      </w:r>
    </w:p>
    <w:p w14:paraId="7419099A" w14:textId="77777777" w:rsidR="00477A61" w:rsidRPr="00E01239" w:rsidRDefault="00477A61" w:rsidP="002A19B3">
      <w:pPr>
        <w:pStyle w:val="Paragraphedeliste"/>
        <w:numPr>
          <w:ilvl w:val="1"/>
          <w:numId w:val="84"/>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Les membres du personnel sont encouragés à signaler les problèmes présumés et avérés liés aux normes ESHS et aux exigences HST, aux VBG ou aux VCE, en mettant l’accent sur la responsabilité du personnel envers l’entreprise et le pays où ils travaillent et dans le respect du principe de confidentialité. </w:t>
      </w:r>
    </w:p>
    <w:p w14:paraId="7F92571F" w14:textId="77777777" w:rsidR="00477A61" w:rsidRPr="00E01239" w:rsidRDefault="00477A61" w:rsidP="002A19B3">
      <w:pPr>
        <w:pStyle w:val="Paragraphedeliste"/>
        <w:widowControl w:val="0"/>
        <w:numPr>
          <w:ilvl w:val="0"/>
          <w:numId w:val="77"/>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Conformément aux lois en vigueur et au mieux de vos compétences, empêcher que les auteurs d’exploitation et d’abus sexuels soient embauchés, réembauchés ou déployés. Vérifier les antécédents et les casiers judiciaires de tous les employés. </w:t>
      </w:r>
    </w:p>
    <w:p w14:paraId="2C253BF8" w14:textId="77777777" w:rsidR="00477A61" w:rsidRPr="00E01239" w:rsidRDefault="00477A61" w:rsidP="002A19B3">
      <w:pPr>
        <w:pStyle w:val="Paragraphedeliste"/>
        <w:numPr>
          <w:ilvl w:val="0"/>
          <w:numId w:val="77"/>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lastRenderedPageBreak/>
        <w:t>Veiller à ce que lors de la conclusion d’accords de partenariat, de sous-traitance, de fournisseurs ou d’accords similaires, ces accords :</w:t>
      </w:r>
    </w:p>
    <w:p w14:paraId="2B7A6EBD" w14:textId="77777777" w:rsidR="00477A61" w:rsidRPr="00E01239" w:rsidRDefault="00477A61" w:rsidP="002A19B3">
      <w:pPr>
        <w:pStyle w:val="Paragraphedeliste"/>
        <w:numPr>
          <w:ilvl w:val="1"/>
          <w:numId w:val="83"/>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Intègrent en annexes les codes de conduite sur les normes ESHS, les exigences HST, les GBV et les VCE ;</w:t>
      </w:r>
    </w:p>
    <w:p w14:paraId="12F713BE" w14:textId="77777777" w:rsidR="00477A61" w:rsidRPr="00E01239" w:rsidRDefault="00477A61" w:rsidP="002A19B3">
      <w:pPr>
        <w:pStyle w:val="Paragraphedeliste"/>
        <w:numPr>
          <w:ilvl w:val="1"/>
          <w:numId w:val="83"/>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Intègrent la formulation appropriée exigeant que ces entités adjudicatrices et ces individus sous contrats, ainsi que leurs employés et bénévoles, se conforment au Code de conduite individuel ;</w:t>
      </w:r>
    </w:p>
    <w:p w14:paraId="2BBD13A7" w14:textId="77777777" w:rsidR="00477A61" w:rsidRPr="00E01239" w:rsidRDefault="00477A61" w:rsidP="002A19B3">
      <w:pPr>
        <w:pStyle w:val="Paragraphedeliste"/>
        <w:numPr>
          <w:ilvl w:val="1"/>
          <w:numId w:val="83"/>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Enoncent expressément que le manquement de ces entités ou individus, selon le cas, à garantir le respect des normes ESHS et des exigences HST ; à prendre des mesures préventives pour lutter contre la VBG et la VCE ; à enquêter sur les allégations y afférentes ou à prendre des mesures correctives lorsque des actes de VBG et de VCE sont commises – tout cela constitue non seulement un motif de sanctions et pénalités conformément aux Codes de conduite individuels, mais également un motif de résiliation des accords de travail sur le projet ou de prestations.</w:t>
      </w:r>
    </w:p>
    <w:p w14:paraId="0FA7A6EB" w14:textId="77777777" w:rsidR="00477A61" w:rsidRPr="00E01239" w:rsidRDefault="00477A61" w:rsidP="002A19B3">
      <w:pPr>
        <w:pStyle w:val="Paragraphedeliste"/>
        <w:numPr>
          <w:ilvl w:val="0"/>
          <w:numId w:val="77"/>
        </w:numPr>
        <w:ind w:left="284"/>
        <w:contextualSpacing w:val="0"/>
        <w:rPr>
          <w:rFonts w:asciiTheme="minorHAnsi" w:hAnsiTheme="minorHAnsi" w:cstheme="minorHAnsi"/>
          <w:sz w:val="22"/>
          <w:szCs w:val="22"/>
        </w:rPr>
      </w:pPr>
      <w:r w:rsidRPr="00E01239">
        <w:rPr>
          <w:rFonts w:asciiTheme="minorHAnsi" w:hAnsiTheme="minorHAnsi" w:cstheme="minorHAnsi"/>
          <w:sz w:val="22"/>
          <w:szCs w:val="22"/>
        </w:rPr>
        <w:t>Fournir un appui et des ressources à l’équipe de conformité (EC) sur les VBG et les VCE pour créer et diffuser des initiatives de sensibilisation interne par le biais de la stratégie de sensibilisation dans le cadre du Plan d’action VBG et VCE.</w:t>
      </w:r>
    </w:p>
    <w:p w14:paraId="2DBB3028" w14:textId="77777777" w:rsidR="00477A61" w:rsidRPr="00E01239" w:rsidRDefault="00477A61" w:rsidP="002A19B3">
      <w:pPr>
        <w:pStyle w:val="Paragraphedeliste"/>
        <w:numPr>
          <w:ilvl w:val="0"/>
          <w:numId w:val="77"/>
        </w:numPr>
        <w:ind w:left="284"/>
        <w:contextualSpacing w:val="0"/>
        <w:rPr>
          <w:rFonts w:asciiTheme="minorHAnsi" w:hAnsiTheme="minorHAnsi" w:cstheme="minorHAnsi"/>
          <w:sz w:val="22"/>
          <w:szCs w:val="22"/>
        </w:rPr>
      </w:pPr>
      <w:r w:rsidRPr="00E01239">
        <w:rPr>
          <w:rFonts w:asciiTheme="minorHAnsi" w:hAnsiTheme="minorHAnsi" w:cstheme="minorHAnsi"/>
          <w:sz w:val="22"/>
          <w:szCs w:val="22"/>
        </w:rPr>
        <w:t>Veiller à ce que toute question de VBG ou de VCE justifiant une intervention policière soit immédiatement signalée aux services de police, au client et à la Banque mondiale.</w:t>
      </w:r>
    </w:p>
    <w:p w14:paraId="01333D83" w14:textId="77777777" w:rsidR="00477A61" w:rsidRPr="00E01239" w:rsidRDefault="00477A61" w:rsidP="002A19B3">
      <w:pPr>
        <w:pStyle w:val="Paragraphedeliste"/>
        <w:numPr>
          <w:ilvl w:val="0"/>
          <w:numId w:val="77"/>
        </w:numPr>
        <w:ind w:left="284"/>
        <w:contextualSpacing w:val="0"/>
        <w:rPr>
          <w:rFonts w:asciiTheme="minorHAnsi" w:hAnsiTheme="minorHAnsi" w:cstheme="minorHAnsi"/>
          <w:sz w:val="22"/>
          <w:szCs w:val="22"/>
        </w:rPr>
      </w:pPr>
      <w:r w:rsidRPr="00E01239">
        <w:rPr>
          <w:rFonts w:asciiTheme="minorHAnsi" w:hAnsiTheme="minorHAnsi" w:cstheme="minorHAnsi"/>
          <w:sz w:val="22"/>
          <w:szCs w:val="22"/>
        </w:rPr>
        <w:t>Signaler tout acte présumé ou avéré de VBG et/ou de VCE et y répondre conformément au Protocole d’intervention (Section 4.7 : Protocole d’intervention), étant donné que les gestionnaires ont la responsabilité de faire respecter les engagements de l’entreprise et de tenir leurs subordonnés directement responsables de leurs actes.</w:t>
      </w:r>
    </w:p>
    <w:p w14:paraId="25CB68F0" w14:textId="77777777" w:rsidR="00477A61" w:rsidRPr="00E01239" w:rsidRDefault="00477A61" w:rsidP="002A19B3">
      <w:pPr>
        <w:pStyle w:val="Paragraphedeliste"/>
        <w:numPr>
          <w:ilvl w:val="0"/>
          <w:numId w:val="77"/>
        </w:numPr>
        <w:ind w:left="284"/>
        <w:contextualSpacing w:val="0"/>
        <w:rPr>
          <w:rFonts w:asciiTheme="minorHAnsi" w:hAnsiTheme="minorHAnsi" w:cstheme="minorHAnsi"/>
          <w:sz w:val="22"/>
          <w:szCs w:val="22"/>
        </w:rPr>
      </w:pPr>
      <w:r w:rsidRPr="00E01239">
        <w:rPr>
          <w:rFonts w:asciiTheme="minorHAnsi" w:hAnsiTheme="minorHAnsi" w:cstheme="minorHAnsi"/>
          <w:sz w:val="22"/>
          <w:szCs w:val="22"/>
        </w:rPr>
        <w:t>S’assurer que tout incident majeur lié aux normes ESHS ou aux exigences HST est signalé immédiatement au client et à l’ingénieur chargé de la surveillance des travaux.</w:t>
      </w:r>
    </w:p>
    <w:p w14:paraId="07858853" w14:textId="77777777" w:rsidR="00477A61" w:rsidRPr="00E01239" w:rsidRDefault="00477A61" w:rsidP="00477A61">
      <w:pPr>
        <w:autoSpaceDE w:val="0"/>
        <w:autoSpaceDN w:val="0"/>
        <w:adjustRightInd w:val="0"/>
        <w:jc w:val="both"/>
        <w:rPr>
          <w:rFonts w:asciiTheme="minorHAnsi" w:hAnsiTheme="minorHAnsi" w:cstheme="minorHAnsi"/>
          <w:b/>
          <w:bCs/>
          <w:sz w:val="22"/>
          <w:szCs w:val="22"/>
        </w:rPr>
      </w:pPr>
    </w:p>
    <w:p w14:paraId="28CB7B8F" w14:textId="77777777" w:rsidR="00477A61" w:rsidRPr="00E01239" w:rsidRDefault="00477A61" w:rsidP="00477A61">
      <w:pPr>
        <w:autoSpaceDE w:val="0"/>
        <w:autoSpaceDN w:val="0"/>
        <w:adjustRightInd w:val="0"/>
        <w:jc w:val="both"/>
        <w:rPr>
          <w:rFonts w:asciiTheme="minorHAnsi" w:hAnsiTheme="minorHAnsi" w:cstheme="minorHAnsi"/>
          <w:b/>
          <w:bCs/>
          <w:sz w:val="22"/>
          <w:szCs w:val="22"/>
        </w:rPr>
      </w:pPr>
      <w:r w:rsidRPr="00E01239">
        <w:rPr>
          <w:rFonts w:asciiTheme="minorHAnsi" w:hAnsiTheme="minorHAnsi" w:cstheme="minorHAnsi"/>
          <w:b/>
          <w:bCs/>
          <w:sz w:val="22"/>
          <w:szCs w:val="22"/>
        </w:rPr>
        <w:t>La formation</w:t>
      </w:r>
    </w:p>
    <w:p w14:paraId="214FDCE7" w14:textId="77777777" w:rsidR="00477A61" w:rsidRPr="00E01239" w:rsidRDefault="00477A61" w:rsidP="00477A61">
      <w:pPr>
        <w:autoSpaceDE w:val="0"/>
        <w:autoSpaceDN w:val="0"/>
        <w:adjustRightInd w:val="0"/>
        <w:jc w:val="both"/>
        <w:rPr>
          <w:rFonts w:asciiTheme="minorHAnsi" w:hAnsiTheme="minorHAnsi" w:cstheme="minorHAnsi"/>
          <w:b/>
          <w:bCs/>
          <w:sz w:val="22"/>
          <w:szCs w:val="22"/>
        </w:rPr>
      </w:pPr>
    </w:p>
    <w:p w14:paraId="0FDA51BD" w14:textId="77777777" w:rsidR="00477A61" w:rsidRPr="00E01239" w:rsidRDefault="00477A61" w:rsidP="002A19B3">
      <w:pPr>
        <w:pStyle w:val="Paragraphedeliste"/>
        <w:numPr>
          <w:ilvl w:val="0"/>
          <w:numId w:val="77"/>
        </w:numPr>
        <w:autoSpaceDE w:val="0"/>
        <w:autoSpaceDN w:val="0"/>
        <w:adjustRightInd w:val="0"/>
        <w:ind w:left="284"/>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gestionnaires ont la responsabilité de :</w:t>
      </w:r>
    </w:p>
    <w:p w14:paraId="457E8A40" w14:textId="77777777" w:rsidR="00477A61" w:rsidRPr="00E01239" w:rsidRDefault="00477A61" w:rsidP="002A19B3">
      <w:pPr>
        <w:pStyle w:val="Paragraphedeliste"/>
        <w:numPr>
          <w:ilvl w:val="1"/>
          <w:numId w:val="82"/>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Veiller à ce que le Plan de gestion des normes HST soit mis en œuvre, accompagné d’une formation adéquate à l’intention de l’ensemble du personnel, y compris les sous-traitants et les fournisseurs ; </w:t>
      </w:r>
    </w:p>
    <w:p w14:paraId="228A9F7E" w14:textId="77777777" w:rsidR="00477A61" w:rsidRPr="00E01239" w:rsidRDefault="00477A61" w:rsidP="002A19B3">
      <w:pPr>
        <w:pStyle w:val="Paragraphedeliste"/>
        <w:numPr>
          <w:ilvl w:val="1"/>
          <w:numId w:val="82"/>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Veiller à ce que le personnel ait une compréhension adéquate du E-PGES et qu’il reçoive la formation nécessaire pour en mettre ses exigences en œuvre.</w:t>
      </w:r>
    </w:p>
    <w:p w14:paraId="3B1565A9" w14:textId="77777777" w:rsidR="00477A61" w:rsidRPr="00E01239" w:rsidRDefault="00477A61" w:rsidP="002A19B3">
      <w:pPr>
        <w:pStyle w:val="Paragraphedeliste"/>
        <w:numPr>
          <w:ilvl w:val="0"/>
          <w:numId w:val="77"/>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 et la VCE.</w:t>
      </w:r>
    </w:p>
    <w:p w14:paraId="3EE9E9C6" w14:textId="77777777" w:rsidR="00477A61" w:rsidRPr="00E01239" w:rsidRDefault="00477A61" w:rsidP="002A19B3">
      <w:pPr>
        <w:pStyle w:val="Paragraphedeliste"/>
        <w:numPr>
          <w:ilvl w:val="0"/>
          <w:numId w:val="77"/>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gestionnaires sont tenus d’assister et de contribuer aux cours de formation mensuels animés dans le cadre du projet et dispensés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2EBA218E" w14:textId="77777777" w:rsidR="00477A61" w:rsidRPr="00E01239" w:rsidRDefault="00477A61" w:rsidP="002A19B3">
      <w:pPr>
        <w:pStyle w:val="Paragraphedeliste"/>
        <w:numPr>
          <w:ilvl w:val="0"/>
          <w:numId w:val="77"/>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35A60925" w14:textId="77777777" w:rsidR="00477A61" w:rsidRPr="00E01239" w:rsidRDefault="00477A61" w:rsidP="002A19B3">
      <w:pPr>
        <w:pStyle w:val="Paragraphedeliste"/>
        <w:numPr>
          <w:ilvl w:val="1"/>
          <w:numId w:val="81"/>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exigences HST et les normes ESHS ; et</w:t>
      </w:r>
    </w:p>
    <w:p w14:paraId="3DB9B200" w14:textId="77777777" w:rsidR="00477A61" w:rsidRPr="00E01239" w:rsidRDefault="00477A61" w:rsidP="002A19B3">
      <w:pPr>
        <w:pStyle w:val="Paragraphedeliste"/>
        <w:numPr>
          <w:ilvl w:val="1"/>
          <w:numId w:val="81"/>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VBG et les VCE ; cette formation est exigée de tous les employés.</w:t>
      </w:r>
    </w:p>
    <w:p w14:paraId="17EE7083" w14:textId="77777777" w:rsidR="00477A61" w:rsidRPr="00E01239" w:rsidRDefault="00477A61" w:rsidP="002A19B3">
      <w:pPr>
        <w:pStyle w:val="Paragraphedeliste"/>
        <w:numPr>
          <w:ilvl w:val="0"/>
          <w:numId w:val="77"/>
        </w:numPr>
        <w:ind w:left="426"/>
        <w:contextualSpacing w:val="0"/>
        <w:rPr>
          <w:rFonts w:asciiTheme="minorHAnsi" w:hAnsiTheme="minorHAnsi" w:cstheme="minorHAnsi"/>
          <w:sz w:val="22"/>
          <w:szCs w:val="22"/>
        </w:rPr>
      </w:pPr>
      <w:r w:rsidRPr="00E01239">
        <w:rPr>
          <w:rFonts w:asciiTheme="minorHAnsi" w:hAnsiTheme="minorHAnsi" w:cstheme="minorHAnsi"/>
          <w:sz w:val="22"/>
          <w:szCs w:val="22"/>
        </w:rPr>
        <w:lastRenderedPageBreak/>
        <w:t>Durant les travaux de génie civil, veiller à ce que le personnel suive une formation continue sur les exigences HTS et les normes ESHS, ainsi que le cours de rappel mensuel obligatoire exigé de tous les employés pour faire face au risque accru de VBG et de VCE.</w:t>
      </w:r>
    </w:p>
    <w:p w14:paraId="315F0225" w14:textId="77777777" w:rsidR="00477A61" w:rsidRPr="00E01239" w:rsidRDefault="00477A61" w:rsidP="00477A61">
      <w:pPr>
        <w:autoSpaceDE w:val="0"/>
        <w:autoSpaceDN w:val="0"/>
        <w:adjustRightInd w:val="0"/>
        <w:jc w:val="both"/>
        <w:rPr>
          <w:rFonts w:asciiTheme="minorHAnsi" w:hAnsiTheme="minorHAnsi" w:cstheme="minorHAnsi"/>
          <w:b/>
          <w:bCs/>
          <w:sz w:val="22"/>
          <w:szCs w:val="22"/>
        </w:rPr>
      </w:pPr>
    </w:p>
    <w:p w14:paraId="24E213E5" w14:textId="77777777" w:rsidR="00477A61" w:rsidRPr="00E01239" w:rsidRDefault="00477A61" w:rsidP="00477A61">
      <w:pPr>
        <w:autoSpaceDE w:val="0"/>
        <w:autoSpaceDN w:val="0"/>
        <w:adjustRightInd w:val="0"/>
        <w:jc w:val="both"/>
        <w:rPr>
          <w:rFonts w:asciiTheme="minorHAnsi" w:hAnsiTheme="minorHAnsi" w:cstheme="minorHAnsi"/>
          <w:b/>
          <w:bCs/>
          <w:sz w:val="22"/>
          <w:szCs w:val="22"/>
        </w:rPr>
      </w:pPr>
      <w:r w:rsidRPr="00E01239">
        <w:rPr>
          <w:rFonts w:asciiTheme="minorHAnsi" w:hAnsiTheme="minorHAnsi" w:cstheme="minorHAnsi"/>
          <w:b/>
          <w:bCs/>
          <w:sz w:val="22"/>
          <w:szCs w:val="22"/>
        </w:rPr>
        <w:t>L’intervention</w:t>
      </w:r>
    </w:p>
    <w:p w14:paraId="1021F27D" w14:textId="77777777" w:rsidR="00477A61" w:rsidRPr="00E01239" w:rsidRDefault="00477A61" w:rsidP="00477A61">
      <w:pPr>
        <w:autoSpaceDE w:val="0"/>
        <w:autoSpaceDN w:val="0"/>
        <w:adjustRightInd w:val="0"/>
        <w:jc w:val="both"/>
        <w:rPr>
          <w:rFonts w:asciiTheme="minorHAnsi" w:hAnsiTheme="minorHAnsi" w:cstheme="minorHAnsi"/>
          <w:sz w:val="22"/>
          <w:szCs w:val="22"/>
        </w:rPr>
      </w:pPr>
    </w:p>
    <w:p w14:paraId="01606507" w14:textId="77777777" w:rsidR="00477A61" w:rsidRPr="00E01239" w:rsidRDefault="00477A61" w:rsidP="002A19B3">
      <w:pPr>
        <w:pStyle w:val="Paragraphedeliste"/>
        <w:numPr>
          <w:ilvl w:val="0"/>
          <w:numId w:val="77"/>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gestionnaires devront prendre des mesures appropriées pour répondre à tout incident lié aux normes ESHS ou aux exigences HST.</w:t>
      </w:r>
    </w:p>
    <w:p w14:paraId="6A10792F" w14:textId="77777777" w:rsidR="00477A61" w:rsidRPr="00E01239" w:rsidRDefault="00477A61" w:rsidP="002A19B3">
      <w:pPr>
        <w:pStyle w:val="Paragraphedeliste"/>
        <w:numPr>
          <w:ilvl w:val="0"/>
          <w:numId w:val="77"/>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En ce qui concerne la VBG et la VCE :</w:t>
      </w:r>
    </w:p>
    <w:p w14:paraId="1505F065" w14:textId="77777777" w:rsidR="00477A61" w:rsidRPr="00E01239" w:rsidRDefault="00477A61" w:rsidP="002A19B3">
      <w:pPr>
        <w:pStyle w:val="Paragraphedeliste"/>
        <w:numPr>
          <w:ilvl w:val="1"/>
          <w:numId w:val="78"/>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Apporter une contribution aux Procédures relatives aux allégations de VBG et de VCE (Section 4.2 du Plan d’action) et au Protocole d’intervention (Section 4.7 du Plan d’action) élaborés par l’Equipe de conformité (EC) dans le cadre du Plan d’action final VBG et VCE approuvé ; </w:t>
      </w:r>
    </w:p>
    <w:p w14:paraId="1FE41C59" w14:textId="77777777" w:rsidR="00477A61" w:rsidRPr="00E01239" w:rsidRDefault="00477A61" w:rsidP="002A19B3">
      <w:pPr>
        <w:pStyle w:val="Paragraphedeliste"/>
        <w:numPr>
          <w:ilvl w:val="1"/>
          <w:numId w:val="78"/>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Une fois adoptées par l’entreprise, les gestionnaires devront appliquer les mesures de Responsabilité et Confidentialité (Section 4.4 du Plan d’action) énoncées dans le Plan d’action VBG et VCE, afin de préserver la confidentialité au sujet de l’identité des employés qui dénoncent ou commettent (prétendument) des actes de VBG et de VCE (à moins qu’une violation de confidentialité ne soit nécessaire pour protéger des personnes ou des biens contre un préjudice grave ou si la loi l’exige) ;</w:t>
      </w:r>
    </w:p>
    <w:p w14:paraId="0D204B04" w14:textId="77777777" w:rsidR="00477A61" w:rsidRPr="00E01239" w:rsidRDefault="00477A61" w:rsidP="002A19B3">
      <w:pPr>
        <w:pStyle w:val="Paragraphedeliste"/>
        <w:numPr>
          <w:ilvl w:val="1"/>
          <w:numId w:val="78"/>
        </w:numPr>
        <w:autoSpaceDE w:val="0"/>
        <w:autoSpaceDN w:val="0"/>
        <w:adjustRightInd w:val="0"/>
        <w:ind w:left="993"/>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Si un gestionnaire a des préoccupations ou des soupçons au sujet d’une forme quelconque de VBG ou de VCE commise par l’un de ses subordonnés directs ou par un employé travaillant pour un autre entrepreneur sur le même lieu de travail, il est tenu de signaler le cas en se référant aux mécanismes de plaintes ; </w:t>
      </w:r>
    </w:p>
    <w:p w14:paraId="2AEA9346" w14:textId="77777777" w:rsidR="00477A61" w:rsidRPr="00E01239" w:rsidRDefault="00477A61" w:rsidP="002A19B3">
      <w:pPr>
        <w:pStyle w:val="Paragraphedeliste"/>
        <w:numPr>
          <w:ilvl w:val="1"/>
          <w:numId w:val="78"/>
        </w:numPr>
        <w:ind w:left="1134"/>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Une fois qu’une sanction a été déterminée, les gestionnaires concernés sont censés être personnellement responsables de faire en sorte que la mesure soit effectivement appliquée, dans un délai maximum de </w:t>
      </w:r>
      <w:r w:rsidRPr="00E01239">
        <w:rPr>
          <w:rFonts w:asciiTheme="minorHAnsi" w:hAnsiTheme="minorHAnsi" w:cstheme="minorHAnsi"/>
          <w:sz w:val="22"/>
          <w:szCs w:val="22"/>
          <w:u w:val="single"/>
        </w:rPr>
        <w:t>14 jours</w:t>
      </w:r>
      <w:r w:rsidRPr="00E01239">
        <w:rPr>
          <w:rFonts w:asciiTheme="minorHAnsi" w:hAnsiTheme="minorHAnsi" w:cstheme="minorHAnsi"/>
          <w:sz w:val="22"/>
          <w:szCs w:val="22"/>
        </w:rPr>
        <w:t xml:space="preserve"> suivant la date à laquelle la décision de sanction a été rendue ;  </w:t>
      </w:r>
    </w:p>
    <w:p w14:paraId="0420AE76" w14:textId="77777777" w:rsidR="00477A61" w:rsidRPr="00E01239" w:rsidRDefault="00477A61" w:rsidP="002A19B3">
      <w:pPr>
        <w:pStyle w:val="Paragraphedeliste"/>
        <w:numPr>
          <w:ilvl w:val="1"/>
          <w:numId w:val="78"/>
        </w:numPr>
        <w:ind w:left="1134"/>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Si un gestionnaire a un conflit d’intérêts en raison de relations personnelles ou familiales avec </w:t>
      </w:r>
      <w:proofErr w:type="gramStart"/>
      <w:r w:rsidRPr="00E01239">
        <w:rPr>
          <w:rFonts w:asciiTheme="minorHAnsi" w:hAnsiTheme="minorHAnsi" w:cstheme="minorHAnsi"/>
          <w:sz w:val="22"/>
          <w:szCs w:val="22"/>
        </w:rPr>
        <w:t>la survivant</w:t>
      </w:r>
      <w:proofErr w:type="gramEnd"/>
      <w:r w:rsidRPr="00E01239">
        <w:rPr>
          <w:rFonts w:asciiTheme="minorHAnsi" w:hAnsiTheme="minorHAnsi" w:cstheme="minorHAnsi"/>
          <w:sz w:val="22"/>
          <w:szCs w:val="22"/>
        </w:rPr>
        <w:t xml:space="preserve">(e)s et/ou l’auteur de la violence, il doit en informer l’entreprise concernée et l’équipe de conformité (EC). L’entreprise sera tenue de désigner un autre gestionnaire qui n’a aucun conflit d’intérêts pour traiter les plaintes ; </w:t>
      </w:r>
    </w:p>
    <w:p w14:paraId="74D1AA06" w14:textId="77777777" w:rsidR="00477A61" w:rsidRPr="00E01239" w:rsidRDefault="00477A61" w:rsidP="002A19B3">
      <w:pPr>
        <w:pStyle w:val="Paragraphedeliste"/>
        <w:numPr>
          <w:ilvl w:val="1"/>
          <w:numId w:val="78"/>
        </w:numPr>
        <w:ind w:left="1134"/>
        <w:contextualSpacing w:val="0"/>
        <w:jc w:val="both"/>
        <w:rPr>
          <w:rFonts w:asciiTheme="minorHAnsi" w:hAnsiTheme="minorHAnsi" w:cstheme="minorHAnsi"/>
          <w:sz w:val="22"/>
          <w:szCs w:val="22"/>
        </w:rPr>
      </w:pPr>
      <w:r w:rsidRPr="00E01239">
        <w:rPr>
          <w:rFonts w:asciiTheme="minorHAnsi" w:hAnsiTheme="minorHAnsi" w:cstheme="minorHAnsi"/>
          <w:sz w:val="22"/>
          <w:szCs w:val="22"/>
        </w:rPr>
        <w:t>Veiller à ce que toute question liée aux VBG ou aux VCE justifiant une intervention policière soit immédiatement signalée aux services de police, au client et à la Banque mondiale.</w:t>
      </w:r>
    </w:p>
    <w:p w14:paraId="2A749B1F" w14:textId="77777777" w:rsidR="00477A61" w:rsidRPr="00E01239" w:rsidRDefault="00477A61" w:rsidP="002A19B3">
      <w:pPr>
        <w:pStyle w:val="Paragraphedeliste"/>
        <w:numPr>
          <w:ilvl w:val="0"/>
          <w:numId w:val="77"/>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Les gestionnaires qui ne traitent pas les incidents liés aux normes ESHS ou aux exigences HST, ou qui omettent de signaler les incidents liés aux VBG et aux VCE ou qui ne se conforment pas aux dispositions relatives aux VBG et aux VCE, peuvent faire l’objet de mesures disciplinaires, qui seront déterminées et édictées par le PDG, le Directeur général ou un gestionnaire de rang supérieur équivalent de l’entreprise. Ces mesures peuvent comprendre : </w:t>
      </w:r>
    </w:p>
    <w:p w14:paraId="566FC050" w14:textId="77777777" w:rsidR="00477A61" w:rsidRPr="00E01239" w:rsidRDefault="00477A61" w:rsidP="002A19B3">
      <w:pPr>
        <w:pStyle w:val="Paragraphedeliste"/>
        <w:numPr>
          <w:ilvl w:val="0"/>
          <w:numId w:val="91"/>
        </w:numPr>
        <w:ind w:left="1134"/>
        <w:contextualSpacing w:val="0"/>
        <w:rPr>
          <w:rFonts w:asciiTheme="minorHAnsi" w:hAnsiTheme="minorHAnsi" w:cstheme="minorHAnsi"/>
          <w:sz w:val="22"/>
          <w:szCs w:val="22"/>
        </w:rPr>
      </w:pPr>
      <w:r w:rsidRPr="00E01239">
        <w:rPr>
          <w:rFonts w:asciiTheme="minorHAnsi" w:hAnsiTheme="minorHAnsi" w:cstheme="minorHAnsi"/>
          <w:sz w:val="22"/>
          <w:szCs w:val="22"/>
        </w:rPr>
        <w:t>L’avertissement informel ;</w:t>
      </w:r>
    </w:p>
    <w:p w14:paraId="1831A4EA" w14:textId="77777777" w:rsidR="00477A61" w:rsidRPr="00E01239" w:rsidRDefault="00477A61" w:rsidP="002A19B3">
      <w:pPr>
        <w:pStyle w:val="Paragraphedeliste"/>
        <w:numPr>
          <w:ilvl w:val="0"/>
          <w:numId w:val="91"/>
        </w:numPr>
        <w:ind w:left="1134"/>
        <w:contextualSpacing w:val="0"/>
        <w:rPr>
          <w:rFonts w:asciiTheme="minorHAnsi" w:hAnsiTheme="minorHAnsi" w:cstheme="minorHAnsi"/>
          <w:sz w:val="22"/>
          <w:szCs w:val="22"/>
        </w:rPr>
      </w:pPr>
      <w:r w:rsidRPr="00E01239">
        <w:rPr>
          <w:rFonts w:asciiTheme="minorHAnsi" w:hAnsiTheme="minorHAnsi" w:cstheme="minorHAnsi"/>
          <w:sz w:val="22"/>
          <w:szCs w:val="22"/>
        </w:rPr>
        <w:t>L’avertissement formel ;</w:t>
      </w:r>
    </w:p>
    <w:p w14:paraId="43907568" w14:textId="77777777" w:rsidR="00477A61" w:rsidRPr="00E01239" w:rsidRDefault="00477A61" w:rsidP="002A19B3">
      <w:pPr>
        <w:pStyle w:val="Paragraphedeliste"/>
        <w:numPr>
          <w:ilvl w:val="0"/>
          <w:numId w:val="91"/>
        </w:numPr>
        <w:ind w:left="1134"/>
        <w:contextualSpacing w:val="0"/>
        <w:rPr>
          <w:rFonts w:asciiTheme="minorHAnsi" w:hAnsiTheme="minorHAnsi" w:cstheme="minorHAnsi"/>
          <w:sz w:val="22"/>
          <w:szCs w:val="22"/>
        </w:rPr>
      </w:pPr>
      <w:r w:rsidRPr="00E01239">
        <w:rPr>
          <w:rFonts w:asciiTheme="minorHAnsi" w:hAnsiTheme="minorHAnsi" w:cstheme="minorHAnsi"/>
          <w:sz w:val="22"/>
          <w:szCs w:val="22"/>
        </w:rPr>
        <w:t>La formation complémentaire ;</w:t>
      </w:r>
    </w:p>
    <w:p w14:paraId="17F4ECCD" w14:textId="77777777" w:rsidR="00477A61" w:rsidRPr="00E01239" w:rsidRDefault="00477A61" w:rsidP="002A19B3">
      <w:pPr>
        <w:pStyle w:val="Paragraphedeliste"/>
        <w:numPr>
          <w:ilvl w:val="0"/>
          <w:numId w:val="91"/>
        </w:numPr>
        <w:ind w:left="1134"/>
        <w:contextualSpacing w:val="0"/>
        <w:rPr>
          <w:rFonts w:asciiTheme="minorHAnsi" w:hAnsiTheme="minorHAnsi" w:cstheme="minorHAnsi"/>
          <w:sz w:val="22"/>
          <w:szCs w:val="22"/>
        </w:rPr>
      </w:pPr>
      <w:r w:rsidRPr="00E01239">
        <w:rPr>
          <w:rFonts w:asciiTheme="minorHAnsi" w:hAnsiTheme="minorHAnsi" w:cstheme="minorHAnsi"/>
          <w:sz w:val="22"/>
          <w:szCs w:val="22"/>
        </w:rPr>
        <w:t>La perte d’un maximum d’une semaine de salaire ;</w:t>
      </w:r>
    </w:p>
    <w:p w14:paraId="2A2D3C08" w14:textId="77777777" w:rsidR="00477A61" w:rsidRPr="00E01239" w:rsidRDefault="00477A61" w:rsidP="002A19B3">
      <w:pPr>
        <w:pStyle w:val="Paragraphedeliste"/>
        <w:numPr>
          <w:ilvl w:val="0"/>
          <w:numId w:val="91"/>
        </w:numPr>
        <w:ind w:left="1134"/>
        <w:contextualSpacing w:val="0"/>
        <w:rPr>
          <w:rFonts w:asciiTheme="minorHAnsi" w:hAnsiTheme="minorHAnsi" w:cstheme="minorHAnsi"/>
          <w:sz w:val="22"/>
          <w:szCs w:val="22"/>
        </w:rPr>
      </w:pPr>
      <w:r w:rsidRPr="00E01239">
        <w:rPr>
          <w:rFonts w:asciiTheme="minorHAnsi" w:hAnsiTheme="minorHAnsi" w:cstheme="minorHAnsi"/>
          <w:sz w:val="22"/>
          <w:szCs w:val="22"/>
        </w:rPr>
        <w:t>La suspension de la relation de travail (sans solde), pour une période minimale d’un mois et une période maximale de six mois ;</w:t>
      </w:r>
    </w:p>
    <w:p w14:paraId="2464C44B" w14:textId="77777777" w:rsidR="00477A61" w:rsidRPr="00E01239" w:rsidRDefault="00477A61" w:rsidP="002A19B3">
      <w:pPr>
        <w:pStyle w:val="Paragraphedeliste"/>
        <w:numPr>
          <w:ilvl w:val="0"/>
          <w:numId w:val="91"/>
        </w:numPr>
        <w:ind w:left="1134"/>
        <w:contextualSpacing w:val="0"/>
        <w:rPr>
          <w:rFonts w:asciiTheme="minorHAnsi" w:hAnsiTheme="minorHAnsi" w:cstheme="minorHAnsi"/>
          <w:sz w:val="22"/>
          <w:szCs w:val="22"/>
        </w:rPr>
      </w:pPr>
      <w:r w:rsidRPr="00E01239">
        <w:rPr>
          <w:rFonts w:asciiTheme="minorHAnsi" w:hAnsiTheme="minorHAnsi" w:cstheme="minorHAnsi"/>
          <w:sz w:val="22"/>
          <w:szCs w:val="22"/>
        </w:rPr>
        <w:t>Le licenciement.</w:t>
      </w:r>
    </w:p>
    <w:p w14:paraId="48CB2C5D" w14:textId="77777777" w:rsidR="00477A61" w:rsidRPr="00E01239" w:rsidRDefault="00477A61" w:rsidP="00477A61">
      <w:pPr>
        <w:pStyle w:val="Paragraphedeliste"/>
        <w:ind w:left="1134"/>
        <w:jc w:val="both"/>
        <w:rPr>
          <w:rFonts w:asciiTheme="minorHAnsi" w:hAnsiTheme="minorHAnsi" w:cstheme="minorHAnsi"/>
          <w:sz w:val="22"/>
          <w:szCs w:val="22"/>
        </w:rPr>
      </w:pPr>
    </w:p>
    <w:p w14:paraId="3571D1B0" w14:textId="77777777" w:rsidR="00477A61" w:rsidRPr="00E01239" w:rsidRDefault="00477A61" w:rsidP="002A19B3">
      <w:pPr>
        <w:pStyle w:val="Paragraphedeliste"/>
        <w:numPr>
          <w:ilvl w:val="0"/>
          <w:numId w:val="77"/>
        </w:numPr>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En fin, le fait que les gestionnaires ou le PDG de l’entreprise omettent de répondre de manière efficace aux cas de violence liées aux normes environnementales et sociales, d’hygiène et de santé (ESHS) et d’hygiène et de santé au travail (HST), et de répondre aux violences basées sur le genre (VBG) et aux violences contre les enfants (VCE) sur le lieu de travail, peut entraîner des poursuites judiciaires devant les autorités nationales. </w:t>
      </w:r>
    </w:p>
    <w:p w14:paraId="6A8627F9" w14:textId="77777777" w:rsidR="00477A61" w:rsidRPr="00E01239" w:rsidRDefault="00477A61" w:rsidP="00477A61">
      <w:pPr>
        <w:pStyle w:val="Paragraphedeliste"/>
        <w:jc w:val="both"/>
        <w:rPr>
          <w:rFonts w:asciiTheme="minorHAnsi" w:hAnsiTheme="minorHAnsi" w:cstheme="minorHAnsi"/>
          <w:sz w:val="22"/>
          <w:szCs w:val="22"/>
        </w:rPr>
      </w:pPr>
    </w:p>
    <w:p w14:paraId="37B86FE5" w14:textId="77777777" w:rsidR="00477A61" w:rsidRPr="00E01239" w:rsidRDefault="00477A61" w:rsidP="00477A61">
      <w:pPr>
        <w:pStyle w:val="NormalWeb"/>
        <w:jc w:val="both"/>
        <w:rPr>
          <w:rFonts w:asciiTheme="minorHAnsi" w:hAnsiTheme="minorHAnsi" w:cstheme="minorHAnsi"/>
          <w:i/>
          <w:iCs/>
          <w:sz w:val="22"/>
          <w:szCs w:val="22"/>
          <w:lang w:val="fr-FR"/>
        </w:rPr>
      </w:pPr>
      <w:r w:rsidRPr="00E01239">
        <w:rPr>
          <w:rFonts w:asciiTheme="minorHAnsi" w:hAnsiTheme="minorHAnsi" w:cstheme="minorHAnsi"/>
          <w:i/>
          <w:iCs/>
          <w:sz w:val="22"/>
          <w:szCs w:val="22"/>
          <w:lang w:val="fr-FR"/>
        </w:rPr>
        <w:t>Je reconnais par la présente avoir lu le Code de conduite du gestionnaire ci-dessus, j’accepte de me conformer aux normes qui y figurent et je comprends mes rôles et responsabilités en matière de prévention et de réponse aux exigences liées à l’ESHS, à la HST, aux VBG et aux VCE. Je comprends que toute action incompatible avec le Code de conduite du gestionnaire ou le fait de ne pas agir conformément au présent Code de conduite du gestionnaire peut entraîner des mesures disciplinaires.</w:t>
      </w:r>
    </w:p>
    <w:p w14:paraId="39A9885F"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 xml:space="preserve">Signature : </w:t>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_________________________</w:t>
      </w:r>
    </w:p>
    <w:p w14:paraId="37E178BB" w14:textId="77777777" w:rsidR="00477A61" w:rsidRPr="00E01239" w:rsidRDefault="00477A61" w:rsidP="00477A61">
      <w:pPr>
        <w:jc w:val="both"/>
        <w:rPr>
          <w:rFonts w:asciiTheme="minorHAnsi" w:hAnsiTheme="minorHAnsi" w:cstheme="minorHAnsi"/>
          <w:color w:val="000000"/>
          <w:sz w:val="22"/>
          <w:szCs w:val="22"/>
        </w:rPr>
      </w:pPr>
    </w:p>
    <w:p w14:paraId="5FE17E11"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Nom en toutes lettres :</w:t>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_________________________</w:t>
      </w:r>
    </w:p>
    <w:p w14:paraId="68AE2DBC" w14:textId="77777777" w:rsidR="00477A61" w:rsidRPr="00E01239" w:rsidRDefault="00477A61" w:rsidP="00477A61">
      <w:pPr>
        <w:jc w:val="both"/>
        <w:rPr>
          <w:rFonts w:asciiTheme="minorHAnsi" w:hAnsiTheme="minorHAnsi" w:cstheme="minorHAnsi"/>
          <w:color w:val="000000"/>
          <w:sz w:val="22"/>
          <w:szCs w:val="22"/>
        </w:rPr>
      </w:pPr>
    </w:p>
    <w:p w14:paraId="7D1D8426"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 xml:space="preserve">Titre : </w:t>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_________________________</w:t>
      </w:r>
    </w:p>
    <w:p w14:paraId="7063937F" w14:textId="77777777" w:rsidR="00477A61" w:rsidRPr="00E01239" w:rsidRDefault="00477A61" w:rsidP="00477A61">
      <w:pPr>
        <w:rPr>
          <w:rFonts w:asciiTheme="minorHAnsi" w:hAnsiTheme="minorHAnsi" w:cstheme="minorHAnsi"/>
          <w:smallCaps/>
          <w:sz w:val="22"/>
          <w:szCs w:val="22"/>
        </w:rPr>
      </w:pPr>
    </w:p>
    <w:p w14:paraId="371E6C58"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 xml:space="preserve">Date : </w:t>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_________________________</w:t>
      </w:r>
    </w:p>
    <w:p w14:paraId="252F3387" w14:textId="77777777" w:rsidR="00477A61" w:rsidRPr="00E01239" w:rsidRDefault="00477A61" w:rsidP="00477A61">
      <w:pPr>
        <w:jc w:val="both"/>
        <w:rPr>
          <w:rFonts w:asciiTheme="minorHAnsi" w:hAnsiTheme="minorHAnsi" w:cstheme="minorHAnsi"/>
          <w:color w:val="000000"/>
          <w:sz w:val="22"/>
          <w:szCs w:val="22"/>
        </w:rPr>
      </w:pPr>
    </w:p>
    <w:p w14:paraId="1ED8876E" w14:textId="77777777" w:rsidR="00477A61" w:rsidRPr="00E01239" w:rsidRDefault="00477A61" w:rsidP="00477A61">
      <w:pPr>
        <w:jc w:val="both"/>
        <w:rPr>
          <w:rFonts w:asciiTheme="minorHAnsi" w:hAnsiTheme="minorHAnsi" w:cstheme="minorHAnsi"/>
          <w:color w:val="2E74B5"/>
          <w:sz w:val="22"/>
          <w:szCs w:val="22"/>
        </w:rPr>
      </w:pPr>
      <w:r w:rsidRPr="00E01239">
        <w:rPr>
          <w:rFonts w:asciiTheme="minorHAnsi" w:hAnsiTheme="minorHAnsi" w:cstheme="minorHAnsi"/>
          <w:sz w:val="22"/>
          <w:szCs w:val="22"/>
        </w:rPr>
        <w:br w:type="page"/>
      </w:r>
    </w:p>
    <w:p w14:paraId="73D04214" w14:textId="77777777" w:rsidR="00477A61" w:rsidRPr="00E01239" w:rsidRDefault="00477A61" w:rsidP="00477A61">
      <w:pPr>
        <w:pBdr>
          <w:bottom w:val="single" w:sz="4" w:space="1" w:color="A6A6A6"/>
        </w:pBdr>
        <w:jc w:val="center"/>
        <w:rPr>
          <w:rFonts w:asciiTheme="minorHAnsi" w:hAnsiTheme="minorHAnsi" w:cstheme="minorHAnsi"/>
          <w:b/>
          <w:bCs/>
          <w:color w:val="00B0F0"/>
          <w:sz w:val="22"/>
          <w:szCs w:val="22"/>
        </w:rPr>
      </w:pPr>
      <w:bookmarkStart w:id="1404" w:name="_Toc532302992"/>
      <w:bookmarkStart w:id="1405" w:name="_Toc482979939"/>
      <w:bookmarkStart w:id="1406" w:name="_Toc482980043"/>
      <w:bookmarkStart w:id="1407" w:name="_Toc483204385"/>
      <w:r w:rsidRPr="00E01239">
        <w:rPr>
          <w:rFonts w:asciiTheme="minorHAnsi" w:hAnsiTheme="minorHAnsi" w:cstheme="minorHAnsi"/>
          <w:b/>
          <w:bCs/>
          <w:color w:val="00B0F0"/>
          <w:sz w:val="22"/>
          <w:szCs w:val="22"/>
        </w:rPr>
        <w:lastRenderedPageBreak/>
        <w:t>Code de conduite individuel</w:t>
      </w:r>
      <w:bookmarkEnd w:id="1404"/>
    </w:p>
    <w:p w14:paraId="1783DF2C" w14:textId="77777777" w:rsidR="00477A61" w:rsidRPr="00E01239" w:rsidRDefault="00477A61" w:rsidP="00477A61">
      <w:pPr>
        <w:rPr>
          <w:rFonts w:asciiTheme="minorHAnsi" w:hAnsiTheme="minorHAnsi" w:cstheme="minorHAnsi"/>
          <w:sz w:val="22"/>
          <w:szCs w:val="22"/>
        </w:rPr>
      </w:pPr>
    </w:p>
    <w:bookmarkEnd w:id="1405"/>
    <w:bookmarkEnd w:id="1406"/>
    <w:bookmarkEnd w:id="1407"/>
    <w:p w14:paraId="39154FA9" w14:textId="77777777" w:rsidR="00477A61" w:rsidRPr="00E01239" w:rsidRDefault="00477A61" w:rsidP="00477A61">
      <w:pPr>
        <w:rPr>
          <w:rFonts w:asciiTheme="minorHAnsi" w:hAnsiTheme="minorHAnsi" w:cstheme="minorHAnsi"/>
          <w:smallCaps/>
          <w:sz w:val="22"/>
          <w:szCs w:val="22"/>
        </w:rPr>
      </w:pPr>
    </w:p>
    <w:p w14:paraId="019DD479"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Je soussigné, 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ainsi que les violences contre les enfants (VCE). </w:t>
      </w:r>
    </w:p>
    <w:p w14:paraId="1EECE3C6" w14:textId="77777777" w:rsidR="00477A61" w:rsidRPr="00E01239" w:rsidRDefault="00477A61" w:rsidP="00477A61">
      <w:pPr>
        <w:rPr>
          <w:rFonts w:asciiTheme="minorHAnsi" w:hAnsiTheme="minorHAnsi" w:cstheme="minorHAnsi"/>
          <w:color w:val="000000"/>
          <w:sz w:val="22"/>
          <w:szCs w:val="22"/>
        </w:rPr>
      </w:pPr>
    </w:p>
    <w:p w14:paraId="00EAF728"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L’entreprise considère que le non-respect des normes environnementales, sociales, d’hygiène et de sécurité (ESHS) et des exigences d’hygiène et de sécurité au travail (HST), ou le fait de ne pas participer aux activités de lutte contre les violences basées sur le genre (VBG) ainsi que les violences contre les enfants (VCE) que ce soit sur le lieu de travail – dans les environs du lieu de travail, dans les campements de travailleurs ou dans les communautés avoisinantes – constitue une faute grave et il est donc passible de sanctions, de pénalités ou d’un licenciement éventuel. Des poursuites peuvent être engagées par la police contre les auteurs de VBG ou de VCE, le cas échéant.</w:t>
      </w:r>
    </w:p>
    <w:p w14:paraId="51185870" w14:textId="77777777" w:rsidR="00477A61" w:rsidRPr="00E01239" w:rsidRDefault="00477A61" w:rsidP="00477A61">
      <w:pPr>
        <w:rPr>
          <w:rFonts w:asciiTheme="minorHAnsi" w:hAnsiTheme="minorHAnsi" w:cstheme="minorHAnsi"/>
          <w:color w:val="000000"/>
          <w:sz w:val="22"/>
          <w:szCs w:val="22"/>
        </w:rPr>
      </w:pPr>
    </w:p>
    <w:p w14:paraId="2E05AAE7" w14:textId="77777777" w:rsidR="00477A61" w:rsidRPr="00E01239" w:rsidRDefault="00477A61" w:rsidP="00477A61">
      <w:pPr>
        <w:rPr>
          <w:rFonts w:asciiTheme="minorHAnsi" w:hAnsiTheme="minorHAnsi" w:cstheme="minorHAnsi"/>
          <w:color w:val="000000"/>
          <w:sz w:val="22"/>
          <w:szCs w:val="22"/>
        </w:rPr>
      </w:pPr>
      <w:r w:rsidRPr="00E01239">
        <w:rPr>
          <w:rFonts w:asciiTheme="minorHAnsi" w:hAnsiTheme="minorHAnsi" w:cstheme="minorHAnsi"/>
          <w:color w:val="000000"/>
          <w:sz w:val="22"/>
          <w:szCs w:val="22"/>
        </w:rPr>
        <w:t>Pendant que je travaillerai sur le projet, je consens à :</w:t>
      </w:r>
    </w:p>
    <w:p w14:paraId="2A7A1DF6" w14:textId="77777777" w:rsidR="00477A61" w:rsidRPr="00E01239" w:rsidRDefault="00477A61" w:rsidP="00477A61">
      <w:pPr>
        <w:rPr>
          <w:rFonts w:asciiTheme="minorHAnsi" w:hAnsiTheme="minorHAnsi" w:cstheme="minorHAnsi"/>
          <w:color w:val="000000"/>
          <w:sz w:val="22"/>
          <w:szCs w:val="22"/>
        </w:rPr>
      </w:pPr>
    </w:p>
    <w:p w14:paraId="29DC2921"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Assister et participer activement à des cours de formation liés aux normes environnementales, sociales, d’hygiène et de sécurité (ESHS), et aux exigences en matière d’hygiène et de sécurité au travail (HST), au VIH/sida, aux VBG et aux VCE, tel que requis par mon employeur ; </w:t>
      </w:r>
    </w:p>
    <w:p w14:paraId="7E22AAC1"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Porter mon équipement de protection individuelle (EPI) à tout moment sur le lieu de travail ou dans le cadre d’activités liées au projet ;</w:t>
      </w:r>
    </w:p>
    <w:p w14:paraId="12FDB12A"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Prendre toutes les mesures pratiques visant à mettre en œuvre le Plan de gestion environnementale et sociale des entrepreneurs (E-PGES) ;</w:t>
      </w:r>
    </w:p>
    <w:p w14:paraId="29826643"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Mettre en œuvre le Plan de gestion HST ;</w:t>
      </w:r>
    </w:p>
    <w:p w14:paraId="0A99CF31"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Respecter une politique de tolérance zéro à l’égard de la consommation de l’alcool pendant le travail et m’abstenir de consommer des stupéfiants ou d’autres substances qui peuvent altérer mes facultés à tout moment ;</w:t>
      </w:r>
    </w:p>
    <w:p w14:paraId="49AE3CC7"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Laisser la police vérifier mes antécédents ;</w:t>
      </w:r>
    </w:p>
    <w:p w14:paraId="3C5E7E0D"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101697CF"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Ne pas m’adresser envers les femmes, les enfants ou les hommes avec un langage ou un comportement déplacé, harcelant, abusif, sexuellement provocateur, dégradant ou culturellement inapproprié ;</w:t>
      </w:r>
    </w:p>
    <w:p w14:paraId="4DCAA6EE" w14:textId="77777777" w:rsidR="00477A61" w:rsidRPr="00E01239" w:rsidRDefault="00477A61" w:rsidP="002A19B3">
      <w:pPr>
        <w:pStyle w:val="Paragraphedeliste"/>
        <w:numPr>
          <w:ilvl w:val="0"/>
          <w:numId w:val="76"/>
        </w:numPr>
        <w:autoSpaceDE w:val="0"/>
        <w:autoSpaceDN w:val="0"/>
        <w:adjustRightInd w:val="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Ne pas me livrer au harcèlement sexuel –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7272E448"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Ne pas m’engager dans des faveurs sexuelles – par exemple, faire des promesses ou subordonner un traitement favorable à des actes sexuels – ou d’autres formes de comportement humiliant, dégradant ou abusif ;  </w:t>
      </w:r>
    </w:p>
    <w:p w14:paraId="3CAC869B"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Ne pas participer à des contacts ou à des activités sexuelles avec des enfants – notamment à la sollicitation malveillante des enfants – ou à des contacts par le biais des médias numériques ; l</w:t>
      </w:r>
      <w:r w:rsidRPr="00E01239">
        <w:rPr>
          <w:rFonts w:asciiTheme="minorHAnsi" w:hAnsiTheme="minorHAnsi" w:cstheme="minorHAnsi"/>
          <w:sz w:val="22"/>
          <w:szCs w:val="22"/>
        </w:rPr>
        <w:t>a méconnaissance de l’âge de l’enfant ne peut être invoquée comme moyen de défense ; le consentement de l’enfant ne peut pas non plus constituer un moyen de défense ou une excuse</w:t>
      </w:r>
      <w:r w:rsidRPr="00E01239">
        <w:rPr>
          <w:rFonts w:asciiTheme="minorHAnsi" w:hAnsiTheme="minorHAnsi" w:cstheme="minorHAnsi"/>
          <w:color w:val="000000"/>
          <w:sz w:val="22"/>
          <w:szCs w:val="22"/>
        </w:rPr>
        <w:t> ;</w:t>
      </w:r>
    </w:p>
    <w:p w14:paraId="41B4CA3D"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lastRenderedPageBreak/>
        <w:t>A moins d’obtenir le plein consentement</w:t>
      </w:r>
      <w:r w:rsidRPr="00E01239">
        <w:rPr>
          <w:rStyle w:val="Appelnotedebasdep"/>
          <w:rFonts w:asciiTheme="minorHAnsi" w:hAnsiTheme="minorHAnsi" w:cstheme="minorHAnsi"/>
          <w:sz w:val="22"/>
          <w:szCs w:val="22"/>
        </w:rPr>
        <w:footnoteReference w:id="14"/>
      </w:r>
      <w:r w:rsidRPr="00E01239">
        <w:rPr>
          <w:rFonts w:asciiTheme="minorHAnsi" w:hAnsiTheme="minorHAnsi" w:cstheme="minorHAnsi"/>
          <w:color w:val="000000"/>
          <w:sz w:val="22"/>
          <w:szCs w:val="22"/>
        </w:rPr>
        <w:t xml:space="preserve">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4FBF6F82"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Envisager de signaler par l’intermédiaire des mécanismes des plaintes et des doléances ou à mon gestionnaire tout cas présumé ou avéré de VBG ou de VCE commis par un collègue de travail, que ce dernier soit ou non employé par mon entreprise, ou toute violation du présent Code de conduite. </w:t>
      </w:r>
    </w:p>
    <w:p w14:paraId="7E25B6E6" w14:textId="77777777" w:rsidR="00477A61" w:rsidRPr="00E01239" w:rsidRDefault="00477A61" w:rsidP="00477A61">
      <w:pPr>
        <w:pStyle w:val="Paragraphedeliste"/>
        <w:ind w:left="1"/>
        <w:rPr>
          <w:rFonts w:asciiTheme="minorHAnsi" w:hAnsiTheme="minorHAnsi" w:cstheme="minorHAnsi"/>
          <w:color w:val="000000"/>
          <w:sz w:val="22"/>
          <w:szCs w:val="22"/>
        </w:rPr>
      </w:pPr>
    </w:p>
    <w:p w14:paraId="07E68C3F" w14:textId="77777777" w:rsidR="00477A61" w:rsidRPr="00E01239" w:rsidRDefault="00477A61" w:rsidP="00477A61">
      <w:pPr>
        <w:pStyle w:val="Paragraphedeliste"/>
        <w:ind w:left="1"/>
        <w:rPr>
          <w:rFonts w:asciiTheme="minorHAnsi" w:hAnsiTheme="minorHAnsi" w:cstheme="minorHAnsi"/>
          <w:color w:val="000000"/>
          <w:sz w:val="22"/>
          <w:szCs w:val="22"/>
        </w:rPr>
      </w:pPr>
      <w:r w:rsidRPr="00E01239">
        <w:rPr>
          <w:rFonts w:asciiTheme="minorHAnsi" w:hAnsiTheme="minorHAnsi" w:cstheme="minorHAnsi"/>
          <w:color w:val="000000"/>
          <w:sz w:val="22"/>
          <w:szCs w:val="22"/>
        </w:rPr>
        <w:t>En ce qui concerne les enfants âgés de moins de 18 ans :</w:t>
      </w:r>
    </w:p>
    <w:p w14:paraId="329EF593" w14:textId="77777777" w:rsidR="00477A61" w:rsidRPr="00E01239" w:rsidRDefault="00477A61" w:rsidP="00477A61">
      <w:pPr>
        <w:rPr>
          <w:rFonts w:asciiTheme="minorHAnsi" w:hAnsiTheme="minorHAnsi" w:cstheme="minorHAnsi"/>
          <w:color w:val="000000"/>
          <w:sz w:val="22"/>
          <w:szCs w:val="22"/>
        </w:rPr>
      </w:pPr>
    </w:p>
    <w:p w14:paraId="173FD415"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Dans la mesure du possible, m’assurer de la présence d’un autre adulte au moment de travailler à proximité d’enfants.</w:t>
      </w:r>
    </w:p>
    <w:p w14:paraId="06B7EEA4"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Ne pas inviter chez moi des enfants non accompagnés sans lien de parenté avec ma famille, à moins qu’ils ne courent un risque immédiat de blessure ou de danger physique ;</w:t>
      </w:r>
    </w:p>
    <w:p w14:paraId="594AC838"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24EFE07D"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M’abstenir de châtiments corporels ou de mesures disciplinaires à l’égard des enfants ;</w:t>
      </w:r>
    </w:p>
    <w:p w14:paraId="2183F494"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M’abstenir d’engager des enfants dont l’âge est inférieur à 14 ans pour le travail domestique ou pour tout autre travail, à moins que la législation nationale ne fixe un âge supérieur ou qu’elle ne les expose à un risque important de blessure ;</w:t>
      </w:r>
    </w:p>
    <w:p w14:paraId="5E4A8B16"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Me conformer à toutes les législations locales pertinentes, y compris les lois du travail relatives au travail des enfants et les politiques de sauvegarde de la Banque mondiale sur le travail des enfants et l’âge minimum ; </w:t>
      </w:r>
    </w:p>
    <w:p w14:paraId="6CC6A31B" w14:textId="77777777" w:rsidR="00477A61" w:rsidRPr="00E01239" w:rsidRDefault="00477A61" w:rsidP="002A19B3">
      <w:pPr>
        <w:pStyle w:val="Paragraphedeliste"/>
        <w:numPr>
          <w:ilvl w:val="0"/>
          <w:numId w:val="76"/>
        </w:numPr>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Prendre les précautions nécessaires au moment de photographier ou de filmer des enfants.</w:t>
      </w:r>
    </w:p>
    <w:p w14:paraId="1B6C3407" w14:textId="77777777" w:rsidR="00477A61" w:rsidRPr="00E01239" w:rsidRDefault="00477A61" w:rsidP="00477A61">
      <w:pPr>
        <w:pStyle w:val="Paragraphedeliste"/>
        <w:ind w:left="426"/>
        <w:contextualSpacing w:val="0"/>
        <w:rPr>
          <w:rFonts w:asciiTheme="minorHAnsi" w:hAnsiTheme="minorHAnsi" w:cstheme="minorHAnsi"/>
          <w:color w:val="000000"/>
          <w:sz w:val="22"/>
          <w:szCs w:val="22"/>
        </w:rPr>
      </w:pPr>
    </w:p>
    <w:p w14:paraId="2114B5B4" w14:textId="77777777" w:rsidR="00477A61" w:rsidRPr="00E01239" w:rsidRDefault="00477A61" w:rsidP="00477A61">
      <w:pPr>
        <w:rPr>
          <w:rFonts w:asciiTheme="minorHAnsi" w:hAnsiTheme="minorHAnsi" w:cstheme="minorHAnsi"/>
          <w:color w:val="000000"/>
          <w:sz w:val="22"/>
          <w:szCs w:val="22"/>
        </w:rPr>
      </w:pPr>
    </w:p>
    <w:p w14:paraId="328B86F8" w14:textId="77777777" w:rsidR="00477A61" w:rsidRPr="00E01239" w:rsidRDefault="00477A61" w:rsidP="00477A61">
      <w:pPr>
        <w:rPr>
          <w:rFonts w:asciiTheme="minorHAnsi" w:hAnsiTheme="minorHAnsi" w:cstheme="minorHAnsi"/>
          <w:b/>
          <w:bCs/>
          <w:color w:val="000000"/>
          <w:sz w:val="22"/>
          <w:szCs w:val="22"/>
        </w:rPr>
      </w:pPr>
      <w:r w:rsidRPr="00E01239">
        <w:rPr>
          <w:rFonts w:asciiTheme="minorHAnsi" w:hAnsiTheme="minorHAnsi" w:cstheme="minorHAnsi"/>
          <w:b/>
          <w:bCs/>
          <w:color w:val="000000"/>
          <w:sz w:val="22"/>
          <w:szCs w:val="22"/>
        </w:rPr>
        <w:t>Utilisation d’images d’enfants à des fins professionnelles</w:t>
      </w:r>
    </w:p>
    <w:p w14:paraId="2DC5A3FF" w14:textId="77777777" w:rsidR="00477A61" w:rsidRPr="00E01239" w:rsidRDefault="00477A61" w:rsidP="00477A61">
      <w:pPr>
        <w:rPr>
          <w:rFonts w:asciiTheme="minorHAnsi" w:hAnsiTheme="minorHAnsi" w:cstheme="minorHAnsi"/>
          <w:color w:val="000000"/>
          <w:sz w:val="22"/>
          <w:szCs w:val="22"/>
        </w:rPr>
      </w:pPr>
    </w:p>
    <w:p w14:paraId="1231478E" w14:textId="77777777" w:rsidR="00477A61" w:rsidRPr="00E01239" w:rsidRDefault="00477A61" w:rsidP="00477A61">
      <w:pPr>
        <w:rPr>
          <w:rFonts w:asciiTheme="minorHAnsi" w:hAnsiTheme="minorHAnsi" w:cstheme="minorHAnsi"/>
          <w:color w:val="000000"/>
          <w:sz w:val="22"/>
          <w:szCs w:val="22"/>
        </w:rPr>
      </w:pPr>
      <w:r w:rsidRPr="00E01239">
        <w:rPr>
          <w:rFonts w:asciiTheme="minorHAnsi" w:hAnsiTheme="minorHAnsi" w:cstheme="minorHAnsi"/>
          <w:color w:val="000000"/>
          <w:sz w:val="22"/>
          <w:szCs w:val="22"/>
        </w:rPr>
        <w:t>Au moment de photographier ou de filmer un enfant à des fins professionnelles, je dois :</w:t>
      </w:r>
    </w:p>
    <w:p w14:paraId="0792C4DE" w14:textId="77777777" w:rsidR="00477A61" w:rsidRPr="00E01239" w:rsidRDefault="00477A61" w:rsidP="00477A61">
      <w:pPr>
        <w:rPr>
          <w:rFonts w:asciiTheme="minorHAnsi" w:hAnsiTheme="minorHAnsi" w:cstheme="minorHAnsi"/>
          <w:color w:val="000000"/>
          <w:sz w:val="22"/>
          <w:szCs w:val="22"/>
        </w:rPr>
      </w:pPr>
    </w:p>
    <w:p w14:paraId="2497278E"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Avant de photographier ou de filmer un enfant, évaluer et m’efforcer de respecter les traditions ou les restrictions locales en matière de reproduction d’images personnelles ;</w:t>
      </w:r>
    </w:p>
    <w:p w14:paraId="55D5412F"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Avant de photographier ou de filmer un enfant, obtenir le consentement éclairé de l’enfant et d’un parent ou du tuteur ; pour ce faire, je dois expliquer comment la photographie ou le film sera utilisé ;</w:t>
      </w:r>
    </w:p>
    <w:p w14:paraId="713296AA"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3CCAFBDB"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t>M’assurer que les images sont des représentations honnêtes du contexte et des faits ;</w:t>
      </w:r>
    </w:p>
    <w:p w14:paraId="522CE363" w14:textId="77777777" w:rsidR="00477A61" w:rsidRPr="00E01239" w:rsidRDefault="00477A61" w:rsidP="002A19B3">
      <w:pPr>
        <w:pStyle w:val="Paragraphedeliste"/>
        <w:numPr>
          <w:ilvl w:val="0"/>
          <w:numId w:val="76"/>
        </w:numPr>
        <w:ind w:left="426"/>
        <w:contextualSpacing w:val="0"/>
        <w:rPr>
          <w:rFonts w:asciiTheme="minorHAnsi" w:hAnsiTheme="minorHAnsi" w:cstheme="minorHAnsi"/>
          <w:color w:val="000000"/>
          <w:sz w:val="22"/>
          <w:szCs w:val="22"/>
        </w:rPr>
      </w:pPr>
      <w:r w:rsidRPr="00E01239">
        <w:rPr>
          <w:rFonts w:asciiTheme="minorHAnsi" w:hAnsiTheme="minorHAnsi" w:cstheme="minorHAnsi"/>
          <w:color w:val="000000"/>
          <w:sz w:val="22"/>
          <w:szCs w:val="22"/>
        </w:rPr>
        <w:lastRenderedPageBreak/>
        <w:t>Veiller à ce que les étiquettes des fichiers ne révèlent pas de renseignements permettant d’identifier un enfant au moment d’envoyer des images par voie électronique.</w:t>
      </w:r>
    </w:p>
    <w:p w14:paraId="1F1C3D36" w14:textId="77777777" w:rsidR="00477A61" w:rsidRPr="00E01239" w:rsidRDefault="00477A61" w:rsidP="00477A61">
      <w:pPr>
        <w:pStyle w:val="Paragraphedeliste"/>
        <w:ind w:left="426"/>
        <w:contextualSpacing w:val="0"/>
        <w:rPr>
          <w:rFonts w:asciiTheme="minorHAnsi" w:hAnsiTheme="minorHAnsi" w:cstheme="minorHAnsi"/>
          <w:color w:val="000000"/>
          <w:sz w:val="22"/>
          <w:szCs w:val="22"/>
        </w:rPr>
      </w:pPr>
    </w:p>
    <w:p w14:paraId="1964F7D8" w14:textId="77777777" w:rsidR="00477A61" w:rsidRPr="00E01239" w:rsidRDefault="00477A61" w:rsidP="00477A61">
      <w:pPr>
        <w:rPr>
          <w:rFonts w:asciiTheme="minorHAnsi" w:hAnsiTheme="minorHAnsi" w:cstheme="minorHAnsi"/>
          <w:color w:val="000000"/>
          <w:sz w:val="22"/>
          <w:szCs w:val="22"/>
        </w:rPr>
      </w:pPr>
    </w:p>
    <w:p w14:paraId="5184C7EC" w14:textId="77777777" w:rsidR="00477A61" w:rsidRPr="00E01239" w:rsidRDefault="00477A61" w:rsidP="00477A61">
      <w:pPr>
        <w:rPr>
          <w:rFonts w:asciiTheme="minorHAnsi" w:hAnsiTheme="minorHAnsi" w:cstheme="minorHAnsi"/>
          <w:b/>
          <w:bCs/>
          <w:color w:val="000000"/>
          <w:sz w:val="22"/>
          <w:szCs w:val="22"/>
        </w:rPr>
      </w:pPr>
      <w:r w:rsidRPr="00E01239">
        <w:rPr>
          <w:rFonts w:asciiTheme="minorHAnsi" w:hAnsiTheme="minorHAnsi" w:cstheme="minorHAnsi"/>
          <w:b/>
          <w:bCs/>
          <w:color w:val="000000"/>
          <w:sz w:val="22"/>
          <w:szCs w:val="22"/>
        </w:rPr>
        <w:t>Sanctions</w:t>
      </w:r>
    </w:p>
    <w:p w14:paraId="6DF69A40" w14:textId="77777777" w:rsidR="00477A61" w:rsidRPr="00E01239" w:rsidRDefault="00477A61" w:rsidP="00477A61">
      <w:pPr>
        <w:rPr>
          <w:rFonts w:asciiTheme="minorHAnsi" w:hAnsiTheme="minorHAnsi" w:cstheme="minorHAnsi"/>
          <w:b/>
          <w:bCs/>
          <w:color w:val="000000"/>
          <w:sz w:val="22"/>
          <w:szCs w:val="22"/>
        </w:rPr>
      </w:pPr>
    </w:p>
    <w:p w14:paraId="28886A35" w14:textId="77777777" w:rsidR="00477A61" w:rsidRPr="00E01239" w:rsidRDefault="00477A61" w:rsidP="00477A61">
      <w:pPr>
        <w:autoSpaceDE w:val="0"/>
        <w:autoSpaceDN w:val="0"/>
        <w:adjustRightInd w:val="0"/>
        <w:jc w:val="both"/>
        <w:rPr>
          <w:rFonts w:asciiTheme="minorHAnsi" w:hAnsiTheme="minorHAnsi" w:cstheme="minorHAnsi"/>
          <w:sz w:val="22"/>
          <w:szCs w:val="22"/>
        </w:rPr>
      </w:pPr>
      <w:r w:rsidRPr="00E01239">
        <w:rPr>
          <w:rFonts w:asciiTheme="minorHAnsi" w:hAnsiTheme="minorHAnsi" w:cstheme="minorHAnsi"/>
          <w:sz w:val="22"/>
          <w:szCs w:val="22"/>
        </w:rPr>
        <w:t xml:space="preserve">Je comprends que si je contreviens au présent Code de conduite individuel, mon employeur prendra des mesures disciplinaires qui pourraient inclure : </w:t>
      </w:r>
    </w:p>
    <w:p w14:paraId="145F4EE5" w14:textId="77777777" w:rsidR="00477A61" w:rsidRPr="00E01239" w:rsidRDefault="00477A61" w:rsidP="00477A61">
      <w:pPr>
        <w:autoSpaceDE w:val="0"/>
        <w:autoSpaceDN w:val="0"/>
        <w:adjustRightInd w:val="0"/>
        <w:jc w:val="both"/>
        <w:rPr>
          <w:rFonts w:asciiTheme="minorHAnsi" w:hAnsiTheme="minorHAnsi" w:cstheme="minorHAnsi"/>
          <w:sz w:val="22"/>
          <w:szCs w:val="22"/>
        </w:rPr>
      </w:pPr>
    </w:p>
    <w:p w14:paraId="2762604A" w14:textId="77777777" w:rsidR="00477A61" w:rsidRPr="00E01239" w:rsidRDefault="00477A61" w:rsidP="002A19B3">
      <w:pPr>
        <w:pStyle w:val="Paragraphedeliste"/>
        <w:numPr>
          <w:ilvl w:val="0"/>
          <w:numId w:val="92"/>
        </w:numPr>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L’avertissement informel ;</w:t>
      </w:r>
    </w:p>
    <w:p w14:paraId="0414BA19" w14:textId="77777777" w:rsidR="00477A61" w:rsidRPr="00E01239" w:rsidRDefault="00477A61" w:rsidP="002A19B3">
      <w:pPr>
        <w:pStyle w:val="Paragraphedeliste"/>
        <w:numPr>
          <w:ilvl w:val="0"/>
          <w:numId w:val="92"/>
        </w:numPr>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L’avertissement formel ;</w:t>
      </w:r>
    </w:p>
    <w:p w14:paraId="2A3401F0" w14:textId="77777777" w:rsidR="00477A61" w:rsidRPr="00E01239" w:rsidRDefault="00477A61" w:rsidP="002A19B3">
      <w:pPr>
        <w:pStyle w:val="Paragraphedeliste"/>
        <w:numPr>
          <w:ilvl w:val="0"/>
          <w:numId w:val="92"/>
        </w:numPr>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La formation complémentaire ;</w:t>
      </w:r>
    </w:p>
    <w:p w14:paraId="283B1826" w14:textId="77777777" w:rsidR="00477A61" w:rsidRPr="00E01239" w:rsidRDefault="00477A61" w:rsidP="002A19B3">
      <w:pPr>
        <w:pStyle w:val="Paragraphedeliste"/>
        <w:numPr>
          <w:ilvl w:val="0"/>
          <w:numId w:val="92"/>
        </w:numPr>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La perte d’au plus une semaine de salaire ;</w:t>
      </w:r>
    </w:p>
    <w:p w14:paraId="7E1A39F9" w14:textId="77777777" w:rsidR="00477A61" w:rsidRPr="00E01239" w:rsidRDefault="00477A61" w:rsidP="002A19B3">
      <w:pPr>
        <w:pStyle w:val="Paragraphedeliste"/>
        <w:numPr>
          <w:ilvl w:val="0"/>
          <w:numId w:val="92"/>
        </w:numPr>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La suspension de la relation de travail (sans solde), pour une période minimale d’un mois et une période maximale de six mois ;</w:t>
      </w:r>
    </w:p>
    <w:p w14:paraId="4F2F134C" w14:textId="77777777" w:rsidR="00477A61" w:rsidRPr="00E01239" w:rsidRDefault="00477A61" w:rsidP="002A19B3">
      <w:pPr>
        <w:pStyle w:val="Paragraphedeliste"/>
        <w:numPr>
          <w:ilvl w:val="0"/>
          <w:numId w:val="92"/>
        </w:numPr>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Le licenciement.</w:t>
      </w:r>
    </w:p>
    <w:p w14:paraId="5C041E9A" w14:textId="77777777" w:rsidR="00477A61" w:rsidRPr="00E01239" w:rsidRDefault="00477A61" w:rsidP="002A19B3">
      <w:pPr>
        <w:pStyle w:val="Paragraphedeliste"/>
        <w:numPr>
          <w:ilvl w:val="0"/>
          <w:numId w:val="92"/>
        </w:numPr>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La dénonciation à la police, le cas échéant.</w:t>
      </w:r>
    </w:p>
    <w:p w14:paraId="2516EB8A" w14:textId="77777777" w:rsidR="00477A61" w:rsidRPr="00E01239" w:rsidRDefault="00477A61" w:rsidP="00477A61">
      <w:pPr>
        <w:ind w:left="426"/>
        <w:jc w:val="both"/>
        <w:rPr>
          <w:rFonts w:asciiTheme="minorHAnsi" w:hAnsiTheme="minorHAnsi" w:cstheme="minorHAnsi"/>
          <w:sz w:val="22"/>
          <w:szCs w:val="22"/>
        </w:rPr>
      </w:pPr>
    </w:p>
    <w:p w14:paraId="7B56CEB1" w14:textId="77777777" w:rsidR="00477A61" w:rsidRPr="00E01239" w:rsidRDefault="00477A61" w:rsidP="00477A61">
      <w:pPr>
        <w:pStyle w:val="NormalWeb"/>
        <w:jc w:val="both"/>
        <w:rPr>
          <w:rFonts w:asciiTheme="minorHAnsi" w:hAnsiTheme="minorHAnsi" w:cstheme="minorHAnsi"/>
          <w:i/>
          <w:iCs/>
          <w:sz w:val="22"/>
          <w:szCs w:val="22"/>
          <w:lang w:val="fr-FR"/>
        </w:rPr>
      </w:pPr>
      <w:r w:rsidRPr="00E01239">
        <w:rPr>
          <w:rFonts w:asciiTheme="minorHAnsi" w:hAnsiTheme="minorHAnsi" w:cstheme="minorHAnsi"/>
          <w:i/>
          <w:iCs/>
          <w:sz w:val="22"/>
          <w:szCs w:val="22"/>
          <w:lang w:val="fr-FR"/>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des VBG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et aux exigences HST, aux VBG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4C445A08" w14:textId="77777777" w:rsidR="00477A61" w:rsidRPr="00E01239" w:rsidRDefault="00477A61" w:rsidP="00477A61">
      <w:pPr>
        <w:rPr>
          <w:rFonts w:asciiTheme="minorHAnsi" w:hAnsiTheme="minorHAnsi" w:cstheme="minorHAnsi"/>
          <w:smallCaps/>
          <w:sz w:val="22"/>
          <w:szCs w:val="22"/>
        </w:rPr>
      </w:pPr>
    </w:p>
    <w:p w14:paraId="753EB6F3" w14:textId="77777777" w:rsidR="00477A61" w:rsidRPr="00E01239" w:rsidRDefault="00477A61" w:rsidP="00477A61">
      <w:pPr>
        <w:rPr>
          <w:rFonts w:asciiTheme="minorHAnsi" w:hAnsiTheme="minorHAnsi" w:cstheme="minorHAnsi"/>
          <w:smallCaps/>
          <w:sz w:val="22"/>
          <w:szCs w:val="22"/>
        </w:rPr>
      </w:pPr>
    </w:p>
    <w:p w14:paraId="01FD8483"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 xml:space="preserve">Signature : </w:t>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_________________________</w:t>
      </w:r>
    </w:p>
    <w:p w14:paraId="75D14F5B" w14:textId="77777777" w:rsidR="00477A61" w:rsidRPr="00E01239" w:rsidRDefault="00477A61" w:rsidP="00477A61">
      <w:pPr>
        <w:jc w:val="both"/>
        <w:rPr>
          <w:rFonts w:asciiTheme="minorHAnsi" w:hAnsiTheme="minorHAnsi" w:cstheme="minorHAnsi"/>
          <w:color w:val="000000"/>
          <w:sz w:val="22"/>
          <w:szCs w:val="22"/>
        </w:rPr>
      </w:pPr>
    </w:p>
    <w:p w14:paraId="79DE57FC"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Nom en toutes lettres :</w:t>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_________________________</w:t>
      </w:r>
    </w:p>
    <w:p w14:paraId="61E24E1D" w14:textId="77777777" w:rsidR="00477A61" w:rsidRPr="00E01239" w:rsidRDefault="00477A61" w:rsidP="00477A61">
      <w:pPr>
        <w:jc w:val="both"/>
        <w:rPr>
          <w:rFonts w:asciiTheme="minorHAnsi" w:hAnsiTheme="minorHAnsi" w:cstheme="minorHAnsi"/>
          <w:color w:val="000000"/>
          <w:sz w:val="22"/>
          <w:szCs w:val="22"/>
        </w:rPr>
      </w:pPr>
    </w:p>
    <w:p w14:paraId="41DB9A35"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 xml:space="preserve">Titre : </w:t>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_________________________</w:t>
      </w:r>
    </w:p>
    <w:p w14:paraId="20B7BDC5" w14:textId="77777777" w:rsidR="00477A61" w:rsidRPr="00E01239" w:rsidRDefault="00477A61" w:rsidP="00477A61">
      <w:pPr>
        <w:rPr>
          <w:rFonts w:asciiTheme="minorHAnsi" w:hAnsiTheme="minorHAnsi" w:cstheme="minorHAnsi"/>
          <w:smallCaps/>
          <w:sz w:val="22"/>
          <w:szCs w:val="22"/>
        </w:rPr>
      </w:pPr>
    </w:p>
    <w:p w14:paraId="43F7F23A" w14:textId="77777777" w:rsidR="00477A61" w:rsidRPr="00E01239" w:rsidRDefault="00477A61" w:rsidP="00477A61">
      <w:pPr>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 xml:space="preserve">Date : </w:t>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r>
      <w:r w:rsidRPr="00E01239">
        <w:rPr>
          <w:rFonts w:asciiTheme="minorHAnsi" w:hAnsiTheme="minorHAnsi" w:cstheme="minorHAnsi"/>
          <w:color w:val="000000"/>
          <w:sz w:val="22"/>
          <w:szCs w:val="22"/>
        </w:rPr>
        <w:tab/>
        <w:t>_________________________</w:t>
      </w:r>
    </w:p>
    <w:p w14:paraId="1A1475BC" w14:textId="77777777" w:rsidR="00477A61" w:rsidRPr="00E01239" w:rsidRDefault="00477A61" w:rsidP="00477A61">
      <w:pPr>
        <w:rPr>
          <w:rFonts w:asciiTheme="minorHAnsi" w:hAnsiTheme="minorHAnsi" w:cstheme="minorHAnsi"/>
          <w:color w:val="000000"/>
          <w:sz w:val="22"/>
          <w:szCs w:val="22"/>
        </w:rPr>
      </w:pPr>
      <w:r w:rsidRPr="00E01239">
        <w:rPr>
          <w:rFonts w:asciiTheme="minorHAnsi" w:hAnsiTheme="minorHAnsi" w:cstheme="minorHAnsi"/>
          <w:color w:val="000000"/>
          <w:sz w:val="22"/>
          <w:szCs w:val="22"/>
        </w:rPr>
        <w:br w:type="page"/>
      </w:r>
    </w:p>
    <w:p w14:paraId="1DF57EE5" w14:textId="77777777" w:rsidR="00477A61" w:rsidRPr="00E01239" w:rsidRDefault="00477A61" w:rsidP="00477A61">
      <w:pPr>
        <w:widowControl w:val="0"/>
        <w:autoSpaceDE w:val="0"/>
        <w:autoSpaceDN w:val="0"/>
        <w:adjustRightInd w:val="0"/>
        <w:spacing w:after="240"/>
        <w:jc w:val="both"/>
        <w:rPr>
          <w:rFonts w:asciiTheme="minorHAnsi" w:hAnsiTheme="minorHAnsi" w:cstheme="minorHAnsi"/>
          <w:b/>
          <w:bCs/>
          <w:sz w:val="22"/>
          <w:szCs w:val="22"/>
        </w:rPr>
      </w:pPr>
      <w:r w:rsidRPr="00E01239">
        <w:rPr>
          <w:rFonts w:asciiTheme="minorHAnsi" w:hAnsiTheme="minorHAnsi" w:cstheme="minorHAnsi"/>
          <w:b/>
          <w:bCs/>
          <w:sz w:val="22"/>
          <w:szCs w:val="22"/>
        </w:rPr>
        <w:lastRenderedPageBreak/>
        <w:t>Des mesures de responsabilisation visant à préserver la confidentialité peuvent être prises grâce aux actions suivantes consistant à :</w:t>
      </w:r>
    </w:p>
    <w:p w14:paraId="6E11E99C" w14:textId="77777777" w:rsidR="00477A61" w:rsidRPr="00E01239" w:rsidRDefault="00477A61" w:rsidP="002A19B3">
      <w:pPr>
        <w:pStyle w:val="Paragraphedeliste"/>
        <w:widowControl w:val="0"/>
        <w:numPr>
          <w:ilvl w:val="2"/>
          <w:numId w:val="75"/>
        </w:numPr>
        <w:tabs>
          <w:tab w:val="left" w:pos="220"/>
        </w:tabs>
        <w:autoSpaceDE w:val="0"/>
        <w:autoSpaceDN w:val="0"/>
        <w:adjustRightInd w:val="0"/>
        <w:spacing w:after="266"/>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Informer tous les employés que la confidentialité des renseignements personnels des </w:t>
      </w:r>
      <w:r w:rsidRPr="00E01239">
        <w:rPr>
          <w:rFonts w:asciiTheme="minorHAnsi" w:hAnsiTheme="minorHAnsi" w:cstheme="minorHAnsi"/>
          <w:sz w:val="22"/>
          <w:szCs w:val="22"/>
        </w:rPr>
        <w:t>survivant(e)s</w:t>
      </w:r>
      <w:r w:rsidRPr="00E01239">
        <w:rPr>
          <w:rFonts w:asciiTheme="minorHAnsi" w:hAnsiTheme="minorHAnsi" w:cstheme="minorHAnsi"/>
          <w:color w:val="000000"/>
          <w:sz w:val="22"/>
          <w:szCs w:val="22"/>
        </w:rPr>
        <w:t xml:space="preserve"> de VBG/VCE revêt une importance capitale ;</w:t>
      </w:r>
    </w:p>
    <w:p w14:paraId="403BFE62" w14:textId="77777777" w:rsidR="00477A61" w:rsidRPr="00E01239" w:rsidRDefault="00477A61" w:rsidP="002A19B3">
      <w:pPr>
        <w:pStyle w:val="Paragraphedeliste"/>
        <w:widowControl w:val="0"/>
        <w:numPr>
          <w:ilvl w:val="2"/>
          <w:numId w:val="75"/>
        </w:numPr>
        <w:tabs>
          <w:tab w:val="left" w:pos="220"/>
        </w:tabs>
        <w:autoSpaceDE w:val="0"/>
        <w:autoSpaceDN w:val="0"/>
        <w:adjustRightInd w:val="0"/>
        <w:spacing w:after="266"/>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Dispenser aux membres de l’équipe de conformité une formation sur l’écoute empathique et sans jugement ; </w:t>
      </w:r>
    </w:p>
    <w:p w14:paraId="589AC10E" w14:textId="77777777" w:rsidR="00477A61" w:rsidRPr="00E01239" w:rsidRDefault="00477A61" w:rsidP="002A19B3">
      <w:pPr>
        <w:pStyle w:val="Paragraphedeliste"/>
        <w:widowControl w:val="0"/>
        <w:numPr>
          <w:ilvl w:val="2"/>
          <w:numId w:val="75"/>
        </w:numPr>
        <w:tabs>
          <w:tab w:val="left" w:pos="220"/>
        </w:tabs>
        <w:autoSpaceDE w:val="0"/>
        <w:autoSpaceDN w:val="0"/>
        <w:adjustRightInd w:val="0"/>
        <w:spacing w:after="266"/>
        <w:ind w:left="426"/>
        <w:contextualSpacing w:val="0"/>
        <w:jc w:val="both"/>
        <w:rPr>
          <w:rFonts w:asciiTheme="minorHAnsi" w:hAnsiTheme="minorHAnsi" w:cstheme="minorHAnsi"/>
          <w:color w:val="000000"/>
          <w:sz w:val="22"/>
          <w:szCs w:val="22"/>
        </w:rPr>
      </w:pPr>
      <w:r w:rsidRPr="00E01239">
        <w:rPr>
          <w:rFonts w:asciiTheme="minorHAnsi" w:hAnsiTheme="minorHAnsi" w:cstheme="minorHAnsi"/>
          <w:color w:val="000000"/>
          <w:sz w:val="22"/>
          <w:szCs w:val="22"/>
        </w:rPr>
        <w:t xml:space="preserve">Prendre des mesures disciplinaires, y compris pouvant aller jusqu’au licenciement, contre les personnes qui violent la confidentialité de l’identité des </w:t>
      </w:r>
      <w:r w:rsidRPr="00E01239">
        <w:rPr>
          <w:rFonts w:asciiTheme="minorHAnsi" w:hAnsiTheme="minorHAnsi" w:cstheme="minorHAnsi"/>
          <w:sz w:val="22"/>
          <w:szCs w:val="22"/>
        </w:rPr>
        <w:t xml:space="preserve">survivant(e)s </w:t>
      </w:r>
      <w:r w:rsidRPr="00E01239">
        <w:rPr>
          <w:rFonts w:asciiTheme="minorHAnsi" w:hAnsiTheme="minorHAnsi" w:cstheme="minorHAnsi"/>
          <w:color w:val="000000"/>
          <w:sz w:val="22"/>
          <w:szCs w:val="22"/>
        </w:rPr>
        <w:t xml:space="preserve">(à moins qu’une violation de la confidentialité soit nécessaire pour protéger le/a </w:t>
      </w:r>
      <w:proofErr w:type="spellStart"/>
      <w:r w:rsidRPr="00E01239">
        <w:rPr>
          <w:rFonts w:asciiTheme="minorHAnsi" w:hAnsiTheme="minorHAnsi" w:cstheme="minorHAnsi"/>
          <w:color w:val="000000"/>
          <w:sz w:val="22"/>
          <w:szCs w:val="22"/>
        </w:rPr>
        <w:t>survivan</w:t>
      </w:r>
      <w:proofErr w:type="spellEnd"/>
      <w:r w:rsidRPr="00E01239">
        <w:rPr>
          <w:rFonts w:asciiTheme="minorHAnsi" w:hAnsiTheme="minorHAnsi" w:cstheme="minorHAnsi"/>
          <w:color w:val="000000"/>
          <w:sz w:val="22"/>
          <w:szCs w:val="22"/>
        </w:rPr>
        <w:t>/te ou toute autre personne d’un préjudice grave, ou lorsque la loi l’exige).</w:t>
      </w:r>
    </w:p>
    <w:p w14:paraId="43ED0C8E" w14:textId="77777777" w:rsidR="00477A61" w:rsidRPr="00E01239" w:rsidRDefault="00477A61" w:rsidP="00477A61">
      <w:pPr>
        <w:widowControl w:val="0"/>
        <w:autoSpaceDE w:val="0"/>
        <w:autoSpaceDN w:val="0"/>
        <w:adjustRightInd w:val="0"/>
        <w:spacing w:after="240"/>
        <w:jc w:val="both"/>
        <w:rPr>
          <w:rFonts w:asciiTheme="minorHAnsi" w:hAnsiTheme="minorHAnsi" w:cstheme="minorHAnsi"/>
          <w:b/>
          <w:bCs/>
          <w:sz w:val="22"/>
          <w:szCs w:val="22"/>
        </w:rPr>
      </w:pPr>
      <w:r w:rsidRPr="00E01239">
        <w:rPr>
          <w:rFonts w:asciiTheme="minorHAnsi" w:hAnsiTheme="minorHAnsi" w:cstheme="minorHAnsi"/>
          <w:b/>
          <w:bCs/>
          <w:sz w:val="22"/>
          <w:szCs w:val="22"/>
        </w:rPr>
        <w:t xml:space="preserve">Les Procédures relatives aux allégations de VBG et VCE devraient préciser : </w:t>
      </w:r>
    </w:p>
    <w:p w14:paraId="78076E96" w14:textId="77777777" w:rsidR="00477A61" w:rsidRPr="00E01239" w:rsidRDefault="00477A61" w:rsidP="002A19B3">
      <w:pPr>
        <w:pStyle w:val="Paragraphedeliste"/>
        <w:widowControl w:val="0"/>
        <w:numPr>
          <w:ilvl w:val="0"/>
          <w:numId w:val="74"/>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A qui les survivant(e)s peuvent s’adresser pour obtenir des renseignements et une assistance ;</w:t>
      </w:r>
    </w:p>
    <w:p w14:paraId="502A69E0" w14:textId="77777777" w:rsidR="00477A61" w:rsidRPr="00E01239" w:rsidRDefault="00477A61" w:rsidP="002A19B3">
      <w:pPr>
        <w:pStyle w:val="Paragraphedeliste"/>
        <w:widowControl w:val="0"/>
        <w:numPr>
          <w:ilvl w:val="0"/>
          <w:numId w:val="74"/>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Le processus permettant aux membres des communautés et aux employés de déposer une plainte par l’intermédiaire du MGP en cas d’allégation de VBG et VCE ;</w:t>
      </w:r>
    </w:p>
    <w:p w14:paraId="062C9A1C" w14:textId="77777777" w:rsidR="00477A61" w:rsidRPr="00E01239" w:rsidRDefault="00477A61" w:rsidP="002A19B3">
      <w:pPr>
        <w:pStyle w:val="Paragraphedeliste"/>
        <w:widowControl w:val="0"/>
        <w:numPr>
          <w:ilvl w:val="0"/>
          <w:numId w:val="74"/>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Le mécanisme par lequel les membres des communautés et les employés peuvent transmettre une demande pour obtenir un soutien ou signaler une violence si le processus de dénonciation n’est pas efficace en raison d’une non-disponibilité ou d’une non-réactivité, ou si la préoccupation de l’employé n’est pas résolue. </w:t>
      </w:r>
    </w:p>
    <w:p w14:paraId="7820CE94" w14:textId="77777777" w:rsidR="00477A61" w:rsidRPr="00E01239" w:rsidRDefault="00477A61" w:rsidP="00477A61">
      <w:pPr>
        <w:widowControl w:val="0"/>
        <w:autoSpaceDE w:val="0"/>
        <w:autoSpaceDN w:val="0"/>
        <w:adjustRightInd w:val="0"/>
        <w:spacing w:after="240"/>
        <w:jc w:val="both"/>
        <w:rPr>
          <w:rFonts w:asciiTheme="minorHAnsi" w:hAnsiTheme="minorHAnsi" w:cstheme="minorHAnsi"/>
          <w:b/>
          <w:bCs/>
          <w:sz w:val="22"/>
          <w:szCs w:val="22"/>
        </w:rPr>
      </w:pPr>
      <w:r w:rsidRPr="00E01239">
        <w:rPr>
          <w:rFonts w:asciiTheme="minorHAnsi" w:hAnsiTheme="minorHAnsi" w:cstheme="minorHAnsi"/>
          <w:b/>
          <w:bCs/>
          <w:sz w:val="22"/>
          <w:szCs w:val="22"/>
        </w:rPr>
        <w:t xml:space="preserve">Le soutien financier et les autres formes de soutien aux survivant(e)s peuvent inclure : </w:t>
      </w:r>
    </w:p>
    <w:p w14:paraId="1DA1FCA1" w14:textId="77777777" w:rsidR="00477A61" w:rsidRPr="00E01239" w:rsidRDefault="00477A61" w:rsidP="002A19B3">
      <w:pPr>
        <w:pStyle w:val="Paragraphedeliste"/>
        <w:numPr>
          <w:ilvl w:val="2"/>
          <w:numId w:val="72"/>
        </w:numPr>
        <w:spacing w:after="120"/>
        <w:ind w:left="425" w:hanging="357"/>
        <w:contextualSpacing w:val="0"/>
        <w:rPr>
          <w:rFonts w:asciiTheme="minorHAnsi" w:hAnsiTheme="minorHAnsi" w:cstheme="minorHAnsi"/>
          <w:sz w:val="22"/>
          <w:szCs w:val="22"/>
        </w:rPr>
      </w:pPr>
      <w:r w:rsidRPr="00E01239">
        <w:rPr>
          <w:rFonts w:asciiTheme="minorHAnsi" w:hAnsiTheme="minorHAnsi" w:cstheme="minorHAnsi"/>
          <w:sz w:val="22"/>
          <w:szCs w:val="22"/>
        </w:rPr>
        <w:t xml:space="preserve">Les prêts sans intérêt/à faible taux d’intérêt ; </w:t>
      </w:r>
    </w:p>
    <w:p w14:paraId="6A655F83" w14:textId="77777777" w:rsidR="00477A61" w:rsidRPr="00E01239" w:rsidRDefault="00477A61" w:rsidP="002A19B3">
      <w:pPr>
        <w:pStyle w:val="Paragraphedeliste"/>
        <w:numPr>
          <w:ilvl w:val="2"/>
          <w:numId w:val="72"/>
        </w:numPr>
        <w:spacing w:after="120"/>
        <w:ind w:left="425" w:hanging="357"/>
        <w:contextualSpacing w:val="0"/>
        <w:rPr>
          <w:rFonts w:asciiTheme="minorHAnsi" w:hAnsiTheme="minorHAnsi" w:cstheme="minorHAnsi"/>
          <w:sz w:val="22"/>
          <w:szCs w:val="22"/>
        </w:rPr>
      </w:pPr>
      <w:r w:rsidRPr="00E01239">
        <w:rPr>
          <w:rFonts w:asciiTheme="minorHAnsi" w:hAnsiTheme="minorHAnsi" w:cstheme="minorHAnsi"/>
          <w:sz w:val="22"/>
          <w:szCs w:val="22"/>
        </w:rPr>
        <w:t>Une avance de salaire ;</w:t>
      </w:r>
    </w:p>
    <w:p w14:paraId="4E0E192D" w14:textId="77777777" w:rsidR="00477A61" w:rsidRPr="00E01239" w:rsidRDefault="00477A61" w:rsidP="002A19B3">
      <w:pPr>
        <w:pStyle w:val="Paragraphedeliste"/>
        <w:numPr>
          <w:ilvl w:val="2"/>
          <w:numId w:val="72"/>
        </w:numPr>
        <w:spacing w:after="120"/>
        <w:ind w:left="425" w:hanging="357"/>
        <w:contextualSpacing w:val="0"/>
        <w:rPr>
          <w:rFonts w:asciiTheme="minorHAnsi" w:hAnsiTheme="minorHAnsi" w:cstheme="minorHAnsi"/>
          <w:sz w:val="22"/>
          <w:szCs w:val="22"/>
        </w:rPr>
      </w:pPr>
      <w:r w:rsidRPr="00E01239">
        <w:rPr>
          <w:rFonts w:asciiTheme="minorHAnsi" w:hAnsiTheme="minorHAnsi" w:cstheme="minorHAnsi"/>
          <w:sz w:val="22"/>
          <w:szCs w:val="22"/>
        </w:rPr>
        <w:t>Le paiement direct des frais médicaux ;</w:t>
      </w:r>
    </w:p>
    <w:p w14:paraId="0DE8C578" w14:textId="77777777" w:rsidR="00477A61" w:rsidRPr="00E01239" w:rsidRDefault="00477A61" w:rsidP="002A19B3">
      <w:pPr>
        <w:pStyle w:val="Paragraphedeliste"/>
        <w:numPr>
          <w:ilvl w:val="2"/>
          <w:numId w:val="72"/>
        </w:numPr>
        <w:spacing w:after="120"/>
        <w:ind w:left="425" w:hanging="357"/>
        <w:contextualSpacing w:val="0"/>
        <w:rPr>
          <w:rFonts w:asciiTheme="minorHAnsi" w:hAnsiTheme="minorHAnsi" w:cstheme="minorHAnsi"/>
          <w:sz w:val="22"/>
          <w:szCs w:val="22"/>
        </w:rPr>
      </w:pPr>
      <w:r w:rsidRPr="00E01239">
        <w:rPr>
          <w:rFonts w:asciiTheme="minorHAnsi" w:hAnsiTheme="minorHAnsi" w:cstheme="minorHAnsi"/>
          <w:sz w:val="22"/>
          <w:szCs w:val="22"/>
        </w:rPr>
        <w:t>La prise en charge de tous les frais médicaux liés spécifiquement à l’incident ;</w:t>
      </w:r>
    </w:p>
    <w:p w14:paraId="35EC3235" w14:textId="77777777" w:rsidR="00477A61" w:rsidRPr="00E01239" w:rsidRDefault="00477A61" w:rsidP="002A19B3">
      <w:pPr>
        <w:pStyle w:val="Paragraphedeliste"/>
        <w:numPr>
          <w:ilvl w:val="2"/>
          <w:numId w:val="72"/>
        </w:numPr>
        <w:spacing w:after="120"/>
        <w:ind w:left="425" w:hanging="357"/>
        <w:contextualSpacing w:val="0"/>
        <w:rPr>
          <w:rFonts w:asciiTheme="minorHAnsi" w:hAnsiTheme="minorHAnsi" w:cstheme="minorHAnsi"/>
          <w:sz w:val="22"/>
          <w:szCs w:val="22"/>
        </w:rPr>
      </w:pPr>
      <w:r w:rsidRPr="00E01239">
        <w:rPr>
          <w:rFonts w:asciiTheme="minorHAnsi" w:hAnsiTheme="minorHAnsi" w:cstheme="minorHAnsi"/>
          <w:sz w:val="22"/>
          <w:szCs w:val="22"/>
        </w:rPr>
        <w:t>Le paiement d’avance des frais médicaux, remboursables ultérieurement par l’assurance maladie de l’employé ;</w:t>
      </w:r>
    </w:p>
    <w:p w14:paraId="414EFC23" w14:textId="77777777" w:rsidR="00477A61" w:rsidRPr="00E01239" w:rsidRDefault="00477A61" w:rsidP="002A19B3">
      <w:pPr>
        <w:pStyle w:val="Paragraphedeliste"/>
        <w:numPr>
          <w:ilvl w:val="2"/>
          <w:numId w:val="72"/>
        </w:numPr>
        <w:spacing w:after="120"/>
        <w:ind w:left="425" w:hanging="357"/>
        <w:contextualSpacing w:val="0"/>
        <w:rPr>
          <w:rFonts w:asciiTheme="minorHAnsi" w:hAnsiTheme="minorHAnsi" w:cstheme="minorHAnsi"/>
          <w:sz w:val="22"/>
          <w:szCs w:val="22"/>
        </w:rPr>
      </w:pPr>
      <w:r w:rsidRPr="00E01239">
        <w:rPr>
          <w:rFonts w:asciiTheme="minorHAnsi" w:hAnsiTheme="minorHAnsi" w:cstheme="minorHAnsi"/>
          <w:sz w:val="22"/>
          <w:szCs w:val="22"/>
        </w:rPr>
        <w:t>L’offre de services de garde d’enfants ou la facilitation de l’accès aux services de garde d’enfants ;</w:t>
      </w:r>
    </w:p>
    <w:p w14:paraId="0E2B9F3D" w14:textId="77777777" w:rsidR="00477A61" w:rsidRPr="00E01239" w:rsidRDefault="00477A61" w:rsidP="002A19B3">
      <w:pPr>
        <w:pStyle w:val="Paragraphedeliste"/>
        <w:numPr>
          <w:ilvl w:val="2"/>
          <w:numId w:val="72"/>
        </w:numPr>
        <w:spacing w:after="120"/>
        <w:ind w:left="425" w:hanging="357"/>
        <w:contextualSpacing w:val="0"/>
        <w:rPr>
          <w:rFonts w:asciiTheme="minorHAnsi" w:hAnsiTheme="minorHAnsi" w:cstheme="minorHAnsi"/>
          <w:sz w:val="22"/>
          <w:szCs w:val="22"/>
        </w:rPr>
      </w:pPr>
      <w:r w:rsidRPr="00E01239">
        <w:rPr>
          <w:rFonts w:asciiTheme="minorHAnsi" w:hAnsiTheme="minorHAnsi" w:cstheme="minorHAnsi"/>
          <w:sz w:val="22"/>
          <w:szCs w:val="22"/>
        </w:rPr>
        <w:t>Le renforcement de la sécurité au domicile de l’employé ;</w:t>
      </w:r>
    </w:p>
    <w:p w14:paraId="3A889671" w14:textId="77777777" w:rsidR="00477A61" w:rsidRPr="00E01239" w:rsidRDefault="00477A61" w:rsidP="002A19B3">
      <w:pPr>
        <w:pStyle w:val="Paragraphedeliste"/>
        <w:numPr>
          <w:ilvl w:val="2"/>
          <w:numId w:val="72"/>
        </w:numPr>
        <w:spacing w:after="120"/>
        <w:ind w:left="425" w:hanging="357"/>
        <w:contextualSpacing w:val="0"/>
        <w:rPr>
          <w:rFonts w:asciiTheme="minorHAnsi" w:hAnsiTheme="minorHAnsi" w:cstheme="minorHAnsi"/>
          <w:sz w:val="22"/>
          <w:szCs w:val="22"/>
        </w:rPr>
      </w:pPr>
      <w:r w:rsidRPr="00E01239">
        <w:rPr>
          <w:rFonts w:asciiTheme="minorHAnsi" w:hAnsiTheme="minorHAnsi" w:cstheme="minorHAnsi"/>
          <w:sz w:val="22"/>
          <w:szCs w:val="22"/>
        </w:rPr>
        <w:t>La fourniture d’un moyen de transport sécurisé pour accéder aux services de soutien ou pour se rendre à un lieu d’hébergement et en revenir.</w:t>
      </w:r>
    </w:p>
    <w:p w14:paraId="25003822" w14:textId="77777777" w:rsidR="00477A61" w:rsidRPr="00E01239" w:rsidRDefault="00477A61" w:rsidP="00477A61">
      <w:pPr>
        <w:pStyle w:val="Paragraphedeliste"/>
        <w:spacing w:after="240"/>
        <w:ind w:left="426"/>
        <w:contextualSpacing w:val="0"/>
        <w:rPr>
          <w:rFonts w:asciiTheme="minorHAnsi" w:hAnsiTheme="minorHAnsi" w:cstheme="minorHAnsi"/>
          <w:sz w:val="22"/>
          <w:szCs w:val="22"/>
        </w:rPr>
      </w:pPr>
    </w:p>
    <w:p w14:paraId="147623FB" w14:textId="77777777" w:rsidR="00477A61" w:rsidRPr="00E01239" w:rsidRDefault="00477A61" w:rsidP="00477A61">
      <w:pPr>
        <w:widowControl w:val="0"/>
        <w:autoSpaceDE w:val="0"/>
        <w:autoSpaceDN w:val="0"/>
        <w:adjustRightInd w:val="0"/>
        <w:spacing w:after="240"/>
        <w:jc w:val="both"/>
        <w:rPr>
          <w:rFonts w:asciiTheme="minorHAnsi" w:hAnsiTheme="minorHAnsi" w:cstheme="minorHAnsi"/>
          <w:b/>
          <w:bCs/>
          <w:sz w:val="22"/>
          <w:szCs w:val="22"/>
        </w:rPr>
      </w:pPr>
      <w:r w:rsidRPr="00E01239">
        <w:rPr>
          <w:rFonts w:asciiTheme="minorHAnsi" w:hAnsiTheme="minorHAnsi" w:cstheme="minorHAnsi"/>
          <w:b/>
          <w:bCs/>
          <w:sz w:val="22"/>
          <w:szCs w:val="22"/>
        </w:rPr>
        <w:t>En fonction des droits, des besoins et des souhaits de le/a survivant/e, les mesures de soutien aux survivant(e)s visant à garantir la sécurité de la survivante, qui est un employé, peuvent comprendre</w:t>
      </w:r>
      <w:r w:rsidRPr="00E01239">
        <w:rPr>
          <w:rStyle w:val="Appelnotedebasdep"/>
          <w:rFonts w:asciiTheme="minorHAnsi" w:hAnsiTheme="minorHAnsi" w:cstheme="minorHAnsi"/>
          <w:b/>
          <w:bCs/>
          <w:sz w:val="22"/>
          <w:szCs w:val="22"/>
        </w:rPr>
        <w:footnoteReference w:id="15"/>
      </w:r>
      <w:r w:rsidRPr="00E01239">
        <w:rPr>
          <w:rFonts w:asciiTheme="minorHAnsi" w:hAnsiTheme="minorHAnsi" w:cstheme="minorHAnsi"/>
          <w:b/>
          <w:bCs/>
          <w:sz w:val="22"/>
          <w:szCs w:val="22"/>
        </w:rPr>
        <w:t xml:space="preserve"> : </w:t>
      </w:r>
    </w:p>
    <w:p w14:paraId="134F0D6F" w14:textId="77777777" w:rsidR="00477A61" w:rsidRPr="00E01239" w:rsidRDefault="00477A61" w:rsidP="002A19B3">
      <w:pPr>
        <w:pStyle w:val="Paragraphedeliste"/>
        <w:widowControl w:val="0"/>
        <w:numPr>
          <w:ilvl w:val="2"/>
          <w:numId w:val="71"/>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lastRenderedPageBreak/>
        <w:t>Le changement de la répartition des heures et/ou des modalités de travail de l’auteur ou de le/a survivant/e de la violence ;</w:t>
      </w:r>
    </w:p>
    <w:p w14:paraId="5AC3061B" w14:textId="77777777" w:rsidR="00477A61" w:rsidRPr="00E01239" w:rsidRDefault="00477A61" w:rsidP="002A19B3">
      <w:pPr>
        <w:pStyle w:val="Paragraphedeliste"/>
        <w:widowControl w:val="0"/>
        <w:numPr>
          <w:ilvl w:val="2"/>
          <w:numId w:val="71"/>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Le réaménagement ou la modification des tâches de l’auteur de la violence ou de le/a survivant/e de la violence ;</w:t>
      </w:r>
    </w:p>
    <w:p w14:paraId="06CE2F26" w14:textId="77777777" w:rsidR="00477A61" w:rsidRPr="00E01239" w:rsidRDefault="00477A61" w:rsidP="002A19B3">
      <w:pPr>
        <w:pStyle w:val="Paragraphedeliste"/>
        <w:widowControl w:val="0"/>
        <w:numPr>
          <w:ilvl w:val="2"/>
          <w:numId w:val="71"/>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Le changement du numéro de téléphone ou de l’adresse électronique de le/a survivant/e pour éviter le harcèlement ;</w:t>
      </w:r>
    </w:p>
    <w:p w14:paraId="2EF38984" w14:textId="77777777" w:rsidR="00477A61" w:rsidRPr="00E01239" w:rsidRDefault="00477A61" w:rsidP="002A19B3">
      <w:pPr>
        <w:pStyle w:val="Paragraphedeliste"/>
        <w:widowControl w:val="0"/>
        <w:numPr>
          <w:ilvl w:val="2"/>
          <w:numId w:val="71"/>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La réinstallation de le/a survivant/e ou de l’auteur de la violence sur un autre lieu de travail/dans des locaux de substitution ;</w:t>
      </w:r>
    </w:p>
    <w:p w14:paraId="4FEF5615" w14:textId="77777777" w:rsidR="00477A61" w:rsidRPr="00E01239" w:rsidRDefault="00477A61" w:rsidP="002A19B3">
      <w:pPr>
        <w:pStyle w:val="Paragraphedeliste"/>
        <w:widowControl w:val="0"/>
        <w:numPr>
          <w:ilvl w:val="2"/>
          <w:numId w:val="71"/>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La garantie d’un moyen de transport aller-retour en toute sécurité au travail pendant une période déterminée ; </w:t>
      </w:r>
    </w:p>
    <w:p w14:paraId="2BC64842" w14:textId="77777777" w:rsidR="00477A61" w:rsidRPr="00E01239" w:rsidRDefault="00477A61" w:rsidP="002A19B3">
      <w:pPr>
        <w:pStyle w:val="Paragraphedeliste"/>
        <w:widowControl w:val="0"/>
        <w:numPr>
          <w:ilvl w:val="2"/>
          <w:numId w:val="71"/>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Le soutien à le/a survivant/e pour lui permettre de demander une ordonnance de protection provisoire ou l’orienter vers un soutien approprié ;</w:t>
      </w:r>
    </w:p>
    <w:p w14:paraId="70CEE3A4" w14:textId="77777777" w:rsidR="00477A61" w:rsidRPr="00E01239" w:rsidRDefault="00477A61" w:rsidP="002A19B3">
      <w:pPr>
        <w:pStyle w:val="Paragraphedeliste"/>
        <w:widowControl w:val="0"/>
        <w:numPr>
          <w:ilvl w:val="2"/>
          <w:numId w:val="71"/>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 xml:space="preserve">La prise de toute autre mesure appropriée, y compris celles prévues par les dispositions existantes en matière de modalités de travail souples et favorables à la famille. </w:t>
      </w:r>
    </w:p>
    <w:p w14:paraId="4BFFF859" w14:textId="77777777" w:rsidR="00477A61" w:rsidRPr="00E01239" w:rsidRDefault="00477A61" w:rsidP="00477A61">
      <w:pPr>
        <w:pStyle w:val="Paragraphedeliste"/>
        <w:widowControl w:val="0"/>
        <w:autoSpaceDE w:val="0"/>
        <w:autoSpaceDN w:val="0"/>
        <w:adjustRightInd w:val="0"/>
        <w:spacing w:after="240"/>
        <w:ind w:left="426"/>
        <w:contextualSpacing w:val="0"/>
        <w:jc w:val="both"/>
        <w:rPr>
          <w:rFonts w:asciiTheme="minorHAnsi" w:hAnsiTheme="minorHAnsi" w:cstheme="minorHAnsi"/>
          <w:sz w:val="22"/>
          <w:szCs w:val="22"/>
        </w:rPr>
      </w:pPr>
    </w:p>
    <w:p w14:paraId="35E74C38" w14:textId="77777777" w:rsidR="00477A61" w:rsidRPr="00E01239" w:rsidRDefault="00477A61" w:rsidP="00477A61">
      <w:pPr>
        <w:widowControl w:val="0"/>
        <w:autoSpaceDE w:val="0"/>
        <w:autoSpaceDN w:val="0"/>
        <w:adjustRightInd w:val="0"/>
        <w:spacing w:after="240"/>
        <w:jc w:val="both"/>
        <w:rPr>
          <w:rFonts w:asciiTheme="minorHAnsi" w:hAnsiTheme="minorHAnsi" w:cstheme="minorHAnsi"/>
          <w:b/>
          <w:bCs/>
          <w:sz w:val="22"/>
          <w:szCs w:val="22"/>
        </w:rPr>
      </w:pPr>
      <w:r w:rsidRPr="00E01239">
        <w:rPr>
          <w:rFonts w:asciiTheme="minorHAnsi" w:hAnsiTheme="minorHAnsi" w:cstheme="minorHAnsi"/>
          <w:b/>
          <w:bCs/>
          <w:sz w:val="22"/>
          <w:szCs w:val="22"/>
        </w:rPr>
        <w:t xml:space="preserve">Les options de congé pour </w:t>
      </w:r>
      <w:proofErr w:type="gramStart"/>
      <w:r w:rsidRPr="00E01239">
        <w:rPr>
          <w:rFonts w:asciiTheme="minorHAnsi" w:hAnsiTheme="minorHAnsi" w:cstheme="minorHAnsi"/>
          <w:b/>
          <w:bCs/>
          <w:sz w:val="22"/>
          <w:szCs w:val="22"/>
        </w:rPr>
        <w:t>les survivant</w:t>
      </w:r>
      <w:proofErr w:type="gramEnd"/>
      <w:r w:rsidRPr="00E01239">
        <w:rPr>
          <w:rFonts w:asciiTheme="minorHAnsi" w:hAnsiTheme="minorHAnsi" w:cstheme="minorHAnsi"/>
          <w:b/>
          <w:bCs/>
          <w:sz w:val="22"/>
          <w:szCs w:val="22"/>
        </w:rPr>
        <w:t xml:space="preserve">(e)s qui sont des employés peuvent inclure ce qui suit : </w:t>
      </w:r>
    </w:p>
    <w:p w14:paraId="0563CAAD" w14:textId="77777777" w:rsidR="00477A61" w:rsidRPr="00E01239" w:rsidRDefault="00477A61" w:rsidP="002A19B3">
      <w:pPr>
        <w:pStyle w:val="Paragraphedeliste"/>
        <w:widowControl w:val="0"/>
        <w:numPr>
          <w:ilvl w:val="2"/>
          <w:numId w:val="73"/>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Un employé survivant de VBG devrait pouvoir demander un congé spécial rémunéré pour se présenter à des rendez-vous médicaux ou psychosociaux, à des procédures judiciaires, ainsi que pour aménager dans un lieu de vie sécuritaire et pour entreprendre toute autre activité de soin du fait des VBG ;</w:t>
      </w:r>
    </w:p>
    <w:p w14:paraId="60630984" w14:textId="77777777" w:rsidR="00477A61" w:rsidRPr="00E01239" w:rsidRDefault="00477A61" w:rsidP="002A19B3">
      <w:pPr>
        <w:pStyle w:val="Paragraphedeliste"/>
        <w:widowControl w:val="0"/>
        <w:numPr>
          <w:ilvl w:val="2"/>
          <w:numId w:val="73"/>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Tout employé qui apporte son soutien à une personne survivante de VBG et/ou VCE pourrait prendre un congé de soignant, y compris mais, sans s’y limiter, pour l’accompagner au tribunal ou à l’hôpital, ou pour prendre soin des enfants ;</w:t>
      </w:r>
    </w:p>
    <w:p w14:paraId="5270EF68" w14:textId="77777777" w:rsidR="00477A61" w:rsidRPr="00E01239" w:rsidRDefault="00477A61" w:rsidP="002A19B3">
      <w:pPr>
        <w:pStyle w:val="Paragraphedeliste"/>
        <w:widowControl w:val="0"/>
        <w:numPr>
          <w:ilvl w:val="2"/>
          <w:numId w:val="73"/>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Les employés qui sont recrutés à titre temporaire pourraient demander un congé spécial non rémunéré ou un congé de soignant sans solde pour entreprendre les activités décrites ci-dessus ;</w:t>
      </w:r>
    </w:p>
    <w:p w14:paraId="519D5C8B" w14:textId="77777777" w:rsidR="00477A61" w:rsidRPr="00E01239" w:rsidRDefault="00477A61" w:rsidP="002A19B3">
      <w:pPr>
        <w:pStyle w:val="Paragraphedeliste"/>
        <w:widowControl w:val="0"/>
        <w:numPr>
          <w:ilvl w:val="2"/>
          <w:numId w:val="73"/>
        </w:numPr>
        <w:autoSpaceDE w:val="0"/>
        <w:autoSpaceDN w:val="0"/>
        <w:adjustRightInd w:val="0"/>
        <w:spacing w:after="240"/>
        <w:ind w:left="426"/>
        <w:contextualSpacing w:val="0"/>
        <w:jc w:val="both"/>
        <w:rPr>
          <w:rFonts w:asciiTheme="minorHAnsi" w:hAnsiTheme="minorHAnsi" w:cstheme="minorHAnsi"/>
          <w:sz w:val="22"/>
          <w:szCs w:val="22"/>
        </w:rPr>
      </w:pPr>
      <w:r w:rsidRPr="00E01239">
        <w:rPr>
          <w:rFonts w:asciiTheme="minorHAnsi" w:hAnsiTheme="minorHAnsi" w:cstheme="minorHAnsi"/>
          <w:sz w:val="22"/>
          <w:szCs w:val="22"/>
        </w:rPr>
        <w:t>La durée du congé accordé sera déterminée en fonction de la condition de l’individu, après consultation de l’employé, de la Direction et de l’équipe de conformité (EC), le cas échéant.</w:t>
      </w:r>
    </w:p>
    <w:p w14:paraId="1CF432B0" w14:textId="77777777" w:rsidR="00477A61" w:rsidRPr="00E01239" w:rsidRDefault="00477A61" w:rsidP="00477A61">
      <w:pPr>
        <w:pStyle w:val="Paragraphedeliste"/>
        <w:widowControl w:val="0"/>
        <w:autoSpaceDE w:val="0"/>
        <w:autoSpaceDN w:val="0"/>
        <w:adjustRightInd w:val="0"/>
        <w:spacing w:after="240"/>
        <w:ind w:left="426"/>
        <w:contextualSpacing w:val="0"/>
        <w:jc w:val="both"/>
        <w:rPr>
          <w:rFonts w:asciiTheme="minorHAnsi" w:hAnsiTheme="minorHAnsi" w:cstheme="minorHAnsi"/>
          <w:sz w:val="22"/>
          <w:szCs w:val="22"/>
        </w:rPr>
      </w:pPr>
    </w:p>
    <w:p w14:paraId="5F495CE2" w14:textId="77777777" w:rsidR="00477A61" w:rsidRPr="00E01239" w:rsidRDefault="00477A61" w:rsidP="00477A61">
      <w:pPr>
        <w:pStyle w:val="Paragraphedeliste"/>
        <w:widowControl w:val="0"/>
        <w:autoSpaceDE w:val="0"/>
        <w:autoSpaceDN w:val="0"/>
        <w:adjustRightInd w:val="0"/>
        <w:spacing w:after="240"/>
        <w:ind w:left="426"/>
        <w:contextualSpacing w:val="0"/>
        <w:jc w:val="both"/>
        <w:rPr>
          <w:rFonts w:asciiTheme="minorHAnsi" w:hAnsiTheme="minorHAnsi" w:cstheme="minorHAnsi"/>
          <w:sz w:val="22"/>
          <w:szCs w:val="22"/>
        </w:rPr>
      </w:pPr>
    </w:p>
    <w:p w14:paraId="1C7D26DE" w14:textId="77777777" w:rsidR="00477A61" w:rsidRPr="00E01239" w:rsidRDefault="00477A61" w:rsidP="00477A61">
      <w:pPr>
        <w:pStyle w:val="Paragraphedeliste"/>
        <w:widowControl w:val="0"/>
        <w:autoSpaceDE w:val="0"/>
        <w:autoSpaceDN w:val="0"/>
        <w:adjustRightInd w:val="0"/>
        <w:spacing w:after="240"/>
        <w:ind w:left="426"/>
        <w:contextualSpacing w:val="0"/>
        <w:jc w:val="both"/>
        <w:rPr>
          <w:rFonts w:asciiTheme="minorHAnsi" w:hAnsiTheme="minorHAnsi" w:cstheme="minorHAnsi"/>
          <w:sz w:val="22"/>
          <w:szCs w:val="22"/>
        </w:rPr>
      </w:pPr>
    </w:p>
    <w:p w14:paraId="0848C12F" w14:textId="77777777" w:rsidR="00477A61" w:rsidRPr="00E01239" w:rsidRDefault="00477A61" w:rsidP="00477A61">
      <w:pPr>
        <w:widowControl w:val="0"/>
        <w:autoSpaceDE w:val="0"/>
        <w:autoSpaceDN w:val="0"/>
        <w:adjustRightInd w:val="0"/>
        <w:spacing w:after="240"/>
        <w:jc w:val="both"/>
        <w:rPr>
          <w:rFonts w:asciiTheme="minorHAnsi" w:hAnsiTheme="minorHAnsi" w:cstheme="minorHAnsi"/>
          <w:b/>
          <w:bCs/>
          <w:sz w:val="22"/>
          <w:szCs w:val="22"/>
        </w:rPr>
      </w:pPr>
      <w:r w:rsidRPr="00E01239">
        <w:rPr>
          <w:rFonts w:asciiTheme="minorHAnsi" w:hAnsiTheme="minorHAnsi" w:cstheme="minorHAnsi"/>
          <w:b/>
          <w:bCs/>
          <w:sz w:val="22"/>
          <w:szCs w:val="22"/>
        </w:rPr>
        <w:t xml:space="preserve">Les sanctions potentielles à l’encontre des employés auteurs de VBG et VCE comprennent : </w:t>
      </w:r>
    </w:p>
    <w:p w14:paraId="6A27D3D5" w14:textId="77777777" w:rsidR="00477A61" w:rsidRPr="00E01239" w:rsidRDefault="00477A61" w:rsidP="002A19B3">
      <w:pPr>
        <w:pStyle w:val="Paragraphedeliste"/>
        <w:numPr>
          <w:ilvl w:val="0"/>
          <w:numId w:val="93"/>
        </w:numPr>
        <w:ind w:left="426"/>
        <w:contextualSpacing w:val="0"/>
        <w:rPr>
          <w:rFonts w:asciiTheme="minorHAnsi" w:hAnsiTheme="minorHAnsi" w:cstheme="minorHAnsi"/>
          <w:sz w:val="22"/>
          <w:szCs w:val="22"/>
        </w:rPr>
      </w:pPr>
      <w:r w:rsidRPr="00E01239">
        <w:rPr>
          <w:rFonts w:asciiTheme="minorHAnsi" w:hAnsiTheme="minorHAnsi" w:cstheme="minorHAnsi"/>
          <w:sz w:val="22"/>
          <w:szCs w:val="22"/>
        </w:rPr>
        <w:t>L’avertissement informel ;</w:t>
      </w:r>
    </w:p>
    <w:p w14:paraId="14F66F38" w14:textId="77777777" w:rsidR="00477A61" w:rsidRPr="00E01239" w:rsidRDefault="00477A61" w:rsidP="002A19B3">
      <w:pPr>
        <w:pStyle w:val="Paragraphedeliste"/>
        <w:numPr>
          <w:ilvl w:val="0"/>
          <w:numId w:val="93"/>
        </w:numPr>
        <w:ind w:left="426"/>
        <w:contextualSpacing w:val="0"/>
        <w:rPr>
          <w:rFonts w:asciiTheme="minorHAnsi" w:hAnsiTheme="minorHAnsi" w:cstheme="minorHAnsi"/>
          <w:sz w:val="22"/>
          <w:szCs w:val="22"/>
        </w:rPr>
      </w:pPr>
      <w:r w:rsidRPr="00E01239">
        <w:rPr>
          <w:rFonts w:asciiTheme="minorHAnsi" w:hAnsiTheme="minorHAnsi" w:cstheme="minorHAnsi"/>
          <w:sz w:val="22"/>
          <w:szCs w:val="22"/>
        </w:rPr>
        <w:t>L’avertissement formel ;</w:t>
      </w:r>
    </w:p>
    <w:p w14:paraId="4D156CD8" w14:textId="77777777" w:rsidR="00477A61" w:rsidRPr="00E01239" w:rsidRDefault="00477A61" w:rsidP="002A19B3">
      <w:pPr>
        <w:pStyle w:val="Paragraphedeliste"/>
        <w:numPr>
          <w:ilvl w:val="0"/>
          <w:numId w:val="93"/>
        </w:numPr>
        <w:ind w:left="426"/>
        <w:contextualSpacing w:val="0"/>
        <w:rPr>
          <w:rFonts w:asciiTheme="minorHAnsi" w:hAnsiTheme="minorHAnsi" w:cstheme="minorHAnsi"/>
          <w:sz w:val="22"/>
          <w:szCs w:val="22"/>
        </w:rPr>
      </w:pPr>
      <w:r w:rsidRPr="00E01239">
        <w:rPr>
          <w:rFonts w:asciiTheme="minorHAnsi" w:hAnsiTheme="minorHAnsi" w:cstheme="minorHAnsi"/>
          <w:sz w:val="22"/>
          <w:szCs w:val="22"/>
        </w:rPr>
        <w:t>La formation complémentaire ;</w:t>
      </w:r>
    </w:p>
    <w:p w14:paraId="49FD6878" w14:textId="77777777" w:rsidR="00477A61" w:rsidRPr="00E01239" w:rsidRDefault="00477A61" w:rsidP="002A19B3">
      <w:pPr>
        <w:pStyle w:val="Paragraphedeliste"/>
        <w:numPr>
          <w:ilvl w:val="0"/>
          <w:numId w:val="93"/>
        </w:numPr>
        <w:ind w:left="426"/>
        <w:contextualSpacing w:val="0"/>
        <w:rPr>
          <w:rFonts w:asciiTheme="minorHAnsi" w:hAnsiTheme="minorHAnsi" w:cstheme="minorHAnsi"/>
          <w:sz w:val="22"/>
          <w:szCs w:val="22"/>
        </w:rPr>
      </w:pPr>
      <w:r w:rsidRPr="00E01239">
        <w:rPr>
          <w:rFonts w:asciiTheme="minorHAnsi" w:hAnsiTheme="minorHAnsi" w:cstheme="minorHAnsi"/>
          <w:sz w:val="22"/>
          <w:szCs w:val="22"/>
        </w:rPr>
        <w:t>La perte d’au plus une semaine de salaire ;</w:t>
      </w:r>
    </w:p>
    <w:p w14:paraId="199DA0CF" w14:textId="77777777" w:rsidR="00477A61" w:rsidRPr="00E01239" w:rsidRDefault="00477A61" w:rsidP="002A19B3">
      <w:pPr>
        <w:pStyle w:val="Paragraphedeliste"/>
        <w:numPr>
          <w:ilvl w:val="0"/>
          <w:numId w:val="93"/>
        </w:numPr>
        <w:ind w:left="426"/>
        <w:contextualSpacing w:val="0"/>
        <w:rPr>
          <w:rFonts w:asciiTheme="minorHAnsi" w:hAnsiTheme="minorHAnsi" w:cstheme="minorHAnsi"/>
          <w:sz w:val="22"/>
          <w:szCs w:val="22"/>
        </w:rPr>
      </w:pPr>
      <w:r w:rsidRPr="00E01239">
        <w:rPr>
          <w:rFonts w:asciiTheme="minorHAnsi" w:hAnsiTheme="minorHAnsi" w:cstheme="minorHAnsi"/>
          <w:sz w:val="22"/>
          <w:szCs w:val="22"/>
        </w:rPr>
        <w:lastRenderedPageBreak/>
        <w:t>La suspension de la relation de travail (sans solde), pour une période minimale d’un mois et une période maximale de six mois ;</w:t>
      </w:r>
    </w:p>
    <w:p w14:paraId="4F2ED72D" w14:textId="77777777" w:rsidR="00477A61" w:rsidRPr="00E01239" w:rsidRDefault="00477A61" w:rsidP="002A19B3">
      <w:pPr>
        <w:pStyle w:val="Paragraphedeliste"/>
        <w:numPr>
          <w:ilvl w:val="0"/>
          <w:numId w:val="93"/>
        </w:numPr>
        <w:ind w:left="426"/>
        <w:contextualSpacing w:val="0"/>
        <w:rPr>
          <w:rFonts w:asciiTheme="minorHAnsi" w:hAnsiTheme="minorHAnsi" w:cstheme="minorHAnsi"/>
          <w:sz w:val="22"/>
          <w:szCs w:val="22"/>
        </w:rPr>
      </w:pPr>
      <w:r w:rsidRPr="00E01239">
        <w:rPr>
          <w:rFonts w:asciiTheme="minorHAnsi" w:hAnsiTheme="minorHAnsi" w:cstheme="minorHAnsi"/>
          <w:sz w:val="22"/>
          <w:szCs w:val="22"/>
        </w:rPr>
        <w:t>Le licenciement.</w:t>
      </w:r>
    </w:p>
    <w:p w14:paraId="5301B91B" w14:textId="77777777" w:rsidR="00477A61" w:rsidRPr="00E01239" w:rsidRDefault="00477A61" w:rsidP="002A19B3">
      <w:pPr>
        <w:pStyle w:val="Paragraphedeliste"/>
        <w:numPr>
          <w:ilvl w:val="0"/>
          <w:numId w:val="93"/>
        </w:numPr>
        <w:ind w:left="426"/>
        <w:contextualSpacing w:val="0"/>
        <w:rPr>
          <w:rFonts w:asciiTheme="minorHAnsi" w:hAnsiTheme="minorHAnsi" w:cstheme="minorHAnsi"/>
          <w:sz w:val="22"/>
          <w:szCs w:val="22"/>
        </w:rPr>
      </w:pPr>
      <w:r w:rsidRPr="00E01239">
        <w:rPr>
          <w:rFonts w:asciiTheme="minorHAnsi" w:hAnsiTheme="minorHAnsi" w:cstheme="minorHAnsi"/>
          <w:sz w:val="22"/>
          <w:szCs w:val="22"/>
        </w:rPr>
        <w:t>Le renvoi à la police ou à d’autres autorités, au besoin.</w:t>
      </w:r>
    </w:p>
    <w:p w14:paraId="04271FE6" w14:textId="77777777" w:rsidR="00477A61" w:rsidRPr="00E01239" w:rsidRDefault="00477A61" w:rsidP="00477A61">
      <w:pPr>
        <w:rPr>
          <w:rFonts w:asciiTheme="minorHAnsi" w:hAnsiTheme="minorHAnsi" w:cstheme="minorHAnsi"/>
          <w:sz w:val="22"/>
          <w:szCs w:val="22"/>
        </w:rPr>
      </w:pPr>
    </w:p>
    <w:p w14:paraId="6BFF5AEC" w14:textId="77777777" w:rsidR="00477A61" w:rsidRPr="00E01239" w:rsidRDefault="00477A61" w:rsidP="00477A61">
      <w:pPr>
        <w:rPr>
          <w:rFonts w:asciiTheme="minorHAnsi" w:hAnsiTheme="minorHAnsi" w:cstheme="minorHAnsi"/>
          <w:sz w:val="22"/>
          <w:szCs w:val="22"/>
        </w:rPr>
        <w:sectPr w:rsidR="00477A61" w:rsidRPr="00E01239" w:rsidSect="00A304E9">
          <w:pgSz w:w="11906" w:h="16838"/>
          <w:pgMar w:top="1418" w:right="1440" w:bottom="1440" w:left="1440" w:header="720" w:footer="720" w:gutter="0"/>
          <w:cols w:space="720"/>
          <w:docGrid w:linePitch="360"/>
        </w:sectPr>
      </w:pPr>
    </w:p>
    <w:p w14:paraId="3E4FFB8E" w14:textId="77777777" w:rsidR="00477A61" w:rsidRPr="00E01239" w:rsidRDefault="00477A61" w:rsidP="00477A61">
      <w:pPr>
        <w:rPr>
          <w:rFonts w:asciiTheme="minorHAnsi" w:hAnsiTheme="minorHAnsi" w:cstheme="minorHAnsi"/>
          <w:sz w:val="22"/>
          <w:szCs w:val="22"/>
        </w:rPr>
      </w:pPr>
    </w:p>
    <w:p w14:paraId="1D725F1D" w14:textId="77777777" w:rsidR="00477A61" w:rsidRPr="00E01239" w:rsidRDefault="00477A61" w:rsidP="00477A61">
      <w:pPr>
        <w:rPr>
          <w:rFonts w:asciiTheme="minorHAnsi" w:hAnsiTheme="minorHAnsi" w:cstheme="minorHAnsi"/>
          <w:sz w:val="22"/>
          <w:szCs w:val="22"/>
        </w:rPr>
      </w:pPr>
    </w:p>
    <w:p w14:paraId="47B79DEC" w14:textId="77777777" w:rsidR="00477A61" w:rsidRPr="00E01239" w:rsidRDefault="00477A61" w:rsidP="00477A61">
      <w:pPr>
        <w:rPr>
          <w:rFonts w:asciiTheme="minorHAnsi" w:hAnsiTheme="minorHAnsi" w:cstheme="minorHAnsi"/>
          <w:sz w:val="22"/>
          <w:szCs w:val="22"/>
        </w:rPr>
      </w:pPr>
    </w:p>
    <w:p w14:paraId="6A323E06" w14:textId="77777777" w:rsidR="00477A61" w:rsidRPr="00E01239" w:rsidRDefault="00477A61" w:rsidP="00477A61">
      <w:pPr>
        <w:rPr>
          <w:rFonts w:asciiTheme="minorHAnsi" w:hAnsiTheme="minorHAnsi" w:cstheme="minorHAnsi"/>
          <w:sz w:val="22"/>
          <w:szCs w:val="22"/>
        </w:rPr>
      </w:pPr>
    </w:p>
    <w:p w14:paraId="24825D79" w14:textId="77777777" w:rsidR="00477A61" w:rsidRPr="00E01239" w:rsidRDefault="00477A61" w:rsidP="00477A61">
      <w:pPr>
        <w:rPr>
          <w:rFonts w:asciiTheme="minorHAnsi" w:hAnsiTheme="minorHAnsi" w:cstheme="minorHAnsi"/>
          <w:sz w:val="22"/>
          <w:szCs w:val="22"/>
        </w:rPr>
      </w:pPr>
    </w:p>
    <w:p w14:paraId="3848B703" w14:textId="77777777" w:rsidR="00477A61" w:rsidRPr="00E01239" w:rsidRDefault="00477A61" w:rsidP="00477A61">
      <w:pPr>
        <w:rPr>
          <w:rFonts w:asciiTheme="minorHAnsi" w:hAnsiTheme="minorHAnsi" w:cstheme="minorHAnsi"/>
          <w:sz w:val="22"/>
          <w:szCs w:val="22"/>
        </w:rPr>
      </w:pPr>
    </w:p>
    <w:p w14:paraId="58A1AF93" w14:textId="77777777" w:rsidR="00477A61" w:rsidRPr="00E01239" w:rsidRDefault="00477A61" w:rsidP="00477A61">
      <w:pPr>
        <w:rPr>
          <w:rFonts w:asciiTheme="minorHAnsi" w:hAnsiTheme="minorHAnsi" w:cstheme="minorHAnsi"/>
          <w:sz w:val="22"/>
          <w:szCs w:val="22"/>
        </w:rPr>
      </w:pPr>
    </w:p>
    <w:p w14:paraId="4DD9912A" w14:textId="77777777" w:rsidR="00477A61" w:rsidRPr="00E01239" w:rsidRDefault="00477A61" w:rsidP="00477A61">
      <w:pPr>
        <w:rPr>
          <w:rFonts w:asciiTheme="minorHAnsi" w:hAnsiTheme="minorHAnsi" w:cstheme="minorHAnsi"/>
          <w:sz w:val="22"/>
          <w:szCs w:val="22"/>
        </w:rPr>
      </w:pPr>
    </w:p>
    <w:p w14:paraId="2EA2CE47" w14:textId="77777777" w:rsidR="00477A61" w:rsidRPr="00E01239" w:rsidRDefault="00477A61" w:rsidP="00477A61">
      <w:pPr>
        <w:rPr>
          <w:rFonts w:asciiTheme="minorHAnsi" w:hAnsiTheme="minorHAnsi" w:cstheme="minorHAnsi"/>
          <w:sz w:val="22"/>
          <w:szCs w:val="22"/>
        </w:rPr>
      </w:pPr>
    </w:p>
    <w:p w14:paraId="36D0415A" w14:textId="77777777" w:rsidR="00477A61" w:rsidRPr="00E01239" w:rsidRDefault="00477A61" w:rsidP="00477A61">
      <w:pPr>
        <w:rPr>
          <w:rFonts w:asciiTheme="minorHAnsi" w:hAnsiTheme="minorHAnsi" w:cstheme="minorHAnsi"/>
          <w:sz w:val="22"/>
          <w:szCs w:val="22"/>
        </w:rPr>
      </w:pPr>
    </w:p>
    <w:p w14:paraId="6E67DF14" w14:textId="77777777" w:rsidR="00477A61" w:rsidRPr="00E01239" w:rsidRDefault="00477A61" w:rsidP="00477A61">
      <w:pPr>
        <w:rPr>
          <w:rFonts w:asciiTheme="minorHAnsi" w:hAnsiTheme="minorHAnsi" w:cstheme="minorHAnsi"/>
          <w:sz w:val="22"/>
          <w:szCs w:val="22"/>
        </w:rPr>
      </w:pPr>
    </w:p>
    <w:p w14:paraId="21E5E3C0" w14:textId="77777777" w:rsidR="00477A61" w:rsidRPr="00E01239" w:rsidRDefault="00477A61" w:rsidP="00477A61">
      <w:pPr>
        <w:rPr>
          <w:rFonts w:asciiTheme="minorHAnsi" w:hAnsiTheme="minorHAnsi" w:cstheme="minorHAnsi"/>
          <w:sz w:val="22"/>
          <w:szCs w:val="22"/>
        </w:rPr>
      </w:pPr>
    </w:p>
    <w:p w14:paraId="0B5EFC5E" w14:textId="77777777" w:rsidR="00477A61" w:rsidRPr="00E01239" w:rsidRDefault="00477A61" w:rsidP="00477A61">
      <w:pPr>
        <w:rPr>
          <w:rFonts w:asciiTheme="minorHAnsi" w:hAnsiTheme="minorHAnsi" w:cstheme="minorHAnsi"/>
          <w:sz w:val="22"/>
          <w:szCs w:val="22"/>
        </w:rPr>
      </w:pPr>
    </w:p>
    <w:p w14:paraId="56045DCA" w14:textId="77777777" w:rsidR="00477A61" w:rsidRPr="00E01239" w:rsidRDefault="00477A61" w:rsidP="00477A61">
      <w:pPr>
        <w:rPr>
          <w:rFonts w:asciiTheme="minorHAnsi" w:hAnsiTheme="minorHAnsi" w:cstheme="minorHAnsi"/>
          <w:sz w:val="22"/>
          <w:szCs w:val="22"/>
        </w:rPr>
      </w:pPr>
    </w:p>
    <w:p w14:paraId="008EFEB4" w14:textId="77777777" w:rsidR="00477A61" w:rsidRPr="00E01239" w:rsidRDefault="00477A61" w:rsidP="00477A61">
      <w:pPr>
        <w:rPr>
          <w:rFonts w:asciiTheme="minorHAnsi" w:hAnsiTheme="minorHAnsi" w:cstheme="minorHAnsi"/>
          <w:sz w:val="22"/>
          <w:szCs w:val="22"/>
        </w:rPr>
      </w:pPr>
    </w:p>
    <w:p w14:paraId="08CDFD96" w14:textId="77777777" w:rsidR="00477A61" w:rsidRPr="00E01239" w:rsidRDefault="00477A61" w:rsidP="00477A61">
      <w:pPr>
        <w:rPr>
          <w:rFonts w:asciiTheme="minorHAnsi" w:hAnsiTheme="minorHAnsi" w:cstheme="minorHAnsi"/>
          <w:sz w:val="22"/>
          <w:szCs w:val="22"/>
        </w:rPr>
      </w:pPr>
    </w:p>
    <w:p w14:paraId="61860DD3" w14:textId="77777777" w:rsidR="00477A61" w:rsidRPr="00E01239" w:rsidRDefault="00477A61" w:rsidP="00477A61">
      <w:pPr>
        <w:rPr>
          <w:rFonts w:asciiTheme="minorHAnsi" w:hAnsiTheme="minorHAnsi" w:cstheme="minorHAnsi"/>
          <w:sz w:val="22"/>
          <w:szCs w:val="22"/>
        </w:rPr>
      </w:pPr>
    </w:p>
    <w:p w14:paraId="6ECD550B" w14:textId="77777777" w:rsidR="00477A61" w:rsidRPr="00E01239" w:rsidRDefault="00477A61" w:rsidP="00477A61">
      <w:pPr>
        <w:rPr>
          <w:rFonts w:asciiTheme="minorHAnsi" w:hAnsiTheme="minorHAnsi" w:cstheme="minorHAnsi"/>
          <w:sz w:val="22"/>
          <w:szCs w:val="22"/>
        </w:rPr>
      </w:pPr>
    </w:p>
    <w:p w14:paraId="5644730B" w14:textId="49218318" w:rsidR="00477A61" w:rsidRPr="00E01239" w:rsidRDefault="00477A61" w:rsidP="00477A61">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48"/>
          <w:szCs w:val="48"/>
        </w:rPr>
      </w:pPr>
      <w:bookmarkStart w:id="1408" w:name="_Toc58573710"/>
      <w:bookmarkStart w:id="1409" w:name="_Toc58859466"/>
      <w:bookmarkStart w:id="1410" w:name="_Toc58926896"/>
      <w:bookmarkStart w:id="1411" w:name="_Toc58928958"/>
      <w:bookmarkStart w:id="1412" w:name="_Toc83301696"/>
      <w:bookmarkStart w:id="1413" w:name="_Toc86436643"/>
      <w:bookmarkStart w:id="1414" w:name="_Toc87466822"/>
      <w:bookmarkStart w:id="1415" w:name="_Toc87530529"/>
      <w:bookmarkStart w:id="1416" w:name="_Toc88771505"/>
      <w:bookmarkStart w:id="1417" w:name="_Toc88861270"/>
      <w:bookmarkStart w:id="1418" w:name="_Toc88861308"/>
      <w:bookmarkStart w:id="1419" w:name="_Toc88861487"/>
      <w:bookmarkStart w:id="1420" w:name="_Toc130714112"/>
      <w:bookmarkStart w:id="1421" w:name="_Toc130755166"/>
      <w:bookmarkStart w:id="1422" w:name="_Toc130857877"/>
      <w:bookmarkStart w:id="1423" w:name="_Toc130858014"/>
      <w:bookmarkStart w:id="1424" w:name="_Toc142378223"/>
      <w:bookmarkStart w:id="1425" w:name="_Toc142847793"/>
      <w:bookmarkStart w:id="1426" w:name="_Toc142853995"/>
      <w:bookmarkStart w:id="1427" w:name="_Toc142854047"/>
      <w:bookmarkStart w:id="1428" w:name="_Toc144654175"/>
      <w:bookmarkStart w:id="1429" w:name="_Toc39187653"/>
      <w:bookmarkStart w:id="1430" w:name="_Toc41162036"/>
      <w:bookmarkStart w:id="1431" w:name="_Toc41300931"/>
      <w:r w:rsidRPr="00E01239">
        <w:rPr>
          <w:rFonts w:asciiTheme="minorHAnsi" w:hAnsiTheme="minorHAnsi" w:cstheme="minorHAnsi"/>
          <w:caps/>
          <w:color w:val="5B9BD5"/>
          <w:sz w:val="48"/>
          <w:szCs w:val="48"/>
        </w:rPr>
        <w:t xml:space="preserve">ANNEXE </w:t>
      </w:r>
      <w:r w:rsidRPr="00E01239">
        <w:rPr>
          <w:rFonts w:asciiTheme="minorHAnsi" w:hAnsiTheme="minorHAnsi" w:cstheme="minorHAnsi"/>
          <w:caps/>
          <w:color w:val="5B9BD5"/>
          <w:sz w:val="48"/>
          <w:szCs w:val="48"/>
        </w:rPr>
        <w:fldChar w:fldCharType="begin"/>
      </w:r>
      <w:r w:rsidRPr="00E01239">
        <w:rPr>
          <w:rFonts w:asciiTheme="minorHAnsi" w:hAnsiTheme="minorHAnsi" w:cstheme="minorHAnsi"/>
          <w:caps/>
          <w:color w:val="5B9BD5"/>
          <w:sz w:val="48"/>
          <w:szCs w:val="48"/>
        </w:rPr>
        <w:instrText xml:space="preserve"> SEQ Annexe \* ARABIC </w:instrText>
      </w:r>
      <w:r w:rsidRPr="00E01239">
        <w:rPr>
          <w:rFonts w:asciiTheme="minorHAnsi" w:hAnsiTheme="minorHAnsi" w:cstheme="minorHAnsi"/>
          <w:caps/>
          <w:color w:val="5B9BD5"/>
          <w:sz w:val="48"/>
          <w:szCs w:val="48"/>
        </w:rPr>
        <w:fldChar w:fldCharType="separate"/>
      </w:r>
      <w:r w:rsidR="00202CE9" w:rsidRPr="00E01239">
        <w:rPr>
          <w:rFonts w:asciiTheme="minorHAnsi" w:hAnsiTheme="minorHAnsi" w:cstheme="minorHAnsi"/>
          <w:caps/>
          <w:color w:val="5B9BD5"/>
          <w:sz w:val="48"/>
          <w:szCs w:val="48"/>
        </w:rPr>
        <w:t>2</w:t>
      </w:r>
      <w:r w:rsidRPr="00E01239">
        <w:rPr>
          <w:rFonts w:asciiTheme="minorHAnsi" w:hAnsiTheme="minorHAnsi" w:cstheme="minorHAnsi"/>
          <w:caps/>
          <w:color w:val="5B9BD5"/>
          <w:sz w:val="48"/>
          <w:szCs w:val="48"/>
        </w:rPr>
        <w:fldChar w:fldCharType="end"/>
      </w:r>
      <w:r w:rsidRPr="00E01239">
        <w:rPr>
          <w:rFonts w:asciiTheme="minorHAnsi" w:hAnsiTheme="minorHAnsi" w:cstheme="minorHAnsi"/>
          <w:caps/>
          <w:color w:val="5B9BD5"/>
          <w:sz w:val="48"/>
          <w:szCs w:val="48"/>
        </w:rPr>
        <w:t xml:space="preserve"> : PROCEDURE DE </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008019AE" w:rsidRPr="00E01239">
        <w:rPr>
          <w:rFonts w:asciiTheme="minorHAnsi" w:hAnsiTheme="minorHAnsi" w:cstheme="minorHAnsi"/>
          <w:caps/>
          <w:color w:val="5B9BD5"/>
          <w:sz w:val="48"/>
          <w:szCs w:val="48"/>
        </w:rPr>
        <w:t>DECOUVERTES FORTUITES</w:t>
      </w:r>
    </w:p>
    <w:p w14:paraId="1AFE4424" w14:textId="77777777" w:rsidR="00477A61" w:rsidRPr="00E01239" w:rsidRDefault="00477A61" w:rsidP="00477A61">
      <w:pPr>
        <w:rPr>
          <w:rFonts w:asciiTheme="minorHAnsi" w:hAnsiTheme="minorHAnsi" w:cstheme="minorHAnsi"/>
          <w:sz w:val="22"/>
          <w:szCs w:val="22"/>
        </w:rPr>
      </w:pPr>
      <w:r w:rsidRPr="00E01239">
        <w:rPr>
          <w:rFonts w:asciiTheme="minorHAnsi" w:hAnsiTheme="minorHAnsi" w:cstheme="minorHAnsi"/>
          <w:sz w:val="22"/>
          <w:szCs w:val="22"/>
        </w:rPr>
        <w:br w:type="page"/>
      </w:r>
    </w:p>
    <w:p w14:paraId="2788D612" w14:textId="77777777" w:rsidR="00477A61" w:rsidRPr="00E01239" w:rsidRDefault="00477A61" w:rsidP="00477A61">
      <w:pPr>
        <w:spacing w:before="120" w:line="360" w:lineRule="exact"/>
        <w:jc w:val="both"/>
        <w:rPr>
          <w:rFonts w:asciiTheme="minorHAnsi" w:hAnsiTheme="minorHAnsi" w:cstheme="minorHAnsi"/>
          <w:sz w:val="22"/>
          <w:szCs w:val="22"/>
        </w:rPr>
      </w:pPr>
      <w:r w:rsidRPr="00E01239">
        <w:rPr>
          <w:rFonts w:asciiTheme="minorHAnsi" w:hAnsiTheme="minorHAnsi" w:cstheme="minorHAnsi"/>
          <w:b/>
          <w:bCs/>
          <w:sz w:val="22"/>
          <w:szCs w:val="22"/>
        </w:rPr>
        <w:lastRenderedPageBreak/>
        <w:t xml:space="preserve">Résumé du sous projet </w:t>
      </w:r>
    </w:p>
    <w:p w14:paraId="478944D5"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Région où les activités seront entreprises : </w:t>
      </w:r>
    </w:p>
    <w:p w14:paraId="7822867A"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Département où les activités seront entreprises : </w:t>
      </w:r>
    </w:p>
    <w:p w14:paraId="5F8DF420"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Organisation du bénéficiaire.</w:t>
      </w:r>
    </w:p>
    <w:p w14:paraId="63DB4890"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Intitulé du sous-projet</w:t>
      </w:r>
    </w:p>
    <w:p w14:paraId="6E7BAD74"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Montant du sous projet </w:t>
      </w:r>
    </w:p>
    <w:p w14:paraId="19BA1F9F"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Situation de la zone concernée : Cette section décrit la désignation légale du ou des sites où le sous-projet sera mis en œuvre.</w:t>
      </w:r>
    </w:p>
    <w:p w14:paraId="145BE092"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Patrimoine culturel présent : Cette section décrit les éléments du patrimoine culturel matériel et immatériel présents sur le ou les sites du sous-projet, y compris une liste de toutes les aires de patrimoine culturel légalement protégées.</w:t>
      </w:r>
    </w:p>
    <w:p w14:paraId="23C2F14C"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Composantes du projet : Cette section décrit brièvement le sous-projet, en mettant l'accent sur les composantes et les activités qui peuvent avoir un impact sur le patrimoine culturel.</w:t>
      </w:r>
    </w:p>
    <w:p w14:paraId="08AFA331"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Risques et impacts potentiels : Cette section décrit les risques et impacts potentiels sur le patrimoine culturel des activités proposées dans le cadre du sous-projet.</w:t>
      </w:r>
    </w:p>
    <w:p w14:paraId="55143337"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Mesures visant à préserver le patrimoine culturel : Cette section décrit les mesures qui seront prises pour éviter les impacts négatifs ou les atténuer, s'il n'est pas possible de les éviter. Pour les sous-projets qui visent explicitement à promouvoir ou à préserver le patrimoine culturel, cette section présentera une stratégie pour y parvenir.</w:t>
      </w:r>
    </w:p>
    <w:p w14:paraId="02FDA977"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Calendrier et ressources : Cette section présente un calendrier de mise en œuvre pour chacune des mesures énumérées à la section 10, ainsi qu'une estimation des ressources nécessaires.</w:t>
      </w:r>
    </w:p>
    <w:p w14:paraId="585ADD98"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Modalités de suivi : Cette section vise à décrire les mesures que vous prendrez pour suivre et évaluer l'efficacité des mesures énumérées aux sections 8 à 11.</w:t>
      </w:r>
    </w:p>
    <w:p w14:paraId="30F4063C"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Consultation : Cette section résume les consultations menées avec les parties prenantes dans le cadre de la préparation du plan, en particulier avec les communautés locales qui pourraient être particulièrement affectées par les activités proposées. Inclure les dates des consultations, et un résumé du nombre de femmes et d'hommes consultés, mais ne pas inclure les noms des personnes.</w:t>
      </w:r>
    </w:p>
    <w:p w14:paraId="1C9FF980"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Communication des informations : Il est exigé que les instruments environnementaux et sociaux soient communiqués aux communautés locales affectées et aux parties prenantes avant la mise en œuvre du projet. Veuillez décrire les efforts que vous avez entrepris pour faire connaître ce Plan de gestion du patrimoine culturel.</w:t>
      </w:r>
    </w:p>
    <w:p w14:paraId="403364D6" w14:textId="77777777" w:rsidR="00477A61" w:rsidRPr="00E01239" w:rsidRDefault="00477A61" w:rsidP="00477A61">
      <w:pPr>
        <w:pStyle w:val="Paragraphedeliste"/>
        <w:spacing w:before="120" w:line="360" w:lineRule="exact"/>
        <w:jc w:val="both"/>
        <w:rPr>
          <w:rFonts w:asciiTheme="minorHAnsi" w:hAnsiTheme="minorHAnsi" w:cstheme="minorHAnsi"/>
          <w:sz w:val="22"/>
          <w:szCs w:val="22"/>
        </w:rPr>
      </w:pPr>
    </w:p>
    <w:p w14:paraId="0EB04E92" w14:textId="77777777" w:rsidR="00477A61" w:rsidRPr="00E01239" w:rsidRDefault="00477A61" w:rsidP="002A19B3">
      <w:pPr>
        <w:pStyle w:val="Paragraphedeliste"/>
        <w:numPr>
          <w:ilvl w:val="0"/>
          <w:numId w:val="26"/>
        </w:num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Procédure de découverte fortuite : Une procédure de découverte fortuite est une procédure spécifique au projet qui sera suivie en cas de découverte d'un patrimoine culturel jusqu'alors inconnu au cours des activités du projet. Elle sera incluse dans tous les contrats du projet relatifs à la construction, y compris les excavations, les démolitions, les terrassements, les inondations ou d'autres changements dans l'environnement physique.</w:t>
      </w:r>
    </w:p>
    <w:p w14:paraId="1CC2EEF0" w14:textId="77777777" w:rsidR="00477A61" w:rsidRPr="00E01239" w:rsidRDefault="00477A61" w:rsidP="00477A61">
      <w:pPr>
        <w:spacing w:line="360" w:lineRule="exact"/>
        <w:rPr>
          <w:rFonts w:asciiTheme="minorHAnsi" w:hAnsiTheme="minorHAnsi" w:cstheme="minorHAnsi"/>
          <w:color w:val="44546A"/>
          <w:sz w:val="22"/>
          <w:szCs w:val="22"/>
        </w:rPr>
      </w:pPr>
      <w:r w:rsidRPr="00E01239">
        <w:rPr>
          <w:rFonts w:asciiTheme="minorHAnsi" w:hAnsiTheme="minorHAnsi" w:cstheme="minorHAnsi"/>
          <w:color w:val="44546A"/>
          <w:sz w:val="22"/>
          <w:szCs w:val="22"/>
        </w:rPr>
        <w:lastRenderedPageBreak/>
        <w:t xml:space="preserve">La présente procédure s’applique à tous les types de biens culturels physiques qui apparaitraient durant des travaux. Le Ministère chargé de la culture, à travers la </w:t>
      </w:r>
      <w:r w:rsidRPr="00E01239">
        <w:rPr>
          <w:rFonts w:asciiTheme="minorHAnsi" w:hAnsiTheme="minorHAnsi" w:cstheme="minorHAnsi"/>
          <w:b/>
          <w:color w:val="44546A"/>
          <w:sz w:val="22"/>
          <w:szCs w:val="22"/>
        </w:rPr>
        <w:t>Direction du Patrimoine Culturel</w:t>
      </w:r>
      <w:r w:rsidRPr="00E01239">
        <w:rPr>
          <w:rFonts w:asciiTheme="minorHAnsi" w:hAnsiTheme="minorHAnsi" w:cstheme="minorHAnsi"/>
          <w:color w:val="44546A"/>
          <w:sz w:val="22"/>
          <w:szCs w:val="22"/>
        </w:rPr>
        <w:t>, est chargé de la sauvegarde et de la valorisation du patrimoine culturel physique.</w:t>
      </w:r>
    </w:p>
    <w:p w14:paraId="7D5533FE" w14:textId="77777777" w:rsidR="00477A61" w:rsidRPr="00E01239" w:rsidRDefault="00477A61" w:rsidP="00477A61">
      <w:pPr>
        <w:spacing w:line="360" w:lineRule="exact"/>
        <w:rPr>
          <w:rFonts w:asciiTheme="minorHAnsi" w:hAnsiTheme="minorHAnsi" w:cstheme="minorHAnsi"/>
          <w:sz w:val="22"/>
          <w:szCs w:val="22"/>
          <w:u w:val="single"/>
        </w:rPr>
      </w:pPr>
      <w:r w:rsidRPr="00E01239">
        <w:rPr>
          <w:rFonts w:asciiTheme="minorHAnsi" w:hAnsiTheme="minorHAnsi" w:cstheme="minorHAnsi"/>
          <w:sz w:val="22"/>
          <w:szCs w:val="22"/>
          <w:u w:val="single"/>
        </w:rPr>
        <w:t>Propriété des biens découverts</w:t>
      </w:r>
    </w:p>
    <w:p w14:paraId="48B88A1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La loi N°97-002 du 30 juin 1997 stipule dans son Article 41 que « le sous-sol archéologique est propriété de l’Etat ». L’Article 54 précise que la propriété du produit des découvertes fortuite demeure réglée par l’Article 716 du Code civil ; mais l’Etat peut revendiquer ces trouvailles moyennant une indemnité fixée à l’amiable ou à dire d’expert.</w:t>
      </w:r>
    </w:p>
    <w:p w14:paraId="6A956C24" w14:textId="77777777" w:rsidR="00477A61" w:rsidRPr="00E01239" w:rsidRDefault="00477A61" w:rsidP="00477A61">
      <w:pPr>
        <w:spacing w:line="360" w:lineRule="exact"/>
        <w:rPr>
          <w:rFonts w:asciiTheme="minorHAnsi" w:hAnsiTheme="minorHAnsi" w:cstheme="minorHAnsi"/>
          <w:sz w:val="22"/>
          <w:szCs w:val="22"/>
          <w:u w:val="single"/>
        </w:rPr>
      </w:pPr>
      <w:r w:rsidRPr="00E01239">
        <w:rPr>
          <w:rFonts w:asciiTheme="minorHAnsi" w:hAnsiTheme="minorHAnsi" w:cstheme="minorHAnsi"/>
          <w:sz w:val="22"/>
          <w:szCs w:val="22"/>
          <w:u w:val="single"/>
        </w:rPr>
        <w:t>Procédure applicable en cas de découverte</w:t>
      </w:r>
    </w:p>
    <w:p w14:paraId="0162833D" w14:textId="77777777" w:rsidR="00477A61" w:rsidRPr="00E01239" w:rsidRDefault="00477A61" w:rsidP="002A19B3">
      <w:pPr>
        <w:numPr>
          <w:ilvl w:val="0"/>
          <w:numId w:val="100"/>
        </w:numPr>
        <w:spacing w:line="360" w:lineRule="exact"/>
        <w:rPr>
          <w:rFonts w:asciiTheme="minorHAnsi" w:hAnsiTheme="minorHAnsi" w:cstheme="minorHAnsi"/>
          <w:sz w:val="22"/>
          <w:szCs w:val="22"/>
        </w:rPr>
      </w:pPr>
      <w:r w:rsidRPr="00E01239">
        <w:rPr>
          <w:rFonts w:asciiTheme="minorHAnsi" w:hAnsiTheme="minorHAnsi" w:cstheme="minorHAnsi"/>
          <w:sz w:val="22"/>
          <w:szCs w:val="22"/>
          <w:u w:val="single"/>
        </w:rPr>
        <w:t>Suspension des travaux</w:t>
      </w:r>
      <w:r w:rsidRPr="00E01239">
        <w:rPr>
          <w:rFonts w:asciiTheme="minorHAnsi" w:hAnsiTheme="minorHAnsi" w:cstheme="minorHAnsi"/>
          <w:sz w:val="22"/>
          <w:szCs w:val="22"/>
        </w:rPr>
        <w:t> :Conformément aux dispositions de l’Article 51 de la Loi n°97-002 du 30 juin 1997, lorsque des monuments, des ruines, substructions, mosaïques, éléments de canalisation antique, vestiges d’habitation ou de sépulture ancienne, des inscriptions ou généralement des objets pouvant intéresser la paléontologie, la préhistoire, l’histoire, l’art, l’archéologie ou la numismatique, sont mis à jour par suite de travaux, l’entrepreneur doit immédiatement interrompre les travaux, avertir le Bureau de contrôle (Ingénieur Conseil) qui doit immédiatement saisir l’autorité administrative du lieu de découverte qui avise sans délais la Direction du Patrimoine Culturel. Lorsque le Bureau de contrôle estime que l’entrepreneur n’a pas signalé une découverte, le Bureau de contrôle ordonnera l’arrêt des travaux et demandera à l’entrepreneur de procéder à des fouilles à ses propres frais.</w:t>
      </w:r>
    </w:p>
    <w:p w14:paraId="3B516CB0" w14:textId="77777777" w:rsidR="00477A61" w:rsidRPr="00E01239" w:rsidRDefault="00477A61" w:rsidP="002A19B3">
      <w:pPr>
        <w:numPr>
          <w:ilvl w:val="0"/>
          <w:numId w:val="100"/>
        </w:numPr>
        <w:spacing w:line="360" w:lineRule="exact"/>
        <w:rPr>
          <w:rFonts w:asciiTheme="minorHAnsi" w:hAnsiTheme="minorHAnsi" w:cstheme="minorHAnsi"/>
          <w:sz w:val="22"/>
          <w:szCs w:val="22"/>
        </w:rPr>
      </w:pPr>
      <w:r w:rsidRPr="00E01239">
        <w:rPr>
          <w:rFonts w:asciiTheme="minorHAnsi" w:hAnsiTheme="minorHAnsi" w:cstheme="minorHAnsi"/>
          <w:sz w:val="22"/>
          <w:szCs w:val="22"/>
          <w:u w:val="single"/>
        </w:rPr>
        <w:t>Délimitation du site de la découverte</w:t>
      </w:r>
      <w:r w:rsidRPr="00E01239">
        <w:rPr>
          <w:rFonts w:asciiTheme="minorHAnsi" w:hAnsiTheme="minorHAnsi" w:cstheme="minorHAnsi"/>
          <w:sz w:val="22"/>
          <w:szCs w:val="22"/>
        </w:rPr>
        <w:t> : L’entrepreneur est tenu de délimiter et de sécuriser un périmètre de cinquante (50) mètres autour du bien découvert. L’entrepreneur limitera l’accès dans ce périmètre, et les travaux ne pourront reprendre dans ce périmètre qu’après autorisation de la Direction du Patrimoine Culturel ou du Bureau de contrôle. Les frais de sécurisation du site de la découverte sont imputés sur le marché.</w:t>
      </w:r>
    </w:p>
    <w:p w14:paraId="3DC37840" w14:textId="77777777" w:rsidR="00477A61" w:rsidRPr="00E01239" w:rsidRDefault="00477A61" w:rsidP="002A19B3">
      <w:pPr>
        <w:numPr>
          <w:ilvl w:val="0"/>
          <w:numId w:val="98"/>
        </w:numPr>
        <w:spacing w:line="360" w:lineRule="exact"/>
        <w:rPr>
          <w:rFonts w:asciiTheme="minorHAnsi" w:hAnsiTheme="minorHAnsi" w:cstheme="minorHAnsi"/>
          <w:sz w:val="22"/>
          <w:szCs w:val="22"/>
        </w:rPr>
      </w:pPr>
      <w:r w:rsidRPr="00E01239">
        <w:rPr>
          <w:rFonts w:asciiTheme="minorHAnsi" w:hAnsiTheme="minorHAnsi" w:cstheme="minorHAnsi"/>
          <w:sz w:val="22"/>
          <w:szCs w:val="22"/>
          <w:u w:val="single"/>
        </w:rPr>
        <w:t xml:space="preserve">Rapport de découverte fortuite : </w:t>
      </w:r>
      <w:r w:rsidRPr="00E01239">
        <w:rPr>
          <w:rFonts w:asciiTheme="minorHAnsi" w:hAnsiTheme="minorHAnsi" w:cstheme="minorHAnsi"/>
          <w:sz w:val="22"/>
          <w:szCs w:val="22"/>
        </w:rPr>
        <w:t xml:space="preserve">L’entrepreneur est tenu d’établir dans les 24 heures un rapport de découverte fortuite fournissant les informations suivantes : Date et l’heure de la découverte, Emplacement de la découverte, Estimation du poids et des dimensions du bien découvert, Mesures de protection temporaire mises en place. Le rapport de découverte fortuite doit être présenté au Bureau de contrôle, à la Direction du Patrimoine Culturel, au Ministère chargé de la recherche, au Préfet et au Gouverneur. Les administrations de la Recherche et de la Culture doivent visiter les lieux où la découverte a été effectuée et prescrire toute mesure utile. </w:t>
      </w:r>
    </w:p>
    <w:p w14:paraId="0EE90C2A" w14:textId="77777777" w:rsidR="00477A61" w:rsidRPr="00E01239" w:rsidRDefault="00477A61" w:rsidP="002A19B3">
      <w:pPr>
        <w:numPr>
          <w:ilvl w:val="0"/>
          <w:numId w:val="99"/>
        </w:numPr>
        <w:spacing w:line="360" w:lineRule="exact"/>
        <w:rPr>
          <w:rFonts w:asciiTheme="minorHAnsi" w:hAnsiTheme="minorHAnsi" w:cstheme="minorHAnsi"/>
          <w:sz w:val="22"/>
          <w:szCs w:val="22"/>
        </w:rPr>
      </w:pPr>
      <w:r w:rsidRPr="00E01239">
        <w:rPr>
          <w:rFonts w:asciiTheme="minorHAnsi" w:hAnsiTheme="minorHAnsi" w:cstheme="minorHAnsi"/>
          <w:sz w:val="22"/>
          <w:szCs w:val="22"/>
          <w:u w:val="single"/>
        </w:rPr>
        <w:t xml:space="preserve">Arrivée des services de la culture et mesures prises : </w:t>
      </w:r>
      <w:r w:rsidRPr="00E01239">
        <w:rPr>
          <w:rFonts w:asciiTheme="minorHAnsi" w:hAnsiTheme="minorHAnsi" w:cstheme="minorHAnsi"/>
          <w:sz w:val="22"/>
          <w:szCs w:val="22"/>
        </w:rPr>
        <w:t xml:space="preserve">Les services de la Direction du patrimoine culturel font le nécessaire pour envoyer un représentant sur le lieu de la découverte dans les 2 jours qui suivent la notification et déterminer les mesures à prendre, notamment : le retrait des biens culturels physiques jugés importants et poursuite des travaux sur le site de la découverte, la poursuite des travaux dans un rayon spécifié autour </w:t>
      </w:r>
      <w:r w:rsidRPr="00E01239">
        <w:rPr>
          <w:rFonts w:asciiTheme="minorHAnsi" w:hAnsiTheme="minorHAnsi" w:cstheme="minorHAnsi"/>
          <w:sz w:val="22"/>
          <w:szCs w:val="22"/>
        </w:rPr>
        <w:lastRenderedPageBreak/>
        <w:t xml:space="preserve">du site de la découverte, l’élargissement ou réduction de la zone délimitée par l’entrepreneur, etc. </w:t>
      </w:r>
    </w:p>
    <w:p w14:paraId="1D8463B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Ces mesures doivent être prises dans un délai de 7 jours.</w:t>
      </w:r>
    </w:p>
    <w:p w14:paraId="7AF2A072"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Si les services culturels n’envoient pas un représentant dans un délai de 2 jours, la mission de contrôle peut proroger ce délai sur 2 jours supplémentaires.</w:t>
      </w:r>
    </w:p>
    <w:p w14:paraId="4902395D"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Si les services culturels n’envoient pas un représentant dans la période de prorogation, la mission de contrôle est autorisée à demander à l’entrepreneur de prendre les mesures d’atténuation idoines et reprendre les travaux tout en préservant ou évitant les biens découverts. Les travaux supplémentaires seront imputés sur le marché mais l’entrepreneur ne pourra pas réclamer une indemnisation pour la période de suspension des travaux.</w:t>
      </w:r>
    </w:p>
    <w:p w14:paraId="755F79AD"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Suspension supplémentaire des travaux</w:t>
      </w:r>
    </w:p>
    <w:p w14:paraId="6ACBDA5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Durant la période des 7 jours, l’autorité administrative du lieu de découverte, en accord avec la Direction du patrimoine culturel, peut ordonner la suspension des travaux à titre provisoire pour une durée de six (6) mois, comme stipulé par l’Article 52 de la Loi sur la protection, la conservation et la mise en valeur du patrimoine culturel national.</w:t>
      </w:r>
    </w:p>
    <w:p w14:paraId="2983CBB7" w14:textId="77777777" w:rsidR="00477A61" w:rsidRPr="00E01239" w:rsidRDefault="00477A61" w:rsidP="00477A61">
      <w:pPr>
        <w:spacing w:before="120" w:line="360" w:lineRule="exact"/>
        <w:rPr>
          <w:rFonts w:asciiTheme="minorHAnsi" w:hAnsiTheme="minorHAnsi" w:cstheme="minorHAnsi"/>
          <w:sz w:val="22"/>
          <w:szCs w:val="22"/>
        </w:rPr>
      </w:pPr>
    </w:p>
    <w:p w14:paraId="402B076B" w14:textId="77777777" w:rsidR="00477A61" w:rsidRPr="00E01239" w:rsidRDefault="00477A61" w:rsidP="00477A61">
      <w:pPr>
        <w:spacing w:before="120" w:line="360" w:lineRule="exact"/>
        <w:rPr>
          <w:rFonts w:asciiTheme="minorHAnsi" w:hAnsiTheme="minorHAnsi" w:cstheme="minorHAnsi"/>
          <w:sz w:val="22"/>
          <w:szCs w:val="22"/>
        </w:rPr>
      </w:pPr>
    </w:p>
    <w:p w14:paraId="4DC868D7" w14:textId="77777777" w:rsidR="00477A61" w:rsidRPr="00E01239" w:rsidRDefault="00477A61" w:rsidP="00477A61">
      <w:pPr>
        <w:spacing w:before="120" w:line="360" w:lineRule="exact"/>
        <w:rPr>
          <w:rFonts w:asciiTheme="minorHAnsi" w:hAnsiTheme="minorHAnsi" w:cstheme="minorHAnsi"/>
          <w:sz w:val="22"/>
          <w:szCs w:val="22"/>
        </w:rPr>
      </w:pPr>
    </w:p>
    <w:p w14:paraId="1C6AD933" w14:textId="77777777" w:rsidR="00477A61" w:rsidRPr="00E01239" w:rsidRDefault="00477A61" w:rsidP="00477A61">
      <w:pPr>
        <w:spacing w:before="120" w:line="360" w:lineRule="exact"/>
        <w:rPr>
          <w:rFonts w:asciiTheme="minorHAnsi" w:hAnsiTheme="minorHAnsi" w:cstheme="minorHAnsi"/>
          <w:sz w:val="22"/>
          <w:szCs w:val="22"/>
        </w:rPr>
      </w:pPr>
    </w:p>
    <w:p w14:paraId="4A1B2BE1" w14:textId="77777777" w:rsidR="00477A61" w:rsidRPr="00E01239" w:rsidRDefault="00477A61" w:rsidP="00477A61">
      <w:pPr>
        <w:spacing w:before="120" w:line="360" w:lineRule="exact"/>
        <w:rPr>
          <w:rFonts w:asciiTheme="minorHAnsi" w:hAnsiTheme="minorHAnsi" w:cstheme="minorHAnsi"/>
          <w:sz w:val="22"/>
          <w:szCs w:val="22"/>
        </w:rPr>
      </w:pPr>
      <w:r w:rsidRPr="00E01239">
        <w:rPr>
          <w:rFonts w:asciiTheme="minorHAnsi" w:hAnsiTheme="minorHAnsi" w:cstheme="minorHAnsi"/>
          <w:sz w:val="22"/>
          <w:szCs w:val="22"/>
        </w:rPr>
        <w:br w:type="page"/>
      </w:r>
    </w:p>
    <w:p w14:paraId="0F6F32FA" w14:textId="77777777" w:rsidR="00477A61" w:rsidRPr="00E01239" w:rsidRDefault="00477A61" w:rsidP="00477A61">
      <w:pPr>
        <w:tabs>
          <w:tab w:val="left" w:pos="1193"/>
        </w:tabs>
        <w:rPr>
          <w:rFonts w:asciiTheme="minorHAnsi" w:hAnsiTheme="minorHAnsi" w:cstheme="minorHAnsi"/>
          <w:sz w:val="22"/>
          <w:szCs w:val="22"/>
        </w:rPr>
      </w:pPr>
    </w:p>
    <w:p w14:paraId="38036B4D" w14:textId="77777777" w:rsidR="00477A61" w:rsidRPr="00E01239" w:rsidRDefault="00477A61" w:rsidP="00477A61">
      <w:pPr>
        <w:tabs>
          <w:tab w:val="left" w:pos="1193"/>
        </w:tabs>
        <w:rPr>
          <w:rFonts w:asciiTheme="minorHAnsi" w:hAnsiTheme="minorHAnsi" w:cstheme="minorHAnsi"/>
          <w:sz w:val="22"/>
          <w:szCs w:val="22"/>
        </w:rPr>
      </w:pPr>
    </w:p>
    <w:p w14:paraId="7AF58FC5" w14:textId="77777777" w:rsidR="00156A89" w:rsidRPr="00E01239" w:rsidRDefault="00156A89" w:rsidP="00156A89">
      <w:pPr>
        <w:jc w:val="center"/>
        <w:rPr>
          <w:b/>
        </w:rPr>
      </w:pPr>
      <w:r w:rsidRPr="00E01239">
        <w:rPr>
          <w:b/>
        </w:rPr>
        <w:t>FICHE DE</w:t>
      </w:r>
      <w:r w:rsidRPr="00E01239">
        <w:t xml:space="preserve"> </w:t>
      </w:r>
      <w:r w:rsidRPr="00E01239">
        <w:rPr>
          <w:b/>
        </w:rPr>
        <w:t>CRIBLA</w:t>
      </w:r>
    </w:p>
    <w:p w14:paraId="4FFA2C78" w14:textId="77777777" w:rsidR="00156A89" w:rsidRPr="00E01239" w:rsidRDefault="00156A89">
      <w:pPr>
        <w:rPr>
          <w:b/>
        </w:rPr>
      </w:pPr>
      <w:r w:rsidRPr="00E01239">
        <w:rPr>
          <w:b/>
        </w:rPr>
        <w:br w:type="page"/>
      </w:r>
    </w:p>
    <w:p w14:paraId="5F1BB338" w14:textId="77777777" w:rsidR="00156A89" w:rsidRPr="00E01239" w:rsidRDefault="00156A89" w:rsidP="00156A89">
      <w:pPr>
        <w:rPr>
          <w:rFonts w:asciiTheme="minorHAnsi" w:hAnsiTheme="minorHAnsi" w:cstheme="minorHAnsi"/>
          <w:sz w:val="22"/>
          <w:szCs w:val="22"/>
        </w:rPr>
      </w:pPr>
      <w:r w:rsidRPr="00E01239">
        <w:rPr>
          <w:b/>
        </w:rPr>
        <w:lastRenderedPageBreak/>
        <w:br w:type="page"/>
      </w:r>
    </w:p>
    <w:p w14:paraId="44B757D7" w14:textId="77777777" w:rsidR="00156A89" w:rsidRPr="00E01239" w:rsidRDefault="00156A89" w:rsidP="00156A89">
      <w:pPr>
        <w:rPr>
          <w:rFonts w:asciiTheme="minorHAnsi" w:hAnsiTheme="minorHAnsi" w:cstheme="minorHAnsi"/>
          <w:sz w:val="22"/>
          <w:szCs w:val="22"/>
        </w:rPr>
      </w:pPr>
    </w:p>
    <w:p w14:paraId="48B1AD8B" w14:textId="77777777" w:rsidR="00156A89" w:rsidRPr="00E01239" w:rsidRDefault="00156A89" w:rsidP="00156A89">
      <w:pPr>
        <w:tabs>
          <w:tab w:val="left" w:pos="4062"/>
        </w:tabs>
        <w:rPr>
          <w:rFonts w:asciiTheme="minorHAnsi" w:hAnsiTheme="minorHAnsi" w:cstheme="minorHAnsi"/>
          <w:sz w:val="22"/>
          <w:szCs w:val="22"/>
        </w:rPr>
      </w:pPr>
    </w:p>
    <w:p w14:paraId="635B908D" w14:textId="6A342DDC" w:rsidR="00156A89" w:rsidRPr="00E01239" w:rsidRDefault="00156A89" w:rsidP="00156A89">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48"/>
          <w:szCs w:val="48"/>
        </w:rPr>
      </w:pPr>
      <w:r w:rsidRPr="00E01239">
        <w:rPr>
          <w:rFonts w:asciiTheme="minorHAnsi" w:hAnsiTheme="minorHAnsi" w:cstheme="minorHAnsi"/>
          <w:caps/>
          <w:color w:val="5B9BD5"/>
          <w:sz w:val="48"/>
          <w:szCs w:val="48"/>
        </w:rPr>
        <w:t xml:space="preserve">ANNEXE </w:t>
      </w:r>
      <w:r w:rsidRPr="00E01239">
        <w:rPr>
          <w:rFonts w:asciiTheme="minorHAnsi" w:hAnsiTheme="minorHAnsi" w:cstheme="minorHAnsi"/>
          <w:caps/>
          <w:color w:val="5B9BD5"/>
          <w:sz w:val="48"/>
          <w:szCs w:val="48"/>
        </w:rPr>
        <w:fldChar w:fldCharType="begin"/>
      </w:r>
      <w:r w:rsidRPr="00E01239">
        <w:rPr>
          <w:rFonts w:asciiTheme="minorHAnsi" w:hAnsiTheme="minorHAnsi" w:cstheme="minorHAnsi"/>
          <w:caps/>
          <w:color w:val="5B9BD5"/>
          <w:sz w:val="48"/>
          <w:szCs w:val="48"/>
        </w:rPr>
        <w:instrText xml:space="preserve"> SEQ Annexe \* ARABIC </w:instrText>
      </w:r>
      <w:r w:rsidRPr="00E01239">
        <w:rPr>
          <w:rFonts w:asciiTheme="minorHAnsi" w:hAnsiTheme="minorHAnsi" w:cstheme="minorHAnsi"/>
          <w:caps/>
          <w:color w:val="5B9BD5"/>
          <w:sz w:val="48"/>
          <w:szCs w:val="48"/>
        </w:rPr>
        <w:fldChar w:fldCharType="separate"/>
      </w:r>
      <w:r w:rsidRPr="00E01239">
        <w:rPr>
          <w:rFonts w:asciiTheme="minorHAnsi" w:hAnsiTheme="minorHAnsi" w:cstheme="minorHAnsi"/>
          <w:caps/>
          <w:color w:val="5B9BD5"/>
          <w:sz w:val="48"/>
          <w:szCs w:val="48"/>
        </w:rPr>
        <w:t>3</w:t>
      </w:r>
      <w:r w:rsidRPr="00E01239">
        <w:rPr>
          <w:rFonts w:asciiTheme="minorHAnsi" w:hAnsiTheme="minorHAnsi" w:cstheme="minorHAnsi"/>
          <w:caps/>
          <w:color w:val="5B9BD5"/>
          <w:sz w:val="48"/>
          <w:szCs w:val="48"/>
        </w:rPr>
        <w:fldChar w:fldCharType="end"/>
      </w:r>
      <w:r w:rsidRPr="00E01239">
        <w:rPr>
          <w:rFonts w:asciiTheme="minorHAnsi" w:hAnsiTheme="minorHAnsi" w:cstheme="minorHAnsi"/>
          <w:caps/>
          <w:color w:val="5B9BD5"/>
          <w:sz w:val="48"/>
          <w:szCs w:val="48"/>
        </w:rPr>
        <w:t xml:space="preserve"> : fiche de criblage et de documentation de l’evaluation des impacts en reinstallation </w:t>
      </w:r>
    </w:p>
    <w:p w14:paraId="4AC55002" w14:textId="77777777" w:rsidR="00156A89" w:rsidRPr="00E01239" w:rsidRDefault="00156A89" w:rsidP="00156A89">
      <w:pPr>
        <w:tabs>
          <w:tab w:val="left" w:pos="4062"/>
        </w:tabs>
        <w:rPr>
          <w:rFonts w:asciiTheme="minorHAnsi" w:hAnsiTheme="minorHAnsi" w:cstheme="minorHAnsi"/>
          <w:sz w:val="22"/>
          <w:szCs w:val="22"/>
        </w:rPr>
      </w:pPr>
    </w:p>
    <w:p w14:paraId="0E9B2DF4" w14:textId="77777777" w:rsidR="00156A89" w:rsidRPr="00E01239" w:rsidRDefault="00156A89" w:rsidP="00156A89">
      <w:pPr>
        <w:tabs>
          <w:tab w:val="left" w:pos="4062"/>
        </w:tabs>
        <w:rPr>
          <w:rFonts w:asciiTheme="minorHAnsi" w:hAnsiTheme="minorHAnsi" w:cstheme="minorHAnsi"/>
          <w:sz w:val="22"/>
          <w:szCs w:val="22"/>
        </w:rPr>
      </w:pPr>
    </w:p>
    <w:p w14:paraId="723E9938" w14:textId="77777777" w:rsidR="00156A89" w:rsidRPr="00E01239" w:rsidRDefault="00156A89" w:rsidP="00156A89">
      <w:pPr>
        <w:rPr>
          <w:rFonts w:asciiTheme="minorHAnsi" w:hAnsiTheme="minorHAnsi" w:cstheme="minorHAnsi"/>
          <w:sz w:val="22"/>
          <w:szCs w:val="22"/>
        </w:rPr>
      </w:pPr>
      <w:r w:rsidRPr="00E01239">
        <w:rPr>
          <w:rFonts w:asciiTheme="minorHAnsi" w:hAnsiTheme="minorHAnsi" w:cstheme="minorHAnsi"/>
          <w:sz w:val="22"/>
          <w:szCs w:val="22"/>
        </w:rPr>
        <w:br w:type="page"/>
      </w:r>
    </w:p>
    <w:p w14:paraId="13B0D493" w14:textId="6688E04B" w:rsidR="00156A89" w:rsidRPr="00E01239" w:rsidRDefault="00156A89">
      <w:pPr>
        <w:rPr>
          <w:b/>
        </w:rPr>
      </w:pPr>
    </w:p>
    <w:p w14:paraId="3DC3ABA3" w14:textId="05D8B083" w:rsidR="00156A89" w:rsidRPr="00E01239" w:rsidRDefault="00156A89" w:rsidP="00156A89">
      <w:pPr>
        <w:jc w:val="center"/>
        <w:rPr>
          <w:b/>
        </w:rPr>
      </w:pPr>
      <w:r w:rsidRPr="00E01239">
        <w:rPr>
          <w:b/>
        </w:rPr>
        <w:t xml:space="preserve">FICHE DE CRIBLAGE DES IMPACTS EN REINSTALLATION ECONOMIQUE OU PHYSIQUE, ACQUISITION DE TERRAIN ET RESTRICTION D’ACCES (NES 5) </w:t>
      </w:r>
    </w:p>
    <w:p w14:paraId="169C6874" w14:textId="77777777" w:rsidR="00156A89" w:rsidRPr="00E01239" w:rsidRDefault="00156A89" w:rsidP="00156A89"/>
    <w:p w14:paraId="095FF49F" w14:textId="77777777" w:rsidR="00156A89" w:rsidRPr="00E01239" w:rsidRDefault="00156A89" w:rsidP="00156A89">
      <w:pPr>
        <w:pStyle w:val="Paragraphedeliste"/>
        <w:numPr>
          <w:ilvl w:val="0"/>
          <w:numId w:val="204"/>
        </w:numPr>
        <w:spacing w:after="160" w:line="259" w:lineRule="auto"/>
        <w:rPr>
          <w:b/>
        </w:rPr>
      </w:pPr>
      <w:bookmarkStart w:id="1432" w:name="_Hlk33109475"/>
      <w:r w:rsidRPr="00E01239">
        <w:rPr>
          <w:b/>
        </w:rPr>
        <w:t>DESCRIPTION DU SOUS-PROJET</w:t>
      </w:r>
    </w:p>
    <w:p w14:paraId="4138405E" w14:textId="77777777" w:rsidR="00156A89" w:rsidRPr="00E01239" w:rsidRDefault="00156A89" w:rsidP="00156A89">
      <w:pPr>
        <w:contextualSpacing/>
        <w:rPr>
          <w:b/>
        </w:rPr>
      </w:pPr>
      <w:r w:rsidRPr="00E01239">
        <w:rPr>
          <w:b/>
        </w:rPr>
        <w:t>1.1 Nom du sous-projet :</w:t>
      </w:r>
    </w:p>
    <w:p w14:paraId="260A305D" w14:textId="77777777" w:rsidR="00156A89" w:rsidRPr="00E01239" w:rsidRDefault="00156A89" w:rsidP="00156A89">
      <w:pPr>
        <w:contextualSpacing/>
        <w:rPr>
          <w:b/>
        </w:rPr>
      </w:pPr>
    </w:p>
    <w:p w14:paraId="6FEE2DEF" w14:textId="77777777" w:rsidR="00156A89" w:rsidRPr="00E01239" w:rsidRDefault="00156A89" w:rsidP="00156A89">
      <w:pPr>
        <w:contextualSpacing/>
        <w:rPr>
          <w:b/>
        </w:rPr>
      </w:pPr>
      <w:r w:rsidRPr="00E01239">
        <w:rPr>
          <w:b/>
        </w:rPr>
        <w:t>1.2 Localité :</w:t>
      </w:r>
    </w:p>
    <w:p w14:paraId="1F6514F9" w14:textId="77777777" w:rsidR="00156A89" w:rsidRPr="00E01239" w:rsidRDefault="00156A89" w:rsidP="00156A89">
      <w:pPr>
        <w:spacing w:after="160" w:line="259" w:lineRule="auto"/>
        <w:contextualSpacing/>
        <w:rPr>
          <w:b/>
        </w:rPr>
      </w:pPr>
    </w:p>
    <w:p w14:paraId="03E264B6" w14:textId="77777777" w:rsidR="00156A89" w:rsidRPr="00E01239" w:rsidRDefault="00156A89" w:rsidP="00156A89">
      <w:pPr>
        <w:spacing w:after="160" w:line="259" w:lineRule="auto"/>
        <w:contextualSpacing/>
        <w:rPr>
          <w:b/>
        </w:rPr>
      </w:pPr>
      <w:r w:rsidRPr="00E01239">
        <w:rPr>
          <w:b/>
        </w:rPr>
        <w:t>1.3 Description des travaux</w:t>
      </w:r>
    </w:p>
    <w:tbl>
      <w:tblPr>
        <w:tblStyle w:val="Grilledutableau"/>
        <w:tblW w:w="0" w:type="auto"/>
        <w:tblLook w:val="04A0" w:firstRow="1" w:lastRow="0" w:firstColumn="1" w:lastColumn="0" w:noHBand="0" w:noVBand="1"/>
      </w:tblPr>
      <w:tblGrid>
        <w:gridCol w:w="5485"/>
        <w:gridCol w:w="576"/>
        <w:gridCol w:w="630"/>
        <w:gridCol w:w="2070"/>
      </w:tblGrid>
      <w:tr w:rsidR="00156A89" w:rsidRPr="00E01239" w14:paraId="4F826D57" w14:textId="77777777" w:rsidTr="003A04BD">
        <w:tc>
          <w:tcPr>
            <w:tcW w:w="5485" w:type="dxa"/>
          </w:tcPr>
          <w:p w14:paraId="1F3E3BD6" w14:textId="77777777" w:rsidR="00156A89" w:rsidRPr="00E01239" w:rsidRDefault="00156A89" w:rsidP="003A04BD"/>
        </w:tc>
        <w:tc>
          <w:tcPr>
            <w:tcW w:w="576" w:type="dxa"/>
          </w:tcPr>
          <w:p w14:paraId="318A508B" w14:textId="77777777" w:rsidR="00156A89" w:rsidRPr="00E01239" w:rsidRDefault="00156A89" w:rsidP="003A04BD">
            <w:r w:rsidRPr="00E01239">
              <w:t>Oui</w:t>
            </w:r>
          </w:p>
        </w:tc>
        <w:tc>
          <w:tcPr>
            <w:tcW w:w="630" w:type="dxa"/>
          </w:tcPr>
          <w:p w14:paraId="2240A922" w14:textId="77777777" w:rsidR="00156A89" w:rsidRPr="00E01239" w:rsidRDefault="00156A89" w:rsidP="003A04BD">
            <w:r w:rsidRPr="00E01239">
              <w:t>Non</w:t>
            </w:r>
          </w:p>
        </w:tc>
        <w:tc>
          <w:tcPr>
            <w:tcW w:w="2070" w:type="dxa"/>
          </w:tcPr>
          <w:p w14:paraId="25A53F84" w14:textId="77777777" w:rsidR="00156A89" w:rsidRPr="00E01239" w:rsidRDefault="00156A89" w:rsidP="003A04BD">
            <w:r w:rsidRPr="00E01239">
              <w:t>Commentaire</w:t>
            </w:r>
          </w:p>
        </w:tc>
      </w:tr>
      <w:tr w:rsidR="00156A89" w:rsidRPr="00E01239" w14:paraId="4A7B5C19" w14:textId="77777777" w:rsidTr="003A04BD">
        <w:tc>
          <w:tcPr>
            <w:tcW w:w="5485" w:type="dxa"/>
          </w:tcPr>
          <w:p w14:paraId="59A979E5" w14:textId="77777777" w:rsidR="00156A89" w:rsidRPr="00E01239" w:rsidRDefault="00156A89" w:rsidP="003A04BD">
            <w:r w:rsidRPr="00E01239">
              <w:t>1.3.1 Spécifications techniques de l’infrastructure planifiée (dimension de l’emprise requise/usage/etc..)</w:t>
            </w:r>
          </w:p>
        </w:tc>
        <w:tc>
          <w:tcPr>
            <w:tcW w:w="3276" w:type="dxa"/>
            <w:gridSpan w:val="3"/>
          </w:tcPr>
          <w:p w14:paraId="55B6377B" w14:textId="77777777" w:rsidR="00156A89" w:rsidRPr="00E01239" w:rsidRDefault="00156A89" w:rsidP="003A04BD"/>
        </w:tc>
      </w:tr>
      <w:tr w:rsidR="00156A89" w:rsidRPr="00E01239" w14:paraId="73700342" w14:textId="77777777" w:rsidTr="003A04BD">
        <w:tc>
          <w:tcPr>
            <w:tcW w:w="5485" w:type="dxa"/>
          </w:tcPr>
          <w:p w14:paraId="798912EE" w14:textId="77777777" w:rsidR="00156A89" w:rsidRPr="00E01239" w:rsidRDefault="00156A89" w:rsidP="003A04BD">
            <w:r w:rsidRPr="00E01239">
              <w:t>1.3.2 Réhabilitation</w:t>
            </w:r>
          </w:p>
        </w:tc>
        <w:tc>
          <w:tcPr>
            <w:tcW w:w="576" w:type="dxa"/>
          </w:tcPr>
          <w:p w14:paraId="1AA82B3A" w14:textId="77777777" w:rsidR="00156A89" w:rsidRPr="00E01239" w:rsidRDefault="00156A89" w:rsidP="003A04BD"/>
        </w:tc>
        <w:tc>
          <w:tcPr>
            <w:tcW w:w="630" w:type="dxa"/>
          </w:tcPr>
          <w:p w14:paraId="408EFFCD" w14:textId="77777777" w:rsidR="00156A89" w:rsidRPr="00E01239" w:rsidRDefault="00156A89" w:rsidP="003A04BD"/>
        </w:tc>
        <w:tc>
          <w:tcPr>
            <w:tcW w:w="2070" w:type="dxa"/>
          </w:tcPr>
          <w:p w14:paraId="48F829FF" w14:textId="77777777" w:rsidR="00156A89" w:rsidRPr="00E01239" w:rsidRDefault="00156A89" w:rsidP="003A04BD"/>
        </w:tc>
      </w:tr>
      <w:tr w:rsidR="00156A89" w:rsidRPr="00E01239" w14:paraId="575245F5" w14:textId="77777777" w:rsidTr="003A04BD">
        <w:tc>
          <w:tcPr>
            <w:tcW w:w="5485" w:type="dxa"/>
          </w:tcPr>
          <w:p w14:paraId="2B3A0333" w14:textId="77777777" w:rsidR="00156A89" w:rsidRPr="00E01239" w:rsidRDefault="00156A89" w:rsidP="003A04BD">
            <w:r w:rsidRPr="00E01239">
              <w:t>1.3.3 Extension</w:t>
            </w:r>
          </w:p>
        </w:tc>
        <w:tc>
          <w:tcPr>
            <w:tcW w:w="576" w:type="dxa"/>
          </w:tcPr>
          <w:p w14:paraId="6B9977B1" w14:textId="77777777" w:rsidR="00156A89" w:rsidRPr="00E01239" w:rsidRDefault="00156A89" w:rsidP="003A04BD"/>
        </w:tc>
        <w:tc>
          <w:tcPr>
            <w:tcW w:w="630" w:type="dxa"/>
          </w:tcPr>
          <w:p w14:paraId="7991BC08" w14:textId="77777777" w:rsidR="00156A89" w:rsidRPr="00E01239" w:rsidRDefault="00156A89" w:rsidP="003A04BD"/>
        </w:tc>
        <w:tc>
          <w:tcPr>
            <w:tcW w:w="2070" w:type="dxa"/>
          </w:tcPr>
          <w:p w14:paraId="66E76D20" w14:textId="77777777" w:rsidR="00156A89" w:rsidRPr="00E01239" w:rsidRDefault="00156A89" w:rsidP="003A04BD"/>
        </w:tc>
      </w:tr>
      <w:tr w:rsidR="00156A89" w:rsidRPr="00E01239" w14:paraId="0E334FD2" w14:textId="77777777" w:rsidTr="003A04BD">
        <w:tc>
          <w:tcPr>
            <w:tcW w:w="5485" w:type="dxa"/>
          </w:tcPr>
          <w:p w14:paraId="0A529FF9" w14:textId="77777777" w:rsidR="00156A89" w:rsidRPr="00E01239" w:rsidRDefault="00156A89" w:rsidP="003A04BD">
            <w:r w:rsidRPr="00E01239">
              <w:t>1.3.4 Nouvelle construction</w:t>
            </w:r>
          </w:p>
        </w:tc>
        <w:tc>
          <w:tcPr>
            <w:tcW w:w="576" w:type="dxa"/>
          </w:tcPr>
          <w:p w14:paraId="1ECFD060" w14:textId="77777777" w:rsidR="00156A89" w:rsidRPr="00E01239" w:rsidRDefault="00156A89" w:rsidP="003A04BD"/>
        </w:tc>
        <w:tc>
          <w:tcPr>
            <w:tcW w:w="630" w:type="dxa"/>
          </w:tcPr>
          <w:p w14:paraId="2579C034" w14:textId="77777777" w:rsidR="00156A89" w:rsidRPr="00E01239" w:rsidRDefault="00156A89" w:rsidP="003A04BD"/>
        </w:tc>
        <w:tc>
          <w:tcPr>
            <w:tcW w:w="2070" w:type="dxa"/>
          </w:tcPr>
          <w:p w14:paraId="4ACF4FC0" w14:textId="77777777" w:rsidR="00156A89" w:rsidRPr="00E01239" w:rsidRDefault="00156A89" w:rsidP="003A04BD"/>
        </w:tc>
      </w:tr>
      <w:tr w:rsidR="00156A89" w:rsidRPr="00E01239" w14:paraId="3660AEB9" w14:textId="77777777" w:rsidTr="003A04BD">
        <w:tc>
          <w:tcPr>
            <w:tcW w:w="5485" w:type="dxa"/>
          </w:tcPr>
          <w:p w14:paraId="6189E150" w14:textId="77777777" w:rsidR="00156A89" w:rsidRPr="00E01239" w:rsidRDefault="00156A89" w:rsidP="003A04BD">
            <w:r w:rsidRPr="00E01239">
              <w:t>1.3.5 Date de début/finalisation des travaux (*indiquer dans case « commentaire »)</w:t>
            </w:r>
          </w:p>
        </w:tc>
        <w:tc>
          <w:tcPr>
            <w:tcW w:w="576" w:type="dxa"/>
          </w:tcPr>
          <w:p w14:paraId="0195927B" w14:textId="77777777" w:rsidR="00156A89" w:rsidRPr="00E01239" w:rsidRDefault="00156A89" w:rsidP="003A04BD"/>
        </w:tc>
        <w:tc>
          <w:tcPr>
            <w:tcW w:w="630" w:type="dxa"/>
          </w:tcPr>
          <w:p w14:paraId="6221390C" w14:textId="77777777" w:rsidR="00156A89" w:rsidRPr="00E01239" w:rsidRDefault="00156A89" w:rsidP="003A04BD"/>
        </w:tc>
        <w:tc>
          <w:tcPr>
            <w:tcW w:w="2070" w:type="dxa"/>
          </w:tcPr>
          <w:p w14:paraId="2F965C53" w14:textId="77777777" w:rsidR="00156A89" w:rsidRPr="00E01239" w:rsidRDefault="00156A89" w:rsidP="003A04BD"/>
        </w:tc>
      </w:tr>
      <w:bookmarkEnd w:id="1432"/>
    </w:tbl>
    <w:p w14:paraId="361BCF7E" w14:textId="77777777" w:rsidR="00156A89" w:rsidRPr="00E01239" w:rsidRDefault="00156A89" w:rsidP="00156A89"/>
    <w:p w14:paraId="63F3D7E8" w14:textId="77777777" w:rsidR="00156A89" w:rsidRPr="00E01239" w:rsidRDefault="00156A89" w:rsidP="00156A89">
      <w:pPr>
        <w:pStyle w:val="Paragraphedeliste"/>
        <w:numPr>
          <w:ilvl w:val="0"/>
          <w:numId w:val="204"/>
        </w:numPr>
        <w:spacing w:after="160" w:line="259" w:lineRule="auto"/>
        <w:rPr>
          <w:b/>
        </w:rPr>
      </w:pPr>
      <w:r w:rsidRPr="00E01239">
        <w:rPr>
          <w:b/>
        </w:rPr>
        <w:t xml:space="preserve">OBSERVATIONS LORS DE LA VISITE DE TERRAIN (date de la </w:t>
      </w:r>
      <w:proofErr w:type="gramStart"/>
      <w:r w:rsidRPr="00E01239">
        <w:rPr>
          <w:b/>
        </w:rPr>
        <w:t>visite:</w:t>
      </w:r>
      <w:proofErr w:type="gramEnd"/>
      <w:r w:rsidRPr="00E01239">
        <w:rPr>
          <w:b/>
        </w:rPr>
        <w:t xml:space="preserve"> XXX)</w:t>
      </w:r>
    </w:p>
    <w:p w14:paraId="1CAED5E5" w14:textId="77777777" w:rsidR="00156A89" w:rsidRPr="00E01239" w:rsidRDefault="00156A89" w:rsidP="00156A89"/>
    <w:tbl>
      <w:tblPr>
        <w:tblStyle w:val="Grilledutableau"/>
        <w:tblW w:w="0" w:type="auto"/>
        <w:tblLook w:val="04A0" w:firstRow="1" w:lastRow="0" w:firstColumn="1" w:lastColumn="0" w:noHBand="0" w:noVBand="1"/>
      </w:tblPr>
      <w:tblGrid>
        <w:gridCol w:w="5485"/>
        <w:gridCol w:w="576"/>
        <w:gridCol w:w="630"/>
        <w:gridCol w:w="2070"/>
      </w:tblGrid>
      <w:tr w:rsidR="00156A89" w:rsidRPr="00E01239" w14:paraId="74CFC089" w14:textId="77777777" w:rsidTr="003A04BD">
        <w:tc>
          <w:tcPr>
            <w:tcW w:w="5485" w:type="dxa"/>
          </w:tcPr>
          <w:p w14:paraId="7A507A45" w14:textId="77777777" w:rsidR="00156A89" w:rsidRPr="00E01239" w:rsidRDefault="00156A89" w:rsidP="003A04BD">
            <w:r w:rsidRPr="00E01239">
              <w:t>2.  Présence d’actifs sur le terrain (tels qu’observés)</w:t>
            </w:r>
          </w:p>
        </w:tc>
        <w:tc>
          <w:tcPr>
            <w:tcW w:w="576" w:type="dxa"/>
          </w:tcPr>
          <w:p w14:paraId="7C6F9F3A" w14:textId="77777777" w:rsidR="00156A89" w:rsidRPr="00E01239" w:rsidRDefault="00156A89" w:rsidP="003A04BD">
            <w:r w:rsidRPr="00E01239">
              <w:t>Oui</w:t>
            </w:r>
          </w:p>
        </w:tc>
        <w:tc>
          <w:tcPr>
            <w:tcW w:w="630" w:type="dxa"/>
          </w:tcPr>
          <w:p w14:paraId="613C5F24" w14:textId="77777777" w:rsidR="00156A89" w:rsidRPr="00E01239" w:rsidRDefault="00156A89" w:rsidP="003A04BD">
            <w:r w:rsidRPr="00E01239">
              <w:t>Non</w:t>
            </w:r>
          </w:p>
        </w:tc>
        <w:tc>
          <w:tcPr>
            <w:tcW w:w="2070" w:type="dxa"/>
          </w:tcPr>
          <w:p w14:paraId="641AD7A5" w14:textId="72009A63" w:rsidR="00156A89" w:rsidRPr="00E01239" w:rsidRDefault="00156A89" w:rsidP="003A04BD">
            <w:r w:rsidRPr="00E01239">
              <w:t>Indiquer les usagers ou propri</w:t>
            </w:r>
            <w:r w:rsidR="00CE3291">
              <w:t>é</w:t>
            </w:r>
            <w:r w:rsidRPr="00E01239">
              <w:t>taires de ces actifs</w:t>
            </w:r>
          </w:p>
        </w:tc>
      </w:tr>
      <w:tr w:rsidR="00156A89" w:rsidRPr="00E01239" w14:paraId="23E3E531" w14:textId="77777777" w:rsidTr="003A04BD">
        <w:tc>
          <w:tcPr>
            <w:tcW w:w="5485" w:type="dxa"/>
          </w:tcPr>
          <w:p w14:paraId="611A41AD" w14:textId="77777777" w:rsidR="00156A89" w:rsidRPr="00E01239" w:rsidRDefault="00156A89" w:rsidP="003A04BD">
            <w:r w:rsidRPr="00E01239">
              <w:t xml:space="preserve">2.1 Terrain vacant </w:t>
            </w:r>
          </w:p>
        </w:tc>
        <w:tc>
          <w:tcPr>
            <w:tcW w:w="576" w:type="dxa"/>
          </w:tcPr>
          <w:p w14:paraId="47567811" w14:textId="77777777" w:rsidR="00156A89" w:rsidRPr="00E01239" w:rsidRDefault="00156A89" w:rsidP="003A04BD"/>
        </w:tc>
        <w:tc>
          <w:tcPr>
            <w:tcW w:w="630" w:type="dxa"/>
          </w:tcPr>
          <w:p w14:paraId="5B49056E" w14:textId="77777777" w:rsidR="00156A89" w:rsidRPr="00E01239" w:rsidRDefault="00156A89" w:rsidP="003A04BD"/>
        </w:tc>
        <w:tc>
          <w:tcPr>
            <w:tcW w:w="2070" w:type="dxa"/>
          </w:tcPr>
          <w:p w14:paraId="1B624453" w14:textId="77777777" w:rsidR="00156A89" w:rsidRPr="00E01239" w:rsidRDefault="00156A89" w:rsidP="003A04BD"/>
        </w:tc>
      </w:tr>
      <w:tr w:rsidR="00156A89" w:rsidRPr="00E01239" w14:paraId="66ECF2E7" w14:textId="77777777" w:rsidTr="003A04BD">
        <w:tc>
          <w:tcPr>
            <w:tcW w:w="5485" w:type="dxa"/>
          </w:tcPr>
          <w:p w14:paraId="78DC55C0" w14:textId="77777777" w:rsidR="00156A89" w:rsidRPr="00E01239" w:rsidRDefault="00156A89" w:rsidP="003A04BD">
            <w:r w:rsidRPr="00E01239">
              <w:t>2.2 Structure (résidence, commerce, structure auxiliaire, toilette, cuisine, hangar, mur, etc…)</w:t>
            </w:r>
          </w:p>
        </w:tc>
        <w:tc>
          <w:tcPr>
            <w:tcW w:w="576" w:type="dxa"/>
          </w:tcPr>
          <w:p w14:paraId="37D2957F" w14:textId="77777777" w:rsidR="00156A89" w:rsidRPr="00E01239" w:rsidRDefault="00156A89" w:rsidP="003A04BD"/>
        </w:tc>
        <w:tc>
          <w:tcPr>
            <w:tcW w:w="630" w:type="dxa"/>
          </w:tcPr>
          <w:p w14:paraId="24BDEE99" w14:textId="77777777" w:rsidR="00156A89" w:rsidRPr="00E01239" w:rsidRDefault="00156A89" w:rsidP="003A04BD"/>
        </w:tc>
        <w:tc>
          <w:tcPr>
            <w:tcW w:w="2070" w:type="dxa"/>
          </w:tcPr>
          <w:p w14:paraId="257725AC" w14:textId="77777777" w:rsidR="00156A89" w:rsidRPr="00E01239" w:rsidRDefault="00156A89" w:rsidP="003A04BD"/>
        </w:tc>
      </w:tr>
      <w:tr w:rsidR="00156A89" w:rsidRPr="00E01239" w14:paraId="46C9D6E8" w14:textId="77777777" w:rsidTr="003A04BD">
        <w:tc>
          <w:tcPr>
            <w:tcW w:w="5485" w:type="dxa"/>
          </w:tcPr>
          <w:p w14:paraId="2B2F6355" w14:textId="77777777" w:rsidR="00156A89" w:rsidRPr="00E01239" w:rsidRDefault="00156A89" w:rsidP="003A04BD">
            <w:r w:rsidRPr="00E01239">
              <w:t>2.3 Culture/arbre</w:t>
            </w:r>
          </w:p>
        </w:tc>
        <w:tc>
          <w:tcPr>
            <w:tcW w:w="576" w:type="dxa"/>
          </w:tcPr>
          <w:p w14:paraId="54027E6F" w14:textId="77777777" w:rsidR="00156A89" w:rsidRPr="00E01239" w:rsidRDefault="00156A89" w:rsidP="003A04BD"/>
        </w:tc>
        <w:tc>
          <w:tcPr>
            <w:tcW w:w="630" w:type="dxa"/>
          </w:tcPr>
          <w:p w14:paraId="7EB937E5" w14:textId="77777777" w:rsidR="00156A89" w:rsidRPr="00E01239" w:rsidRDefault="00156A89" w:rsidP="003A04BD"/>
        </w:tc>
        <w:tc>
          <w:tcPr>
            <w:tcW w:w="2070" w:type="dxa"/>
          </w:tcPr>
          <w:p w14:paraId="22A248A6" w14:textId="77777777" w:rsidR="00156A89" w:rsidRPr="00E01239" w:rsidRDefault="00156A89" w:rsidP="003A04BD"/>
        </w:tc>
      </w:tr>
      <w:tr w:rsidR="00156A89" w:rsidRPr="00E01239" w14:paraId="5690494B" w14:textId="77777777" w:rsidTr="003A04BD">
        <w:tc>
          <w:tcPr>
            <w:tcW w:w="5485" w:type="dxa"/>
          </w:tcPr>
          <w:p w14:paraId="48464A83" w14:textId="1C2FAB9F" w:rsidR="00156A89" w:rsidRPr="00E01239" w:rsidRDefault="00156A89" w:rsidP="003A04BD">
            <w:r w:rsidRPr="00E01239">
              <w:t xml:space="preserve">2.4 Restriction d’accès ou d’usage </w:t>
            </w:r>
            <w:r w:rsidR="00633DAE">
              <w:t>à</w:t>
            </w:r>
            <w:r w:rsidRPr="00E01239">
              <w:t xml:space="preserve"> des ressources naturelles</w:t>
            </w:r>
          </w:p>
        </w:tc>
        <w:tc>
          <w:tcPr>
            <w:tcW w:w="576" w:type="dxa"/>
          </w:tcPr>
          <w:p w14:paraId="4BA56153" w14:textId="77777777" w:rsidR="00156A89" w:rsidRPr="00E01239" w:rsidRDefault="00156A89" w:rsidP="003A04BD"/>
        </w:tc>
        <w:tc>
          <w:tcPr>
            <w:tcW w:w="630" w:type="dxa"/>
          </w:tcPr>
          <w:p w14:paraId="22938FE9" w14:textId="77777777" w:rsidR="00156A89" w:rsidRPr="00E01239" w:rsidRDefault="00156A89" w:rsidP="003A04BD"/>
        </w:tc>
        <w:tc>
          <w:tcPr>
            <w:tcW w:w="2070" w:type="dxa"/>
          </w:tcPr>
          <w:p w14:paraId="1204A08F" w14:textId="77777777" w:rsidR="00156A89" w:rsidRPr="00E01239" w:rsidRDefault="00156A89" w:rsidP="003A04BD"/>
        </w:tc>
      </w:tr>
      <w:tr w:rsidR="00156A89" w:rsidRPr="00E01239" w14:paraId="248BB7BF" w14:textId="77777777" w:rsidTr="003A04BD">
        <w:tc>
          <w:tcPr>
            <w:tcW w:w="5485" w:type="dxa"/>
          </w:tcPr>
          <w:p w14:paraId="785896B0" w14:textId="77777777" w:rsidR="00156A89" w:rsidRPr="00E01239" w:rsidRDefault="00156A89" w:rsidP="003A04BD">
            <w:r w:rsidRPr="00E01239">
              <w:t>2.5 Autre (préciser)</w:t>
            </w:r>
          </w:p>
        </w:tc>
        <w:tc>
          <w:tcPr>
            <w:tcW w:w="576" w:type="dxa"/>
          </w:tcPr>
          <w:p w14:paraId="7999D2F9" w14:textId="77777777" w:rsidR="00156A89" w:rsidRPr="00E01239" w:rsidRDefault="00156A89" w:rsidP="003A04BD"/>
        </w:tc>
        <w:tc>
          <w:tcPr>
            <w:tcW w:w="630" w:type="dxa"/>
          </w:tcPr>
          <w:p w14:paraId="1D3F902C" w14:textId="77777777" w:rsidR="00156A89" w:rsidRPr="00E01239" w:rsidRDefault="00156A89" w:rsidP="003A04BD"/>
        </w:tc>
        <w:tc>
          <w:tcPr>
            <w:tcW w:w="2070" w:type="dxa"/>
          </w:tcPr>
          <w:p w14:paraId="2A8AA940" w14:textId="77777777" w:rsidR="00156A89" w:rsidRPr="00E01239" w:rsidRDefault="00156A89" w:rsidP="003A04BD"/>
        </w:tc>
      </w:tr>
    </w:tbl>
    <w:p w14:paraId="1F14D668" w14:textId="77777777" w:rsidR="00156A89" w:rsidRPr="00E01239" w:rsidRDefault="00156A89" w:rsidP="00156A89"/>
    <w:p w14:paraId="7D721A36" w14:textId="77777777" w:rsidR="00156A89" w:rsidRPr="00E01239" w:rsidRDefault="00156A89" w:rsidP="00156A89"/>
    <w:p w14:paraId="1D647FEE" w14:textId="77777777" w:rsidR="00156A89" w:rsidRPr="00E01239" w:rsidRDefault="00156A89" w:rsidP="00156A89">
      <w:pPr>
        <w:pStyle w:val="Paragraphedeliste"/>
        <w:numPr>
          <w:ilvl w:val="0"/>
          <w:numId w:val="204"/>
        </w:numPr>
        <w:spacing w:after="160" w:line="259" w:lineRule="auto"/>
        <w:rPr>
          <w:b/>
        </w:rPr>
      </w:pPr>
      <w:r w:rsidRPr="00E01239">
        <w:rPr>
          <w:b/>
        </w:rPr>
        <w:t>NATURE (PROPRIETE) ET USAGE DU TERRAIN</w:t>
      </w:r>
    </w:p>
    <w:p w14:paraId="338CA01C" w14:textId="77777777" w:rsidR="00156A89" w:rsidRPr="00E01239" w:rsidRDefault="00156A89" w:rsidP="00156A89">
      <w:pPr>
        <w:pStyle w:val="Paragraphedeliste"/>
        <w:rPr>
          <w:b/>
        </w:rPr>
      </w:pPr>
    </w:p>
    <w:tbl>
      <w:tblPr>
        <w:tblStyle w:val="Grilledutableau"/>
        <w:tblW w:w="0" w:type="auto"/>
        <w:tblLook w:val="04A0" w:firstRow="1" w:lastRow="0" w:firstColumn="1" w:lastColumn="0" w:noHBand="0" w:noVBand="1"/>
      </w:tblPr>
      <w:tblGrid>
        <w:gridCol w:w="5485"/>
        <w:gridCol w:w="576"/>
        <w:gridCol w:w="630"/>
        <w:gridCol w:w="2070"/>
      </w:tblGrid>
      <w:tr w:rsidR="00156A89" w:rsidRPr="00E01239" w14:paraId="7E6C4C58" w14:textId="77777777" w:rsidTr="003A04BD">
        <w:tc>
          <w:tcPr>
            <w:tcW w:w="5485" w:type="dxa"/>
          </w:tcPr>
          <w:p w14:paraId="34E71310" w14:textId="77777777" w:rsidR="00156A89" w:rsidRPr="00E01239" w:rsidRDefault="00156A89" w:rsidP="003A04BD">
            <w:r w:rsidRPr="00E01239">
              <w:t>3. Nature de la propriété et usage du terrain</w:t>
            </w:r>
          </w:p>
        </w:tc>
        <w:tc>
          <w:tcPr>
            <w:tcW w:w="540" w:type="dxa"/>
          </w:tcPr>
          <w:p w14:paraId="1FD30BD4" w14:textId="77777777" w:rsidR="00156A89" w:rsidRPr="00E01239" w:rsidRDefault="00156A89" w:rsidP="003A04BD">
            <w:r w:rsidRPr="00E01239">
              <w:t>Oui</w:t>
            </w:r>
          </w:p>
        </w:tc>
        <w:tc>
          <w:tcPr>
            <w:tcW w:w="590" w:type="dxa"/>
          </w:tcPr>
          <w:p w14:paraId="7E7994A3" w14:textId="77777777" w:rsidR="00156A89" w:rsidRPr="00E01239" w:rsidRDefault="00156A89" w:rsidP="003A04BD">
            <w:r w:rsidRPr="00E01239">
              <w:t>Non</w:t>
            </w:r>
          </w:p>
        </w:tc>
        <w:tc>
          <w:tcPr>
            <w:tcW w:w="2070" w:type="dxa"/>
          </w:tcPr>
          <w:p w14:paraId="19481C24" w14:textId="77777777" w:rsidR="00156A89" w:rsidRPr="00E01239" w:rsidRDefault="00156A89" w:rsidP="003A04BD">
            <w:r w:rsidRPr="00E01239">
              <w:t>Commentaire</w:t>
            </w:r>
          </w:p>
        </w:tc>
      </w:tr>
      <w:tr w:rsidR="00156A89" w:rsidRPr="00E01239" w14:paraId="00978325" w14:textId="77777777" w:rsidTr="003A04BD">
        <w:tc>
          <w:tcPr>
            <w:tcW w:w="5485" w:type="dxa"/>
          </w:tcPr>
          <w:p w14:paraId="1BB9BFCF" w14:textId="77777777" w:rsidR="00156A89" w:rsidRPr="00E01239" w:rsidRDefault="00156A89" w:rsidP="003A04BD">
            <w:r w:rsidRPr="00E01239">
              <w:t>3.1 Terrain public</w:t>
            </w:r>
            <w:r w:rsidRPr="00E01239">
              <w:rPr>
                <w:rStyle w:val="Appelnotedebasdep"/>
              </w:rPr>
              <w:footnoteReference w:id="16"/>
            </w:r>
          </w:p>
        </w:tc>
        <w:tc>
          <w:tcPr>
            <w:tcW w:w="540" w:type="dxa"/>
          </w:tcPr>
          <w:p w14:paraId="40003B25" w14:textId="77777777" w:rsidR="00156A89" w:rsidRPr="00E01239" w:rsidRDefault="00156A89" w:rsidP="003A04BD"/>
        </w:tc>
        <w:tc>
          <w:tcPr>
            <w:tcW w:w="590" w:type="dxa"/>
          </w:tcPr>
          <w:p w14:paraId="63E9D733" w14:textId="77777777" w:rsidR="00156A89" w:rsidRPr="00E01239" w:rsidRDefault="00156A89" w:rsidP="003A04BD"/>
        </w:tc>
        <w:tc>
          <w:tcPr>
            <w:tcW w:w="2070" w:type="dxa"/>
          </w:tcPr>
          <w:p w14:paraId="1CF1BAC9" w14:textId="77777777" w:rsidR="00156A89" w:rsidRPr="00E01239" w:rsidRDefault="00156A89" w:rsidP="003A04BD"/>
        </w:tc>
      </w:tr>
      <w:tr w:rsidR="00156A89" w:rsidRPr="00E01239" w14:paraId="38197096" w14:textId="77777777" w:rsidTr="003A04BD">
        <w:tc>
          <w:tcPr>
            <w:tcW w:w="5485" w:type="dxa"/>
          </w:tcPr>
          <w:p w14:paraId="4F8ED8EA" w14:textId="77777777" w:rsidR="00156A89" w:rsidRPr="00E01239" w:rsidRDefault="00156A89" w:rsidP="003A04BD">
            <w:r w:rsidRPr="00E01239">
              <w:t>3.2 Terrain privé</w:t>
            </w:r>
          </w:p>
        </w:tc>
        <w:tc>
          <w:tcPr>
            <w:tcW w:w="540" w:type="dxa"/>
          </w:tcPr>
          <w:p w14:paraId="362464DF" w14:textId="77777777" w:rsidR="00156A89" w:rsidRPr="00E01239" w:rsidRDefault="00156A89" w:rsidP="003A04BD"/>
        </w:tc>
        <w:tc>
          <w:tcPr>
            <w:tcW w:w="590" w:type="dxa"/>
          </w:tcPr>
          <w:p w14:paraId="2D3E987A" w14:textId="77777777" w:rsidR="00156A89" w:rsidRPr="00E01239" w:rsidRDefault="00156A89" w:rsidP="003A04BD"/>
        </w:tc>
        <w:tc>
          <w:tcPr>
            <w:tcW w:w="2070" w:type="dxa"/>
          </w:tcPr>
          <w:p w14:paraId="556C5583" w14:textId="77777777" w:rsidR="00156A89" w:rsidRPr="00E01239" w:rsidRDefault="00156A89" w:rsidP="003A04BD"/>
        </w:tc>
      </w:tr>
      <w:tr w:rsidR="00156A89" w:rsidRPr="00E01239" w14:paraId="40EF9CAC" w14:textId="77777777" w:rsidTr="003A04BD">
        <w:tc>
          <w:tcPr>
            <w:tcW w:w="5485" w:type="dxa"/>
          </w:tcPr>
          <w:p w14:paraId="4300F6D8" w14:textId="77777777" w:rsidR="00156A89" w:rsidRPr="00E01239" w:rsidRDefault="00156A89" w:rsidP="003A04BD">
            <w:r w:rsidRPr="00E01239">
              <w:t>3.3 Terrain communautaire</w:t>
            </w:r>
          </w:p>
        </w:tc>
        <w:tc>
          <w:tcPr>
            <w:tcW w:w="540" w:type="dxa"/>
          </w:tcPr>
          <w:p w14:paraId="170A99D5" w14:textId="77777777" w:rsidR="00156A89" w:rsidRPr="00E01239" w:rsidRDefault="00156A89" w:rsidP="003A04BD"/>
        </w:tc>
        <w:tc>
          <w:tcPr>
            <w:tcW w:w="590" w:type="dxa"/>
          </w:tcPr>
          <w:p w14:paraId="0CBC404C" w14:textId="77777777" w:rsidR="00156A89" w:rsidRPr="00E01239" w:rsidRDefault="00156A89" w:rsidP="003A04BD"/>
        </w:tc>
        <w:tc>
          <w:tcPr>
            <w:tcW w:w="2070" w:type="dxa"/>
          </w:tcPr>
          <w:p w14:paraId="2CFB54C4" w14:textId="77777777" w:rsidR="00156A89" w:rsidRPr="00E01239" w:rsidRDefault="00156A89" w:rsidP="003A04BD"/>
        </w:tc>
      </w:tr>
      <w:tr w:rsidR="00156A89" w:rsidRPr="00E01239" w14:paraId="260B249C" w14:textId="77777777" w:rsidTr="003A04BD">
        <w:tc>
          <w:tcPr>
            <w:tcW w:w="5485" w:type="dxa"/>
          </w:tcPr>
          <w:p w14:paraId="435A5889" w14:textId="77777777" w:rsidR="00156A89" w:rsidRPr="00E01239" w:rsidRDefault="00156A89" w:rsidP="003A04BD">
            <w:r w:rsidRPr="00E01239">
              <w:t>3.4 Nature de la propriété non-connue</w:t>
            </w:r>
          </w:p>
        </w:tc>
        <w:tc>
          <w:tcPr>
            <w:tcW w:w="540" w:type="dxa"/>
          </w:tcPr>
          <w:p w14:paraId="7C0368BE" w14:textId="77777777" w:rsidR="00156A89" w:rsidRPr="00E01239" w:rsidRDefault="00156A89" w:rsidP="003A04BD"/>
        </w:tc>
        <w:tc>
          <w:tcPr>
            <w:tcW w:w="590" w:type="dxa"/>
          </w:tcPr>
          <w:p w14:paraId="29D62D39" w14:textId="77777777" w:rsidR="00156A89" w:rsidRPr="00E01239" w:rsidRDefault="00156A89" w:rsidP="003A04BD"/>
        </w:tc>
        <w:tc>
          <w:tcPr>
            <w:tcW w:w="2070" w:type="dxa"/>
          </w:tcPr>
          <w:p w14:paraId="1891A246" w14:textId="77777777" w:rsidR="00156A89" w:rsidRPr="00E01239" w:rsidRDefault="00156A89" w:rsidP="003A04BD"/>
        </w:tc>
      </w:tr>
    </w:tbl>
    <w:p w14:paraId="14882B99" w14:textId="77777777" w:rsidR="00156A89" w:rsidRPr="00E01239" w:rsidRDefault="00156A89" w:rsidP="00156A89"/>
    <w:p w14:paraId="46FD4587" w14:textId="77777777" w:rsidR="00156A89" w:rsidRPr="00E01239" w:rsidRDefault="00156A89" w:rsidP="00156A89">
      <w:pPr>
        <w:pStyle w:val="Paragraphedeliste"/>
        <w:numPr>
          <w:ilvl w:val="0"/>
          <w:numId w:val="204"/>
        </w:numPr>
        <w:rPr>
          <w:b/>
        </w:rPr>
      </w:pPr>
      <w:r w:rsidRPr="00E01239">
        <w:rPr>
          <w:b/>
        </w:rPr>
        <w:t xml:space="preserve">RECUEIL DE TEMOIGNAGES SUR L’APPARTENANCE ET L’UTILISATION ACTUELLE DU TERRAIN (ceux-ci pouvant être les voisins, résidents, chef de village, et autres représentants) </w:t>
      </w:r>
    </w:p>
    <w:p w14:paraId="7D6127AD" w14:textId="77777777" w:rsidR="00156A89" w:rsidRPr="00E01239" w:rsidRDefault="00156A89" w:rsidP="00156A89"/>
    <w:p w14:paraId="133C1DAC" w14:textId="77777777" w:rsidR="00156A89" w:rsidRPr="00E01239" w:rsidRDefault="00156A89" w:rsidP="00156A89"/>
    <w:p w14:paraId="044B12D9" w14:textId="77777777" w:rsidR="00156A89" w:rsidRPr="00E01239" w:rsidRDefault="00156A89" w:rsidP="00156A89"/>
    <w:p w14:paraId="4F1ECD9F" w14:textId="77777777" w:rsidR="00156A89" w:rsidRPr="00E01239" w:rsidRDefault="00156A89" w:rsidP="00156A89">
      <w:pPr>
        <w:pStyle w:val="Paragraphedeliste"/>
        <w:numPr>
          <w:ilvl w:val="0"/>
          <w:numId w:val="204"/>
        </w:numPr>
        <w:spacing w:after="160" w:line="259" w:lineRule="auto"/>
      </w:pPr>
      <w:r w:rsidRPr="00E01239">
        <w:rPr>
          <w:b/>
        </w:rPr>
        <w:t>PHOTOS (du terrain, des personnes ayant fourni les témoignages)</w:t>
      </w:r>
      <w:r w:rsidRPr="00E01239">
        <w:t xml:space="preserve"> </w:t>
      </w:r>
    </w:p>
    <w:p w14:paraId="6BC32ED7" w14:textId="77777777" w:rsidR="00156A89" w:rsidRPr="00E01239" w:rsidRDefault="00156A89" w:rsidP="00156A89">
      <w:pPr>
        <w:pStyle w:val="Paragraphedeliste"/>
        <w:spacing w:after="160" w:line="259" w:lineRule="auto"/>
      </w:pPr>
    </w:p>
    <w:p w14:paraId="39E8E564" w14:textId="77777777" w:rsidR="00156A89" w:rsidRPr="00E01239" w:rsidRDefault="00156A89" w:rsidP="00156A89">
      <w:pPr>
        <w:pStyle w:val="Paragraphedeliste"/>
        <w:spacing w:after="160" w:line="259" w:lineRule="auto"/>
      </w:pPr>
    </w:p>
    <w:p w14:paraId="36B50DC3" w14:textId="77777777" w:rsidR="00156A89" w:rsidRPr="00E01239" w:rsidRDefault="00156A89" w:rsidP="00156A89">
      <w:pPr>
        <w:pStyle w:val="Paragraphedeliste"/>
        <w:spacing w:after="160" w:line="259" w:lineRule="auto"/>
      </w:pPr>
    </w:p>
    <w:p w14:paraId="5ADDC2E9" w14:textId="77777777" w:rsidR="00156A89" w:rsidRPr="00E01239" w:rsidRDefault="00156A89" w:rsidP="00156A89">
      <w:pPr>
        <w:pStyle w:val="Paragraphedeliste"/>
        <w:numPr>
          <w:ilvl w:val="0"/>
          <w:numId w:val="204"/>
        </w:numPr>
        <w:spacing w:after="160" w:line="259" w:lineRule="auto"/>
        <w:rPr>
          <w:b/>
        </w:rPr>
      </w:pPr>
      <w:r w:rsidRPr="00E01239">
        <w:rPr>
          <w:b/>
        </w:rPr>
        <w:t>CONCLUSION :</w:t>
      </w:r>
    </w:p>
    <w:tbl>
      <w:tblPr>
        <w:tblStyle w:val="Grilledutableau"/>
        <w:tblW w:w="0" w:type="auto"/>
        <w:tblLook w:val="04A0" w:firstRow="1" w:lastRow="0" w:firstColumn="1" w:lastColumn="0" w:noHBand="0" w:noVBand="1"/>
      </w:tblPr>
      <w:tblGrid>
        <w:gridCol w:w="4573"/>
        <w:gridCol w:w="4488"/>
      </w:tblGrid>
      <w:tr w:rsidR="00156A89" w:rsidRPr="00E01239" w14:paraId="26D28CAE" w14:textId="77777777" w:rsidTr="003A04BD">
        <w:trPr>
          <w:trHeight w:val="4436"/>
        </w:trPr>
        <w:tc>
          <w:tcPr>
            <w:tcW w:w="4585" w:type="dxa"/>
          </w:tcPr>
          <w:p w14:paraId="088B5305" w14:textId="77777777" w:rsidR="00156A89" w:rsidRPr="00E01239" w:rsidRDefault="00156A89" w:rsidP="003A04BD"/>
          <w:p w14:paraId="63FC8948" w14:textId="77777777" w:rsidR="00156A89" w:rsidRPr="00E01239" w:rsidRDefault="00156A89" w:rsidP="003A04BD">
            <w:r w:rsidRPr="00E01239">
              <w:rPr>
                <w:rFonts w:eastAsiaTheme="minorHAnsi"/>
                <w:noProof/>
              </w:rPr>
              <mc:AlternateContent>
                <mc:Choice Requires="wps">
                  <w:drawing>
                    <wp:anchor distT="0" distB="0" distL="114300" distR="114300" simplePos="0" relativeHeight="251658244" behindDoc="0" locked="0" layoutInCell="1" allowOverlap="1" wp14:anchorId="7F10BB86" wp14:editId="3FF6F353">
                      <wp:simplePos x="0" y="0"/>
                      <wp:positionH relativeFrom="margin">
                        <wp:posOffset>-15875</wp:posOffset>
                      </wp:positionH>
                      <wp:positionV relativeFrom="paragraph">
                        <wp:posOffset>45085</wp:posOffset>
                      </wp:positionV>
                      <wp:extent cx="190500" cy="147320"/>
                      <wp:effectExtent l="0" t="0" r="0"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9050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DDCD0" id="Rectangle 16" o:spid="_x0000_s1026" style="position:absolute;margin-left:-1.25pt;margin-top:3.55pt;width:15pt;height:11.6pt;flip:x y;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">
                      <w10:wrap anchorx="margin"/>
                    </v:rect>
                  </w:pict>
                </mc:Fallback>
              </mc:AlternateContent>
            </w:r>
            <w:r w:rsidRPr="00E01239">
              <w:t xml:space="preserve">       Le sous-projet engendre des impacts associés à la réinstallation involontaire (économique ou physique), l’acquisition de terrain ou la restriction d’accès ou d’usage</w:t>
            </w:r>
          </w:p>
          <w:p w14:paraId="6A2B7E46" w14:textId="77777777" w:rsidR="00156A89" w:rsidRPr="00E01239" w:rsidRDefault="00156A89" w:rsidP="003A04BD"/>
        </w:tc>
        <w:tc>
          <w:tcPr>
            <w:tcW w:w="4500" w:type="dxa"/>
          </w:tcPr>
          <w:p w14:paraId="21982B95" w14:textId="77777777" w:rsidR="00156A89" w:rsidRPr="00E01239" w:rsidRDefault="00156A89" w:rsidP="003A04BD"/>
          <w:p w14:paraId="65CCB909" w14:textId="77777777" w:rsidR="00156A89" w:rsidRPr="00E01239" w:rsidRDefault="00156A89" w:rsidP="003A04BD">
            <w:r w:rsidRPr="00E01239">
              <w:rPr>
                <w:rFonts w:eastAsiaTheme="minorHAnsi"/>
                <w:noProof/>
              </w:rPr>
              <mc:AlternateContent>
                <mc:Choice Requires="wps">
                  <w:drawing>
                    <wp:anchor distT="0" distB="0" distL="114300" distR="114300" simplePos="0" relativeHeight="251658245" behindDoc="0" locked="0" layoutInCell="1" allowOverlap="1" wp14:anchorId="7FE18380" wp14:editId="097EC93A">
                      <wp:simplePos x="0" y="0"/>
                      <wp:positionH relativeFrom="margin">
                        <wp:posOffset>17145</wp:posOffset>
                      </wp:positionH>
                      <wp:positionV relativeFrom="paragraph">
                        <wp:posOffset>16510</wp:posOffset>
                      </wp:positionV>
                      <wp:extent cx="190500" cy="147320"/>
                      <wp:effectExtent l="0" t="0" r="0"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9050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45663" id="Rectangle 17" o:spid="_x0000_s1026" style="position:absolute;margin-left:1.35pt;margin-top:1.3pt;width:15pt;height:11.6pt;flip:x 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">
                      <w10:wrap anchorx="margin"/>
                    </v:rect>
                  </w:pict>
                </mc:Fallback>
              </mc:AlternateContent>
            </w:r>
            <w:r w:rsidRPr="00E01239">
              <w:t xml:space="preserve">          Le sous-projet </w:t>
            </w:r>
            <w:r w:rsidRPr="00E01239">
              <w:rPr>
                <w:b/>
                <w:bCs/>
                <w:i/>
                <w:iCs/>
              </w:rPr>
              <w:t>n’engendre aucun</w:t>
            </w:r>
            <w:r w:rsidRPr="00E01239">
              <w:t xml:space="preserve"> impact associé à la réinstallation involontaire (économique ou physique), l’acquisition de terrain ou la restriction d’accès ou d’usage</w:t>
            </w:r>
          </w:p>
          <w:p w14:paraId="79E37A2A" w14:textId="77777777" w:rsidR="00156A89" w:rsidRPr="00E01239" w:rsidRDefault="00156A89" w:rsidP="003A04BD"/>
        </w:tc>
      </w:tr>
    </w:tbl>
    <w:p w14:paraId="766BA694" w14:textId="77777777" w:rsidR="00156A89" w:rsidRPr="00E01239" w:rsidRDefault="00156A89" w:rsidP="00156A89">
      <w:r w:rsidRPr="00E01239">
        <w:t xml:space="preserve">      </w:t>
      </w:r>
    </w:p>
    <w:p w14:paraId="1AE284E3" w14:textId="77777777" w:rsidR="00156A89" w:rsidRPr="00E01239" w:rsidRDefault="00156A89" w:rsidP="00156A89"/>
    <w:p w14:paraId="76383193" w14:textId="77777777" w:rsidR="00477A61" w:rsidRPr="00E01239" w:rsidRDefault="00477A61" w:rsidP="00477A61">
      <w:pPr>
        <w:tabs>
          <w:tab w:val="left" w:pos="1193"/>
        </w:tabs>
        <w:rPr>
          <w:rFonts w:asciiTheme="minorHAnsi" w:hAnsiTheme="minorHAnsi" w:cstheme="minorHAnsi"/>
          <w:sz w:val="22"/>
          <w:szCs w:val="22"/>
        </w:rPr>
      </w:pPr>
    </w:p>
    <w:p w14:paraId="64D2D4FA" w14:textId="77777777" w:rsidR="00477A61" w:rsidRPr="00E01239" w:rsidRDefault="00477A61" w:rsidP="00477A61">
      <w:pPr>
        <w:tabs>
          <w:tab w:val="left" w:pos="1193"/>
        </w:tabs>
        <w:rPr>
          <w:rFonts w:asciiTheme="minorHAnsi" w:hAnsiTheme="minorHAnsi" w:cstheme="minorHAnsi"/>
          <w:sz w:val="22"/>
          <w:szCs w:val="22"/>
        </w:rPr>
      </w:pPr>
    </w:p>
    <w:p w14:paraId="07416F56" w14:textId="77777777" w:rsidR="00477A61" w:rsidRPr="00E01239" w:rsidRDefault="00477A61" w:rsidP="00477A61">
      <w:pPr>
        <w:tabs>
          <w:tab w:val="left" w:pos="1193"/>
        </w:tabs>
        <w:rPr>
          <w:rFonts w:asciiTheme="minorHAnsi" w:hAnsiTheme="minorHAnsi" w:cstheme="minorHAnsi"/>
          <w:sz w:val="22"/>
          <w:szCs w:val="22"/>
        </w:rPr>
      </w:pPr>
    </w:p>
    <w:p w14:paraId="7458FB06" w14:textId="77777777" w:rsidR="00477A61" w:rsidRPr="00E01239" w:rsidRDefault="00477A61" w:rsidP="00477A61">
      <w:pPr>
        <w:tabs>
          <w:tab w:val="left" w:pos="1193"/>
        </w:tabs>
        <w:rPr>
          <w:rFonts w:asciiTheme="minorHAnsi" w:hAnsiTheme="minorHAnsi" w:cstheme="minorHAnsi"/>
          <w:sz w:val="22"/>
          <w:szCs w:val="22"/>
        </w:rPr>
      </w:pPr>
    </w:p>
    <w:p w14:paraId="14A30BA5" w14:textId="77777777" w:rsidR="00477A61" w:rsidRPr="00E01239" w:rsidRDefault="00477A61" w:rsidP="00477A61">
      <w:pPr>
        <w:tabs>
          <w:tab w:val="left" w:pos="1193"/>
        </w:tabs>
        <w:rPr>
          <w:rFonts w:asciiTheme="minorHAnsi" w:hAnsiTheme="minorHAnsi" w:cstheme="minorHAnsi"/>
          <w:sz w:val="22"/>
          <w:szCs w:val="22"/>
        </w:rPr>
      </w:pPr>
    </w:p>
    <w:p w14:paraId="4E027329" w14:textId="77777777" w:rsidR="00477A61" w:rsidRPr="00E01239" w:rsidRDefault="00477A61" w:rsidP="00477A61">
      <w:pPr>
        <w:tabs>
          <w:tab w:val="left" w:pos="1193"/>
        </w:tabs>
        <w:rPr>
          <w:rFonts w:asciiTheme="minorHAnsi" w:hAnsiTheme="minorHAnsi" w:cstheme="minorHAnsi"/>
          <w:sz w:val="22"/>
          <w:szCs w:val="22"/>
        </w:rPr>
      </w:pPr>
    </w:p>
    <w:p w14:paraId="4F08CAE7" w14:textId="77777777" w:rsidR="00477A61" w:rsidRPr="00E01239" w:rsidRDefault="00477A61" w:rsidP="00477A61">
      <w:pPr>
        <w:tabs>
          <w:tab w:val="left" w:pos="1193"/>
        </w:tabs>
        <w:rPr>
          <w:rFonts w:asciiTheme="minorHAnsi" w:hAnsiTheme="minorHAnsi" w:cstheme="minorHAnsi"/>
          <w:sz w:val="22"/>
          <w:szCs w:val="22"/>
        </w:rPr>
      </w:pPr>
    </w:p>
    <w:p w14:paraId="1F5CE60C" w14:textId="77777777" w:rsidR="00477A61" w:rsidRPr="00E01239" w:rsidRDefault="00477A61" w:rsidP="00477A61">
      <w:pPr>
        <w:tabs>
          <w:tab w:val="left" w:pos="1193"/>
        </w:tabs>
        <w:rPr>
          <w:rFonts w:asciiTheme="minorHAnsi" w:hAnsiTheme="minorHAnsi" w:cstheme="minorHAnsi"/>
          <w:sz w:val="22"/>
          <w:szCs w:val="22"/>
        </w:rPr>
      </w:pPr>
    </w:p>
    <w:p w14:paraId="49F223F0" w14:textId="77777777" w:rsidR="00477A61" w:rsidRPr="00E01239" w:rsidRDefault="00477A61" w:rsidP="00477A61">
      <w:pPr>
        <w:tabs>
          <w:tab w:val="left" w:pos="1193"/>
        </w:tabs>
        <w:rPr>
          <w:rFonts w:asciiTheme="minorHAnsi" w:hAnsiTheme="minorHAnsi" w:cstheme="minorHAnsi"/>
          <w:sz w:val="22"/>
          <w:szCs w:val="22"/>
        </w:rPr>
      </w:pPr>
    </w:p>
    <w:p w14:paraId="69599643" w14:textId="47B1F491" w:rsidR="00156A89" w:rsidRPr="00E01239" w:rsidRDefault="00156A89">
      <w:pPr>
        <w:rPr>
          <w:rFonts w:asciiTheme="minorHAnsi" w:hAnsiTheme="minorHAnsi" w:cstheme="minorHAnsi"/>
          <w:sz w:val="22"/>
          <w:szCs w:val="22"/>
        </w:rPr>
      </w:pPr>
      <w:r w:rsidRPr="00E01239">
        <w:rPr>
          <w:rFonts w:asciiTheme="minorHAnsi" w:hAnsiTheme="minorHAnsi" w:cstheme="minorHAnsi"/>
          <w:sz w:val="22"/>
          <w:szCs w:val="22"/>
        </w:rPr>
        <w:br w:type="page"/>
      </w:r>
    </w:p>
    <w:p w14:paraId="2CE66DA5" w14:textId="77777777" w:rsidR="00477A61" w:rsidRPr="00E01239" w:rsidRDefault="00477A61" w:rsidP="00477A61">
      <w:pPr>
        <w:tabs>
          <w:tab w:val="left" w:pos="1193"/>
        </w:tabs>
        <w:rPr>
          <w:rFonts w:asciiTheme="minorHAnsi" w:hAnsiTheme="minorHAnsi" w:cstheme="minorHAnsi"/>
          <w:sz w:val="22"/>
          <w:szCs w:val="22"/>
        </w:rPr>
      </w:pPr>
    </w:p>
    <w:p w14:paraId="1F091C99" w14:textId="77777777" w:rsidR="00477A61" w:rsidRPr="00E01239" w:rsidRDefault="00477A61" w:rsidP="00477A61">
      <w:pPr>
        <w:tabs>
          <w:tab w:val="left" w:pos="1193"/>
        </w:tabs>
        <w:rPr>
          <w:rFonts w:asciiTheme="minorHAnsi" w:hAnsiTheme="minorHAnsi" w:cstheme="minorHAnsi"/>
          <w:sz w:val="22"/>
          <w:szCs w:val="22"/>
        </w:rPr>
      </w:pPr>
    </w:p>
    <w:bookmarkEnd w:id="1429"/>
    <w:bookmarkEnd w:id="1430"/>
    <w:bookmarkEnd w:id="1431"/>
    <w:p w14:paraId="3B9AE243" w14:textId="77777777" w:rsidR="00477A61" w:rsidRPr="00E01239" w:rsidRDefault="00477A61" w:rsidP="00477A61">
      <w:pPr>
        <w:rPr>
          <w:rFonts w:asciiTheme="minorHAnsi" w:hAnsiTheme="minorHAnsi" w:cstheme="minorHAnsi"/>
          <w:sz w:val="22"/>
          <w:szCs w:val="22"/>
        </w:rPr>
      </w:pPr>
    </w:p>
    <w:p w14:paraId="3FE70586" w14:textId="77777777" w:rsidR="00477A61" w:rsidRPr="00E01239" w:rsidRDefault="00477A61" w:rsidP="00477A61">
      <w:pPr>
        <w:rPr>
          <w:rFonts w:asciiTheme="minorHAnsi" w:hAnsiTheme="minorHAnsi" w:cstheme="minorHAnsi"/>
          <w:sz w:val="22"/>
          <w:szCs w:val="22"/>
        </w:rPr>
      </w:pPr>
    </w:p>
    <w:p w14:paraId="1CCBAFB6" w14:textId="77777777" w:rsidR="00477A61" w:rsidRPr="00E01239" w:rsidRDefault="00477A61" w:rsidP="00477A61">
      <w:pPr>
        <w:tabs>
          <w:tab w:val="left" w:pos="4062"/>
        </w:tabs>
        <w:rPr>
          <w:rFonts w:asciiTheme="minorHAnsi" w:hAnsiTheme="minorHAnsi" w:cstheme="minorHAnsi"/>
          <w:sz w:val="22"/>
          <w:szCs w:val="22"/>
        </w:rPr>
      </w:pPr>
    </w:p>
    <w:p w14:paraId="4D209E47" w14:textId="0C9E55DB" w:rsidR="00477A61" w:rsidRPr="00E01239" w:rsidRDefault="00477A61" w:rsidP="00477A61">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48"/>
          <w:szCs w:val="48"/>
        </w:rPr>
      </w:pPr>
      <w:bookmarkStart w:id="1433" w:name="_Toc58573712"/>
      <w:bookmarkStart w:id="1434" w:name="_Toc58859468"/>
      <w:bookmarkStart w:id="1435" w:name="_Toc58926898"/>
      <w:bookmarkStart w:id="1436" w:name="_Toc58928960"/>
      <w:bookmarkStart w:id="1437" w:name="_Toc83301698"/>
      <w:bookmarkStart w:id="1438" w:name="_Toc86436645"/>
      <w:bookmarkStart w:id="1439" w:name="_Toc87466824"/>
      <w:bookmarkStart w:id="1440" w:name="_Toc87530530"/>
      <w:bookmarkStart w:id="1441" w:name="_Toc88771506"/>
      <w:bookmarkStart w:id="1442" w:name="_Toc88861271"/>
      <w:bookmarkStart w:id="1443" w:name="_Toc88861309"/>
      <w:bookmarkStart w:id="1444" w:name="_Toc88861488"/>
      <w:bookmarkStart w:id="1445" w:name="_Toc130714113"/>
      <w:bookmarkStart w:id="1446" w:name="_Toc130755167"/>
      <w:bookmarkStart w:id="1447" w:name="_Toc130857878"/>
      <w:bookmarkStart w:id="1448" w:name="_Toc130858015"/>
      <w:bookmarkStart w:id="1449" w:name="_Toc142378224"/>
      <w:bookmarkStart w:id="1450" w:name="_Toc142847794"/>
      <w:bookmarkStart w:id="1451" w:name="_Toc142853996"/>
      <w:bookmarkStart w:id="1452" w:name="_Toc142854048"/>
      <w:bookmarkStart w:id="1453" w:name="_Toc144654176"/>
      <w:bookmarkStart w:id="1454" w:name="_Toc39187654"/>
      <w:bookmarkStart w:id="1455" w:name="_Toc41162037"/>
      <w:bookmarkStart w:id="1456" w:name="_Toc41300932"/>
      <w:r w:rsidRPr="00E01239">
        <w:rPr>
          <w:rFonts w:asciiTheme="minorHAnsi" w:hAnsiTheme="minorHAnsi" w:cstheme="minorHAnsi"/>
          <w:caps/>
          <w:color w:val="5B9BD5"/>
          <w:sz w:val="48"/>
          <w:szCs w:val="48"/>
        </w:rPr>
        <w:t>ANNEXE</w:t>
      </w:r>
      <w:r w:rsidR="00C338E3" w:rsidRPr="00E01239">
        <w:rPr>
          <w:rFonts w:asciiTheme="minorHAnsi" w:hAnsiTheme="minorHAnsi" w:cstheme="minorHAnsi"/>
          <w:caps/>
          <w:color w:val="5B9BD5"/>
          <w:sz w:val="48"/>
          <w:szCs w:val="48"/>
        </w:rPr>
        <w:t>4</w:t>
      </w:r>
      <w:r w:rsidRPr="00E01239">
        <w:rPr>
          <w:rFonts w:asciiTheme="minorHAnsi" w:hAnsiTheme="minorHAnsi" w:cstheme="minorHAnsi"/>
          <w:caps/>
          <w:color w:val="5B9BD5"/>
          <w:sz w:val="48"/>
          <w:szCs w:val="48"/>
        </w:rPr>
        <w:t> : FORMULAIRE DE SELECTION ENVIRONNEMENTALE ET SOCIALE</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E01239">
        <w:rPr>
          <w:rFonts w:asciiTheme="minorHAnsi" w:hAnsiTheme="minorHAnsi" w:cstheme="minorHAnsi"/>
          <w:caps/>
          <w:color w:val="5B9BD5"/>
          <w:sz w:val="48"/>
          <w:szCs w:val="48"/>
        </w:rPr>
        <w:t xml:space="preserve"> </w:t>
      </w:r>
      <w:bookmarkEnd w:id="1454"/>
      <w:bookmarkEnd w:id="1455"/>
      <w:bookmarkEnd w:id="1456"/>
    </w:p>
    <w:p w14:paraId="7764D65E" w14:textId="77777777" w:rsidR="00477A61" w:rsidRPr="00E01239" w:rsidRDefault="00477A61" w:rsidP="00477A61">
      <w:pPr>
        <w:tabs>
          <w:tab w:val="left" w:pos="4062"/>
        </w:tabs>
        <w:rPr>
          <w:rFonts w:asciiTheme="minorHAnsi" w:hAnsiTheme="minorHAnsi" w:cstheme="minorHAnsi"/>
          <w:sz w:val="22"/>
          <w:szCs w:val="22"/>
        </w:rPr>
      </w:pPr>
    </w:p>
    <w:p w14:paraId="7280C669" w14:textId="77777777" w:rsidR="00477A61" w:rsidRPr="00E01239" w:rsidRDefault="00477A61" w:rsidP="00477A61">
      <w:pPr>
        <w:tabs>
          <w:tab w:val="left" w:pos="4062"/>
        </w:tabs>
        <w:rPr>
          <w:rFonts w:asciiTheme="minorHAnsi" w:hAnsiTheme="minorHAnsi" w:cstheme="minorHAnsi"/>
          <w:sz w:val="22"/>
          <w:szCs w:val="22"/>
        </w:rPr>
      </w:pPr>
    </w:p>
    <w:p w14:paraId="5148AA7F" w14:textId="77777777" w:rsidR="00477A61" w:rsidRPr="00E01239" w:rsidRDefault="00477A61" w:rsidP="00477A61">
      <w:pPr>
        <w:rPr>
          <w:rFonts w:asciiTheme="minorHAnsi" w:hAnsiTheme="minorHAnsi" w:cstheme="minorHAnsi"/>
          <w:sz w:val="22"/>
          <w:szCs w:val="22"/>
        </w:rPr>
      </w:pPr>
      <w:r w:rsidRPr="00E01239">
        <w:rPr>
          <w:rFonts w:asciiTheme="minorHAnsi" w:hAnsiTheme="minorHAnsi" w:cstheme="minorHAnsi"/>
          <w:sz w:val="22"/>
          <w:szCs w:val="22"/>
        </w:rPr>
        <w:br w:type="page"/>
      </w:r>
    </w:p>
    <w:p w14:paraId="6BC1A9D1" w14:textId="77777777" w:rsidR="00477A61" w:rsidRPr="00E01239" w:rsidRDefault="00477A61" w:rsidP="00477A61">
      <w:pPr>
        <w:tabs>
          <w:tab w:val="left" w:pos="4062"/>
        </w:tabs>
        <w:rPr>
          <w:rFonts w:asciiTheme="minorHAnsi" w:hAnsiTheme="minorHAnsi" w:cstheme="minorHAnsi"/>
          <w:sz w:val="22"/>
          <w:szCs w:val="22"/>
        </w:rPr>
        <w:sectPr w:rsidR="00477A61" w:rsidRPr="00E01239" w:rsidSect="00A304E9">
          <w:pgSz w:w="11907" w:h="16840" w:code="9"/>
          <w:pgMar w:top="1418" w:right="1418" w:bottom="1418" w:left="1418" w:header="709" w:footer="709" w:gutter="0"/>
          <w:cols w:space="708"/>
          <w:docGrid w:linePitch="360"/>
        </w:sectPr>
      </w:pPr>
    </w:p>
    <w:p w14:paraId="7F9CB567" w14:textId="77777777" w:rsidR="00477A61" w:rsidRPr="00E01239" w:rsidRDefault="00477A61" w:rsidP="00477A61">
      <w:pPr>
        <w:jc w:val="center"/>
        <w:rPr>
          <w:rFonts w:asciiTheme="minorHAnsi" w:hAnsiTheme="minorHAnsi" w:cstheme="minorHAnsi"/>
          <w:b/>
          <w:bCs/>
          <w:sz w:val="22"/>
          <w:szCs w:val="22"/>
        </w:rPr>
      </w:pPr>
      <w:r w:rsidRPr="00E01239">
        <w:rPr>
          <w:rFonts w:asciiTheme="minorHAnsi" w:hAnsiTheme="minorHAnsi" w:cstheme="minorHAnsi"/>
          <w:b/>
          <w:bCs/>
          <w:sz w:val="22"/>
          <w:szCs w:val="22"/>
        </w:rPr>
        <w:lastRenderedPageBreak/>
        <w:t>FORMULAIRE DE SELECTION ENVIRONNEMENTALE ET SOCIALE</w:t>
      </w:r>
    </w:p>
    <w:p w14:paraId="39E821A3" w14:textId="77777777" w:rsidR="00477A61" w:rsidRPr="00E01239" w:rsidRDefault="00477A61" w:rsidP="00477A61">
      <w:pPr>
        <w:rPr>
          <w:rFonts w:asciiTheme="minorHAnsi" w:hAnsiTheme="minorHAnsi" w:cstheme="minorHAnsi"/>
          <w:sz w:val="22"/>
          <w:szCs w:val="22"/>
        </w:rPr>
      </w:pPr>
    </w:p>
    <w:p w14:paraId="195F2F60" w14:textId="77777777" w:rsidR="00477A61" w:rsidRPr="00E01239" w:rsidRDefault="00477A61" w:rsidP="00477A61">
      <w:pPr>
        <w:pBdr>
          <w:top w:val="nil"/>
          <w:left w:val="nil"/>
          <w:bottom w:val="nil"/>
          <w:right w:val="nil"/>
          <w:between w:val="nil"/>
          <w:bar w:val="nil"/>
        </w:pBdr>
        <w:spacing w:after="240"/>
        <w:rPr>
          <w:rFonts w:asciiTheme="minorHAnsi" w:eastAsia="Cambria" w:hAnsiTheme="minorHAnsi" w:cstheme="minorHAnsi"/>
          <w:i/>
          <w:iCs/>
          <w:sz w:val="22"/>
          <w:szCs w:val="22"/>
          <w:u w:color="000000"/>
          <w:bdr w:val="nil"/>
        </w:rPr>
      </w:pPr>
      <w:r w:rsidRPr="00E01239">
        <w:rPr>
          <w:rFonts w:asciiTheme="minorHAnsi" w:eastAsia="Cambria" w:hAnsiTheme="minorHAnsi" w:cstheme="minorHAnsi"/>
          <w:i/>
          <w:iCs/>
          <w:sz w:val="22"/>
          <w:szCs w:val="22"/>
          <w:u w:color="000000"/>
          <w:bdr w:val="nil"/>
        </w:rPr>
        <w:t>Le présent formulaire de sélection a été conçu pour aider dans la sélection initiale des projets devant être exécutés sur le terrain.</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741"/>
        <w:gridCol w:w="2788"/>
        <w:gridCol w:w="2788"/>
      </w:tblGrid>
      <w:tr w:rsidR="00477A61" w:rsidRPr="00E01239" w14:paraId="619F332F" w14:textId="77777777" w:rsidTr="00A304E9">
        <w:trPr>
          <w:jc w:val="center"/>
        </w:trPr>
        <w:tc>
          <w:tcPr>
            <w:tcW w:w="2740" w:type="dxa"/>
          </w:tcPr>
          <w:p w14:paraId="73A94273"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sz w:val="22"/>
                <w:szCs w:val="22"/>
                <w:u w:color="000000"/>
                <w:bdr w:val="nil"/>
              </w:rPr>
            </w:pPr>
            <w:r w:rsidRPr="00E01239">
              <w:rPr>
                <w:rFonts w:asciiTheme="minorHAnsi" w:eastAsia="Cambria" w:hAnsiTheme="minorHAnsi" w:cstheme="minorHAnsi"/>
                <w:b/>
                <w:bCs/>
                <w:sz w:val="22"/>
                <w:szCs w:val="22"/>
                <w:u w:color="000000"/>
                <w:bdr w:val="nil"/>
              </w:rPr>
              <w:t>N° d’ordre</w:t>
            </w:r>
            <w:r w:rsidRPr="00E01239">
              <w:rPr>
                <w:rFonts w:asciiTheme="minorHAnsi" w:eastAsia="Cambria" w:hAnsiTheme="minorHAnsi" w:cstheme="minorHAnsi"/>
                <w:sz w:val="22"/>
                <w:szCs w:val="22"/>
                <w:u w:color="000000"/>
                <w:bdr w:val="nil"/>
              </w:rPr>
              <w:t> :</w:t>
            </w:r>
          </w:p>
          <w:p w14:paraId="3F67280B"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sz w:val="22"/>
                <w:szCs w:val="22"/>
                <w:u w:color="000000"/>
                <w:bdr w:val="nil"/>
              </w:rPr>
            </w:pPr>
          </w:p>
        </w:tc>
        <w:tc>
          <w:tcPr>
            <w:tcW w:w="2741" w:type="dxa"/>
          </w:tcPr>
          <w:p w14:paraId="737807FB"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sz w:val="22"/>
                <w:szCs w:val="22"/>
                <w:u w:color="000000"/>
                <w:bdr w:val="nil"/>
              </w:rPr>
            </w:pPr>
          </w:p>
        </w:tc>
        <w:tc>
          <w:tcPr>
            <w:tcW w:w="2788" w:type="dxa"/>
          </w:tcPr>
          <w:p w14:paraId="5ED72E27"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
                <w:bCs/>
                <w:sz w:val="22"/>
                <w:szCs w:val="22"/>
                <w:u w:color="000000"/>
                <w:bdr w:val="nil"/>
              </w:rPr>
              <w:t>Date de remplissage</w:t>
            </w:r>
          </w:p>
        </w:tc>
        <w:tc>
          <w:tcPr>
            <w:tcW w:w="2788" w:type="dxa"/>
          </w:tcPr>
          <w:p w14:paraId="001285AF"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b/>
                <w:bCs/>
                <w:sz w:val="22"/>
                <w:szCs w:val="22"/>
                <w:u w:color="000000"/>
                <w:bdr w:val="nil"/>
              </w:rPr>
            </w:pPr>
          </w:p>
        </w:tc>
      </w:tr>
    </w:tbl>
    <w:p w14:paraId="337B7D26" w14:textId="77777777" w:rsidR="00477A61" w:rsidRPr="00E01239" w:rsidRDefault="00477A61" w:rsidP="00477A61">
      <w:pPr>
        <w:pBdr>
          <w:top w:val="nil"/>
          <w:left w:val="nil"/>
          <w:bottom w:val="nil"/>
          <w:right w:val="nil"/>
          <w:between w:val="nil"/>
          <w:bar w:val="nil"/>
        </w:pBdr>
        <w:rPr>
          <w:rFonts w:asciiTheme="minorHAnsi" w:eastAsia="Cambria" w:hAnsiTheme="minorHAnsi" w:cstheme="minorHAnsi"/>
          <w:i/>
          <w:iCs/>
          <w:sz w:val="22"/>
          <w:szCs w:val="22"/>
          <w:u w:color="000000"/>
          <w:bdr w:val="nil"/>
        </w:rPr>
      </w:pPr>
    </w:p>
    <w:p w14:paraId="237CF193" w14:textId="77777777" w:rsidR="00477A61" w:rsidRPr="00E01239" w:rsidRDefault="00477A61" w:rsidP="00477A61">
      <w:pPr>
        <w:pBdr>
          <w:top w:val="nil"/>
          <w:left w:val="nil"/>
          <w:bottom w:val="nil"/>
          <w:right w:val="nil"/>
          <w:between w:val="nil"/>
          <w:bar w:val="nil"/>
        </w:pBdr>
        <w:rPr>
          <w:rFonts w:asciiTheme="minorHAnsi" w:eastAsia="Cambria" w:hAnsiTheme="minorHAnsi" w:cstheme="minorHAnsi"/>
          <w:sz w:val="22"/>
          <w:szCs w:val="22"/>
          <w:u w:color="000000"/>
          <w:bdr w:val="nil"/>
        </w:rPr>
      </w:pPr>
    </w:p>
    <w:tbl>
      <w:tblPr>
        <w:tblW w:w="11136" w:type="dxa"/>
        <w:jc w:val="center"/>
        <w:tblLayout w:type="fixed"/>
        <w:tblCellMar>
          <w:left w:w="0" w:type="dxa"/>
          <w:right w:w="0" w:type="dxa"/>
        </w:tblCellMar>
        <w:tblLook w:val="0000" w:firstRow="0" w:lastRow="0" w:firstColumn="0" w:lastColumn="0" w:noHBand="0" w:noVBand="0"/>
      </w:tblPr>
      <w:tblGrid>
        <w:gridCol w:w="3251"/>
        <w:gridCol w:w="2669"/>
        <w:gridCol w:w="1548"/>
        <w:gridCol w:w="3668"/>
      </w:tblGrid>
      <w:tr w:rsidR="00477A61" w:rsidRPr="00E01239" w14:paraId="0A627DE9" w14:textId="77777777" w:rsidTr="00A304E9">
        <w:trPr>
          <w:trHeight w:val="425"/>
          <w:jc w:val="center"/>
        </w:trPr>
        <w:tc>
          <w:tcPr>
            <w:tcW w:w="11136" w:type="dxa"/>
            <w:gridSpan w:val="4"/>
            <w:tcBorders>
              <w:top w:val="single" w:sz="8" w:space="0" w:color="auto"/>
              <w:left w:val="single" w:sz="8" w:space="0" w:color="auto"/>
              <w:bottom w:val="single" w:sz="4" w:space="0" w:color="auto"/>
              <w:right w:val="single" w:sz="8" w:space="0" w:color="auto"/>
            </w:tcBorders>
            <w:shd w:val="clear" w:color="auto" w:fill="AEAAAA"/>
            <w:vAlign w:val="bottom"/>
          </w:tcPr>
          <w:p w14:paraId="0B4C54EB" w14:textId="77777777" w:rsidR="00477A61" w:rsidRPr="00E01239" w:rsidRDefault="00477A61" w:rsidP="00A304E9">
            <w:pPr>
              <w:spacing w:line="0" w:lineRule="atLeast"/>
              <w:ind w:left="220"/>
              <w:jc w:val="center"/>
              <w:rPr>
                <w:rFonts w:asciiTheme="minorHAnsi" w:eastAsia="Arial" w:hAnsiTheme="minorHAnsi" w:cstheme="minorHAnsi"/>
                <w:b/>
                <w:i/>
                <w:sz w:val="22"/>
                <w:szCs w:val="22"/>
              </w:rPr>
            </w:pPr>
            <w:r w:rsidRPr="00E01239">
              <w:rPr>
                <w:rFonts w:asciiTheme="minorHAnsi" w:eastAsia="Arial" w:hAnsiTheme="minorHAnsi" w:cstheme="minorHAnsi"/>
                <w:b/>
                <w:i/>
                <w:sz w:val="22"/>
                <w:szCs w:val="22"/>
              </w:rPr>
              <w:t>IDENTIFICATION DU SITE</w:t>
            </w:r>
          </w:p>
        </w:tc>
      </w:tr>
      <w:tr w:rsidR="00477A61" w:rsidRPr="00E01239" w14:paraId="69394BDF" w14:textId="77777777" w:rsidTr="00A304E9">
        <w:trPr>
          <w:trHeight w:val="500"/>
          <w:jc w:val="center"/>
        </w:trPr>
        <w:tc>
          <w:tcPr>
            <w:tcW w:w="3251" w:type="dxa"/>
            <w:tcBorders>
              <w:top w:val="single" w:sz="4" w:space="0" w:color="auto"/>
              <w:left w:val="single" w:sz="4" w:space="0" w:color="auto"/>
              <w:bottom w:val="single" w:sz="4" w:space="0" w:color="auto"/>
              <w:right w:val="single" w:sz="8" w:space="0" w:color="auto"/>
            </w:tcBorders>
            <w:shd w:val="clear" w:color="auto" w:fill="auto"/>
            <w:vAlign w:val="bottom"/>
          </w:tcPr>
          <w:p w14:paraId="7F851281" w14:textId="77777777" w:rsidR="00477A61" w:rsidRPr="00E01239" w:rsidRDefault="00477A61" w:rsidP="00A304E9">
            <w:pPr>
              <w:spacing w:line="0" w:lineRule="atLeast"/>
              <w:ind w:left="120"/>
              <w:rPr>
                <w:rFonts w:asciiTheme="minorHAnsi" w:eastAsia="Arial" w:hAnsiTheme="minorHAnsi" w:cstheme="minorHAnsi"/>
                <w:b/>
                <w:bCs/>
                <w:i/>
                <w:sz w:val="22"/>
                <w:szCs w:val="22"/>
              </w:rPr>
            </w:pPr>
            <w:r w:rsidRPr="00E01239">
              <w:rPr>
                <w:rFonts w:asciiTheme="minorHAnsi" w:eastAsia="Arial" w:hAnsiTheme="minorHAnsi" w:cstheme="minorHAnsi"/>
                <w:b/>
                <w:bCs/>
                <w:i/>
                <w:sz w:val="22"/>
                <w:szCs w:val="22"/>
              </w:rPr>
              <w:t>Site (Quartier ou Village)</w:t>
            </w:r>
          </w:p>
        </w:tc>
        <w:tc>
          <w:tcPr>
            <w:tcW w:w="2669" w:type="dxa"/>
            <w:tcBorders>
              <w:top w:val="single" w:sz="4" w:space="0" w:color="auto"/>
              <w:bottom w:val="single" w:sz="4" w:space="0" w:color="auto"/>
              <w:right w:val="single" w:sz="8" w:space="0" w:color="auto"/>
            </w:tcBorders>
            <w:shd w:val="clear" w:color="auto" w:fill="auto"/>
            <w:vAlign w:val="bottom"/>
          </w:tcPr>
          <w:p w14:paraId="2F23EE47" w14:textId="77777777" w:rsidR="00477A61" w:rsidRPr="00E01239" w:rsidRDefault="00477A61" w:rsidP="00A304E9">
            <w:pPr>
              <w:spacing w:line="0" w:lineRule="atLeast"/>
              <w:jc w:val="center"/>
              <w:rPr>
                <w:rFonts w:asciiTheme="minorHAnsi" w:hAnsiTheme="minorHAnsi" w:cstheme="minorHAnsi"/>
                <w:b/>
                <w:bCs/>
                <w:sz w:val="22"/>
                <w:szCs w:val="22"/>
              </w:rPr>
            </w:pPr>
          </w:p>
        </w:tc>
        <w:tc>
          <w:tcPr>
            <w:tcW w:w="1548" w:type="dxa"/>
            <w:tcBorders>
              <w:top w:val="single" w:sz="4" w:space="0" w:color="auto"/>
              <w:bottom w:val="single" w:sz="4" w:space="0" w:color="auto"/>
              <w:right w:val="single" w:sz="8" w:space="0" w:color="auto"/>
            </w:tcBorders>
            <w:shd w:val="clear" w:color="auto" w:fill="auto"/>
            <w:vAlign w:val="bottom"/>
          </w:tcPr>
          <w:p w14:paraId="1078E6BF" w14:textId="77777777" w:rsidR="00477A61" w:rsidRPr="00E01239" w:rsidRDefault="00477A61" w:rsidP="00A304E9">
            <w:pPr>
              <w:spacing w:line="0" w:lineRule="atLeast"/>
              <w:ind w:left="80"/>
              <w:rPr>
                <w:rFonts w:asciiTheme="minorHAnsi" w:eastAsia="Arial" w:hAnsiTheme="minorHAnsi" w:cstheme="minorHAnsi"/>
                <w:i/>
                <w:sz w:val="22"/>
                <w:szCs w:val="22"/>
              </w:rPr>
            </w:pPr>
            <w:r w:rsidRPr="00E01239">
              <w:rPr>
                <w:rFonts w:asciiTheme="minorHAnsi" w:eastAsia="Arial" w:hAnsiTheme="minorHAnsi" w:cstheme="minorHAnsi"/>
                <w:b/>
                <w:bCs/>
                <w:i/>
                <w:sz w:val="22"/>
                <w:szCs w:val="22"/>
              </w:rPr>
              <w:t>Commune</w:t>
            </w:r>
            <w:r w:rsidRPr="00E01239">
              <w:rPr>
                <w:rFonts w:asciiTheme="minorHAnsi" w:eastAsia="Arial" w:hAnsiTheme="minorHAnsi" w:cstheme="minorHAnsi"/>
                <w:i/>
                <w:sz w:val="22"/>
                <w:szCs w:val="22"/>
              </w:rPr>
              <w:t xml:space="preserve"> : </w:t>
            </w:r>
          </w:p>
        </w:tc>
        <w:tc>
          <w:tcPr>
            <w:tcW w:w="3668" w:type="dxa"/>
            <w:tcBorders>
              <w:top w:val="single" w:sz="4" w:space="0" w:color="auto"/>
              <w:bottom w:val="single" w:sz="4" w:space="0" w:color="auto"/>
              <w:right w:val="single" w:sz="4" w:space="0" w:color="auto"/>
            </w:tcBorders>
            <w:shd w:val="clear" w:color="auto" w:fill="auto"/>
            <w:vAlign w:val="bottom"/>
          </w:tcPr>
          <w:p w14:paraId="0938F5C5" w14:textId="77777777" w:rsidR="00477A61" w:rsidRPr="00E01239" w:rsidRDefault="00477A61" w:rsidP="00A304E9">
            <w:pPr>
              <w:spacing w:line="0" w:lineRule="atLeast"/>
              <w:jc w:val="center"/>
              <w:rPr>
                <w:rFonts w:asciiTheme="minorHAnsi" w:hAnsiTheme="minorHAnsi" w:cstheme="minorHAnsi"/>
                <w:b/>
                <w:bCs/>
                <w:iCs/>
                <w:sz w:val="22"/>
                <w:szCs w:val="22"/>
              </w:rPr>
            </w:pPr>
          </w:p>
        </w:tc>
      </w:tr>
      <w:tr w:rsidR="00477A61" w:rsidRPr="00E01239" w14:paraId="5B82F8EB" w14:textId="77777777" w:rsidTr="00A304E9">
        <w:trPr>
          <w:trHeight w:val="500"/>
          <w:jc w:val="center"/>
        </w:trPr>
        <w:tc>
          <w:tcPr>
            <w:tcW w:w="3251" w:type="dxa"/>
            <w:tcBorders>
              <w:left w:val="single" w:sz="8" w:space="0" w:color="auto"/>
              <w:bottom w:val="single" w:sz="4" w:space="0" w:color="auto"/>
              <w:right w:val="single" w:sz="8" w:space="0" w:color="auto"/>
            </w:tcBorders>
            <w:shd w:val="clear" w:color="auto" w:fill="auto"/>
            <w:vAlign w:val="bottom"/>
          </w:tcPr>
          <w:p w14:paraId="5620AAE3" w14:textId="77777777" w:rsidR="00477A61" w:rsidRPr="00E01239" w:rsidRDefault="00477A61" w:rsidP="00A304E9">
            <w:pPr>
              <w:spacing w:line="0" w:lineRule="atLeast"/>
              <w:ind w:left="120"/>
              <w:rPr>
                <w:rFonts w:asciiTheme="minorHAnsi" w:eastAsia="Arial" w:hAnsiTheme="minorHAnsi" w:cstheme="minorHAnsi"/>
                <w:b/>
                <w:bCs/>
                <w:i/>
                <w:sz w:val="22"/>
                <w:szCs w:val="22"/>
              </w:rPr>
            </w:pPr>
            <w:r w:rsidRPr="00E01239">
              <w:rPr>
                <w:rFonts w:asciiTheme="minorHAnsi" w:eastAsia="Arial" w:hAnsiTheme="minorHAnsi" w:cstheme="minorHAnsi"/>
                <w:b/>
                <w:bCs/>
                <w:i/>
                <w:sz w:val="22"/>
                <w:szCs w:val="22"/>
              </w:rPr>
              <w:t>Région</w:t>
            </w:r>
          </w:p>
        </w:tc>
        <w:tc>
          <w:tcPr>
            <w:tcW w:w="2669" w:type="dxa"/>
            <w:tcBorders>
              <w:bottom w:val="single" w:sz="4" w:space="0" w:color="auto"/>
              <w:right w:val="single" w:sz="8" w:space="0" w:color="auto"/>
            </w:tcBorders>
            <w:shd w:val="clear" w:color="auto" w:fill="auto"/>
            <w:vAlign w:val="bottom"/>
          </w:tcPr>
          <w:p w14:paraId="3E48B07D" w14:textId="77777777" w:rsidR="00477A61" w:rsidRPr="00E01239" w:rsidRDefault="00477A61" w:rsidP="00A304E9">
            <w:pPr>
              <w:spacing w:line="0" w:lineRule="atLeast"/>
              <w:jc w:val="center"/>
              <w:rPr>
                <w:rFonts w:asciiTheme="minorHAnsi" w:hAnsiTheme="minorHAnsi" w:cstheme="minorHAnsi"/>
                <w:sz w:val="22"/>
                <w:szCs w:val="22"/>
              </w:rPr>
            </w:pPr>
          </w:p>
        </w:tc>
        <w:tc>
          <w:tcPr>
            <w:tcW w:w="1548" w:type="dxa"/>
            <w:tcBorders>
              <w:bottom w:val="single" w:sz="4" w:space="0" w:color="auto"/>
              <w:right w:val="single" w:sz="8" w:space="0" w:color="auto"/>
            </w:tcBorders>
            <w:shd w:val="clear" w:color="auto" w:fill="auto"/>
            <w:vAlign w:val="bottom"/>
          </w:tcPr>
          <w:p w14:paraId="05A78614" w14:textId="77777777" w:rsidR="00477A61" w:rsidRPr="00E01239" w:rsidRDefault="00477A61" w:rsidP="00A304E9">
            <w:pPr>
              <w:spacing w:line="0" w:lineRule="atLeast"/>
              <w:ind w:left="80"/>
              <w:rPr>
                <w:rFonts w:asciiTheme="minorHAnsi" w:eastAsia="Arial" w:hAnsiTheme="minorHAnsi" w:cstheme="minorHAnsi"/>
                <w:b/>
                <w:bCs/>
                <w:i/>
                <w:sz w:val="22"/>
                <w:szCs w:val="22"/>
              </w:rPr>
            </w:pPr>
            <w:r w:rsidRPr="00E01239">
              <w:rPr>
                <w:rFonts w:asciiTheme="minorHAnsi" w:eastAsia="Arial" w:hAnsiTheme="minorHAnsi" w:cstheme="minorHAnsi"/>
                <w:b/>
                <w:bCs/>
                <w:i/>
                <w:sz w:val="22"/>
                <w:szCs w:val="22"/>
              </w:rPr>
              <w:t>Département</w:t>
            </w:r>
          </w:p>
        </w:tc>
        <w:tc>
          <w:tcPr>
            <w:tcW w:w="3668" w:type="dxa"/>
            <w:tcBorders>
              <w:bottom w:val="single" w:sz="4" w:space="0" w:color="auto"/>
              <w:right w:val="single" w:sz="8" w:space="0" w:color="auto"/>
            </w:tcBorders>
            <w:shd w:val="clear" w:color="auto" w:fill="auto"/>
            <w:vAlign w:val="bottom"/>
          </w:tcPr>
          <w:p w14:paraId="06CF5881" w14:textId="77777777" w:rsidR="00477A61" w:rsidRPr="00E01239" w:rsidRDefault="00477A61" w:rsidP="00A304E9">
            <w:pPr>
              <w:spacing w:line="0" w:lineRule="atLeast"/>
              <w:jc w:val="center"/>
              <w:rPr>
                <w:rFonts w:asciiTheme="minorHAnsi" w:hAnsiTheme="minorHAnsi" w:cstheme="minorHAnsi"/>
                <w:b/>
                <w:bCs/>
                <w:sz w:val="22"/>
                <w:szCs w:val="22"/>
              </w:rPr>
            </w:pPr>
          </w:p>
        </w:tc>
      </w:tr>
      <w:tr w:rsidR="00477A61" w:rsidRPr="00E01239" w14:paraId="3F09853B" w14:textId="77777777" w:rsidTr="00A304E9">
        <w:trPr>
          <w:trHeight w:val="248"/>
          <w:jc w:val="center"/>
        </w:trPr>
        <w:tc>
          <w:tcPr>
            <w:tcW w:w="3251" w:type="dxa"/>
            <w:tcBorders>
              <w:top w:val="single" w:sz="4" w:space="0" w:color="auto"/>
              <w:left w:val="single" w:sz="8" w:space="0" w:color="auto"/>
              <w:bottom w:val="single" w:sz="4" w:space="0" w:color="auto"/>
              <w:right w:val="single" w:sz="8" w:space="0" w:color="auto"/>
            </w:tcBorders>
            <w:shd w:val="clear" w:color="auto" w:fill="auto"/>
            <w:vAlign w:val="bottom"/>
          </w:tcPr>
          <w:p w14:paraId="4A944815" w14:textId="77777777" w:rsidR="00477A61" w:rsidRPr="00E01239" w:rsidRDefault="00477A61" w:rsidP="00A304E9">
            <w:pPr>
              <w:spacing w:line="0" w:lineRule="atLeast"/>
              <w:rPr>
                <w:rFonts w:asciiTheme="minorHAnsi" w:eastAsia="Arial" w:hAnsiTheme="minorHAnsi" w:cstheme="minorHAnsi"/>
                <w:b/>
                <w:bCs/>
                <w:i/>
                <w:sz w:val="22"/>
                <w:szCs w:val="22"/>
              </w:rPr>
            </w:pPr>
          </w:p>
          <w:p w14:paraId="359E1902" w14:textId="77777777" w:rsidR="00477A61" w:rsidRPr="00E01239" w:rsidRDefault="00477A61" w:rsidP="00A304E9">
            <w:pPr>
              <w:spacing w:line="0" w:lineRule="atLeast"/>
              <w:rPr>
                <w:rFonts w:asciiTheme="minorHAnsi" w:eastAsia="Arial" w:hAnsiTheme="minorHAnsi" w:cstheme="minorHAnsi"/>
                <w:b/>
                <w:bCs/>
                <w:i/>
                <w:sz w:val="22"/>
                <w:szCs w:val="22"/>
              </w:rPr>
            </w:pPr>
            <w:r w:rsidRPr="00E01239">
              <w:rPr>
                <w:rFonts w:asciiTheme="minorHAnsi" w:eastAsia="Arial" w:hAnsiTheme="minorHAnsi" w:cstheme="minorHAnsi"/>
                <w:b/>
                <w:bCs/>
                <w:i/>
                <w:sz w:val="22"/>
                <w:szCs w:val="22"/>
              </w:rPr>
              <w:t>Coordonnées Géographiques</w:t>
            </w:r>
          </w:p>
          <w:p w14:paraId="0D32313B" w14:textId="77777777" w:rsidR="00477A61" w:rsidRPr="00E01239" w:rsidRDefault="00477A61" w:rsidP="00A304E9">
            <w:pPr>
              <w:spacing w:line="0" w:lineRule="atLeast"/>
              <w:rPr>
                <w:rFonts w:asciiTheme="minorHAnsi" w:hAnsiTheme="minorHAnsi" w:cstheme="minorHAnsi"/>
                <w:sz w:val="22"/>
                <w:szCs w:val="22"/>
              </w:rPr>
            </w:pPr>
          </w:p>
        </w:tc>
        <w:tc>
          <w:tcPr>
            <w:tcW w:w="4217" w:type="dxa"/>
            <w:gridSpan w:val="2"/>
            <w:tcBorders>
              <w:top w:val="single" w:sz="4" w:space="0" w:color="auto"/>
              <w:bottom w:val="single" w:sz="4" w:space="0" w:color="auto"/>
              <w:right w:val="single" w:sz="8" w:space="0" w:color="auto"/>
            </w:tcBorders>
            <w:shd w:val="clear" w:color="auto" w:fill="auto"/>
            <w:vAlign w:val="bottom"/>
          </w:tcPr>
          <w:p w14:paraId="59974D31" w14:textId="77777777" w:rsidR="00477A61" w:rsidRPr="00E01239" w:rsidRDefault="00477A61" w:rsidP="00A304E9">
            <w:pPr>
              <w:spacing w:line="0" w:lineRule="atLeast"/>
              <w:rPr>
                <w:rFonts w:asciiTheme="minorHAnsi" w:hAnsiTheme="minorHAnsi" w:cstheme="minorHAnsi"/>
                <w:b/>
                <w:bCs/>
                <w:sz w:val="22"/>
                <w:szCs w:val="22"/>
              </w:rPr>
            </w:pPr>
            <w:r w:rsidRPr="00E01239">
              <w:rPr>
                <w:rFonts w:asciiTheme="minorHAnsi" w:hAnsiTheme="minorHAnsi" w:cstheme="minorHAnsi"/>
                <w:b/>
                <w:bCs/>
                <w:sz w:val="22"/>
                <w:szCs w:val="22"/>
              </w:rPr>
              <w:t>X :</w:t>
            </w:r>
          </w:p>
          <w:p w14:paraId="1C7949D0" w14:textId="77777777" w:rsidR="00477A61" w:rsidRPr="00E01239" w:rsidRDefault="00477A61" w:rsidP="00A304E9">
            <w:pPr>
              <w:spacing w:line="0" w:lineRule="atLeast"/>
              <w:rPr>
                <w:rFonts w:asciiTheme="minorHAnsi" w:hAnsiTheme="minorHAnsi" w:cstheme="minorHAnsi"/>
                <w:sz w:val="22"/>
                <w:szCs w:val="22"/>
              </w:rPr>
            </w:pPr>
          </w:p>
        </w:tc>
        <w:tc>
          <w:tcPr>
            <w:tcW w:w="3668" w:type="dxa"/>
            <w:tcBorders>
              <w:top w:val="single" w:sz="4" w:space="0" w:color="auto"/>
              <w:bottom w:val="single" w:sz="4" w:space="0" w:color="auto"/>
              <w:right w:val="single" w:sz="8" w:space="0" w:color="auto"/>
            </w:tcBorders>
            <w:shd w:val="clear" w:color="auto" w:fill="auto"/>
            <w:vAlign w:val="bottom"/>
          </w:tcPr>
          <w:p w14:paraId="74117173" w14:textId="77777777" w:rsidR="00477A61" w:rsidRPr="00E01239" w:rsidRDefault="00477A61" w:rsidP="00A304E9">
            <w:pPr>
              <w:spacing w:line="0" w:lineRule="atLeast"/>
              <w:rPr>
                <w:rFonts w:asciiTheme="minorHAnsi" w:eastAsia="Arial" w:hAnsiTheme="minorHAnsi" w:cstheme="minorHAnsi"/>
                <w:b/>
                <w:bCs/>
                <w:i/>
                <w:sz w:val="22"/>
                <w:szCs w:val="22"/>
              </w:rPr>
            </w:pPr>
            <w:r w:rsidRPr="00E01239">
              <w:rPr>
                <w:rFonts w:asciiTheme="minorHAnsi" w:eastAsia="Arial" w:hAnsiTheme="minorHAnsi" w:cstheme="minorHAnsi"/>
                <w:b/>
                <w:bCs/>
                <w:i/>
                <w:sz w:val="22"/>
                <w:szCs w:val="22"/>
              </w:rPr>
              <w:t>Y :</w:t>
            </w:r>
          </w:p>
          <w:p w14:paraId="5C3A2E27" w14:textId="77777777" w:rsidR="00477A61" w:rsidRPr="00E01239" w:rsidRDefault="00477A61" w:rsidP="00A304E9">
            <w:pPr>
              <w:spacing w:line="0" w:lineRule="atLeast"/>
              <w:rPr>
                <w:rFonts w:asciiTheme="minorHAnsi" w:eastAsia="Arial" w:hAnsiTheme="minorHAnsi" w:cstheme="minorHAnsi"/>
                <w:i/>
                <w:sz w:val="22"/>
                <w:szCs w:val="22"/>
              </w:rPr>
            </w:pPr>
          </w:p>
        </w:tc>
      </w:tr>
      <w:tr w:rsidR="00477A61" w:rsidRPr="00E01239" w14:paraId="2A26001C" w14:textId="77777777" w:rsidTr="00A304E9">
        <w:trPr>
          <w:trHeight w:val="248"/>
          <w:jc w:val="center"/>
        </w:trPr>
        <w:tc>
          <w:tcPr>
            <w:tcW w:w="3251" w:type="dxa"/>
            <w:tcBorders>
              <w:top w:val="single" w:sz="4" w:space="0" w:color="auto"/>
              <w:left w:val="single" w:sz="8" w:space="0" w:color="auto"/>
              <w:bottom w:val="single" w:sz="4" w:space="0" w:color="auto"/>
              <w:right w:val="single" w:sz="8" w:space="0" w:color="auto"/>
            </w:tcBorders>
            <w:shd w:val="clear" w:color="auto" w:fill="auto"/>
            <w:vAlign w:val="bottom"/>
          </w:tcPr>
          <w:p w14:paraId="6B48F3F6" w14:textId="77777777" w:rsidR="00477A61" w:rsidRPr="00E01239" w:rsidRDefault="00477A61" w:rsidP="00A304E9">
            <w:pPr>
              <w:spacing w:line="0" w:lineRule="atLeast"/>
              <w:rPr>
                <w:rFonts w:asciiTheme="minorHAnsi" w:eastAsia="Arial" w:hAnsiTheme="minorHAnsi" w:cstheme="minorHAnsi"/>
                <w:b/>
                <w:bCs/>
                <w:i/>
                <w:sz w:val="22"/>
                <w:szCs w:val="22"/>
              </w:rPr>
            </w:pPr>
            <w:r w:rsidRPr="00E01239">
              <w:rPr>
                <w:rFonts w:asciiTheme="minorHAnsi" w:eastAsia="Arial" w:hAnsiTheme="minorHAnsi" w:cstheme="minorHAnsi"/>
                <w:b/>
                <w:bCs/>
                <w:i/>
                <w:sz w:val="22"/>
                <w:szCs w:val="22"/>
              </w:rPr>
              <w:t>Responsable du projet/maitre d’ouvrage</w:t>
            </w:r>
          </w:p>
          <w:p w14:paraId="68C401CD" w14:textId="77777777" w:rsidR="00477A61" w:rsidRPr="00E01239" w:rsidRDefault="00477A61" w:rsidP="00A304E9">
            <w:pPr>
              <w:spacing w:line="0" w:lineRule="atLeast"/>
              <w:rPr>
                <w:rFonts w:asciiTheme="minorHAnsi" w:eastAsia="Arial" w:hAnsiTheme="minorHAnsi" w:cstheme="minorHAnsi"/>
                <w:b/>
                <w:bCs/>
                <w:i/>
                <w:sz w:val="22"/>
                <w:szCs w:val="22"/>
              </w:rPr>
            </w:pPr>
          </w:p>
        </w:tc>
        <w:tc>
          <w:tcPr>
            <w:tcW w:w="7885" w:type="dxa"/>
            <w:gridSpan w:val="3"/>
            <w:tcBorders>
              <w:top w:val="single" w:sz="4" w:space="0" w:color="auto"/>
              <w:bottom w:val="single" w:sz="4" w:space="0" w:color="auto"/>
              <w:right w:val="single" w:sz="8" w:space="0" w:color="auto"/>
            </w:tcBorders>
            <w:shd w:val="clear" w:color="auto" w:fill="auto"/>
            <w:vAlign w:val="bottom"/>
          </w:tcPr>
          <w:p w14:paraId="428602CB" w14:textId="77777777" w:rsidR="00477A61" w:rsidRPr="00E01239" w:rsidRDefault="00477A61" w:rsidP="00A304E9">
            <w:pPr>
              <w:spacing w:line="0" w:lineRule="atLeast"/>
              <w:rPr>
                <w:rFonts w:asciiTheme="minorHAnsi" w:eastAsia="Arial" w:hAnsiTheme="minorHAnsi" w:cstheme="minorHAnsi"/>
                <w:b/>
                <w:bCs/>
                <w:i/>
                <w:sz w:val="22"/>
                <w:szCs w:val="22"/>
              </w:rPr>
            </w:pPr>
          </w:p>
        </w:tc>
      </w:tr>
      <w:tr w:rsidR="00477A61" w:rsidRPr="00E01239" w14:paraId="4F5535BE" w14:textId="77777777" w:rsidTr="00A304E9">
        <w:trPr>
          <w:trHeight w:val="248"/>
          <w:jc w:val="center"/>
        </w:trPr>
        <w:tc>
          <w:tcPr>
            <w:tcW w:w="3251" w:type="dxa"/>
            <w:tcBorders>
              <w:top w:val="single" w:sz="4" w:space="0" w:color="auto"/>
              <w:left w:val="single" w:sz="8" w:space="0" w:color="auto"/>
              <w:bottom w:val="single" w:sz="4" w:space="0" w:color="auto"/>
              <w:right w:val="single" w:sz="8" w:space="0" w:color="auto"/>
            </w:tcBorders>
            <w:shd w:val="clear" w:color="auto" w:fill="auto"/>
            <w:vAlign w:val="bottom"/>
          </w:tcPr>
          <w:p w14:paraId="0EDF0E43" w14:textId="77777777" w:rsidR="00477A61" w:rsidRPr="00E01239" w:rsidRDefault="00477A61" w:rsidP="00A304E9">
            <w:pPr>
              <w:spacing w:line="0" w:lineRule="atLeast"/>
              <w:rPr>
                <w:rFonts w:asciiTheme="minorHAnsi" w:eastAsia="Arial" w:hAnsiTheme="minorHAnsi" w:cstheme="minorHAnsi"/>
                <w:b/>
                <w:bCs/>
                <w:iCs/>
                <w:sz w:val="22"/>
                <w:szCs w:val="22"/>
              </w:rPr>
            </w:pPr>
            <w:r w:rsidRPr="00E01239">
              <w:rPr>
                <w:rFonts w:asciiTheme="minorHAnsi" w:eastAsia="Arial" w:hAnsiTheme="minorHAnsi" w:cstheme="minorHAnsi"/>
                <w:b/>
                <w:bCs/>
                <w:iCs/>
                <w:sz w:val="22"/>
                <w:szCs w:val="22"/>
              </w:rPr>
              <w:t>Nom, fonction, et informations sur la personne chargée de remplir le présent formulaire</w:t>
            </w:r>
          </w:p>
          <w:p w14:paraId="1E32DCE2" w14:textId="77777777" w:rsidR="00477A61" w:rsidRPr="00E01239" w:rsidRDefault="00477A61" w:rsidP="00A304E9">
            <w:pPr>
              <w:spacing w:line="0" w:lineRule="atLeast"/>
              <w:rPr>
                <w:rFonts w:asciiTheme="minorHAnsi" w:eastAsia="Arial" w:hAnsiTheme="minorHAnsi" w:cstheme="minorHAnsi"/>
                <w:b/>
                <w:bCs/>
                <w:i/>
                <w:sz w:val="22"/>
                <w:szCs w:val="22"/>
              </w:rPr>
            </w:pPr>
          </w:p>
        </w:tc>
        <w:tc>
          <w:tcPr>
            <w:tcW w:w="7885" w:type="dxa"/>
            <w:gridSpan w:val="3"/>
            <w:tcBorders>
              <w:top w:val="single" w:sz="4" w:space="0" w:color="auto"/>
              <w:bottom w:val="single" w:sz="4" w:space="0" w:color="auto"/>
              <w:right w:val="single" w:sz="8" w:space="0" w:color="auto"/>
            </w:tcBorders>
            <w:shd w:val="clear" w:color="auto" w:fill="auto"/>
            <w:vAlign w:val="bottom"/>
          </w:tcPr>
          <w:p w14:paraId="20509AF4" w14:textId="77777777" w:rsidR="00477A61" w:rsidRPr="00E01239" w:rsidRDefault="00477A61" w:rsidP="00A304E9">
            <w:pPr>
              <w:spacing w:line="0" w:lineRule="atLeast"/>
              <w:rPr>
                <w:rFonts w:asciiTheme="minorHAnsi" w:eastAsia="Arial" w:hAnsiTheme="minorHAnsi" w:cstheme="minorHAnsi"/>
                <w:b/>
                <w:bCs/>
                <w:i/>
                <w:sz w:val="22"/>
                <w:szCs w:val="22"/>
              </w:rPr>
            </w:pPr>
          </w:p>
        </w:tc>
      </w:tr>
    </w:tbl>
    <w:p w14:paraId="12FB8F38" w14:textId="77777777" w:rsidR="00477A61" w:rsidRPr="00E01239" w:rsidRDefault="00477A61" w:rsidP="00477A61">
      <w:pPr>
        <w:pBdr>
          <w:top w:val="nil"/>
          <w:left w:val="nil"/>
          <w:bottom w:val="nil"/>
          <w:right w:val="nil"/>
          <w:between w:val="nil"/>
          <w:bar w:val="nil"/>
        </w:pBdr>
        <w:rPr>
          <w:rFonts w:asciiTheme="minorHAnsi" w:eastAsia="Cambria" w:hAnsiTheme="minorHAnsi" w:cstheme="minorHAnsi"/>
          <w:b/>
          <w:bCs/>
          <w:sz w:val="22"/>
          <w:szCs w:val="22"/>
          <w:u w:color="000000"/>
          <w:bdr w:val="nil"/>
        </w:rPr>
      </w:pPr>
    </w:p>
    <w:p w14:paraId="57B21EF9" w14:textId="77777777" w:rsidR="00477A61" w:rsidRPr="00E01239" w:rsidRDefault="00477A61" w:rsidP="002A19B3">
      <w:pPr>
        <w:pStyle w:val="Paragraphedeliste"/>
        <w:numPr>
          <w:ilvl w:val="0"/>
          <w:numId w:val="47"/>
        </w:numPr>
        <w:pBdr>
          <w:top w:val="nil"/>
          <w:left w:val="nil"/>
          <w:bottom w:val="nil"/>
          <w:right w:val="nil"/>
          <w:between w:val="nil"/>
          <w:bar w:val="nil"/>
        </w:pBdr>
        <w:jc w:val="both"/>
        <w:rPr>
          <w:rFonts w:asciiTheme="minorHAnsi" w:eastAsia="Cambria" w:hAnsiTheme="minorHAnsi" w:cstheme="minorHAnsi"/>
          <w:sz w:val="22"/>
          <w:szCs w:val="22"/>
          <w:u w:val="single" w:color="000000"/>
          <w:bdr w:val="nil"/>
        </w:rPr>
      </w:pPr>
      <w:r w:rsidRPr="00E01239">
        <w:rPr>
          <w:rFonts w:asciiTheme="minorHAnsi" w:eastAsia="Cambria" w:hAnsiTheme="minorHAnsi" w:cstheme="minorHAnsi"/>
          <w:b/>
          <w:bCs/>
          <w:sz w:val="22"/>
          <w:szCs w:val="22"/>
          <w:u w:color="000000"/>
          <w:bdr w:val="nil"/>
        </w:rPr>
        <w:t xml:space="preserve">Brève description du projet </w:t>
      </w:r>
    </w:p>
    <w:p w14:paraId="675B292C" w14:textId="77777777" w:rsidR="00477A61" w:rsidRPr="00E01239" w:rsidRDefault="00477A61" w:rsidP="00477A61">
      <w:pPr>
        <w:pBdr>
          <w:top w:val="nil"/>
          <w:left w:val="nil"/>
          <w:bottom w:val="nil"/>
          <w:right w:val="nil"/>
          <w:between w:val="nil"/>
          <w:bar w:val="nil"/>
        </w:pBdr>
        <w:spacing w:line="276" w:lineRule="auto"/>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Cs/>
          <w:sz w:val="22"/>
          <w:szCs w:val="22"/>
          <w:u w:color="000000"/>
          <w:bdr w:val="nil"/>
        </w:rPr>
        <w:t>………………………………………………………………………………………………………………………………………………………………………………………………………………………………………………………………………………………………………………………………………………………………………………………………………………………………………………………………………………………………………………………………………………………………………………………………………………………………………………………………………………………………………………………………………………………………………………………………………………………………………………………………………</w:t>
      </w:r>
    </w:p>
    <w:p w14:paraId="2F475A59" w14:textId="77777777" w:rsidR="00477A61" w:rsidRPr="00E01239" w:rsidRDefault="00477A61" w:rsidP="00477A61">
      <w:pPr>
        <w:pBdr>
          <w:top w:val="nil"/>
          <w:left w:val="nil"/>
          <w:bottom w:val="nil"/>
          <w:right w:val="nil"/>
          <w:between w:val="nil"/>
          <w:bar w:val="nil"/>
        </w:pBdr>
        <w:spacing w:line="276" w:lineRule="auto"/>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
          <w:bCs/>
          <w:sz w:val="22"/>
          <w:szCs w:val="22"/>
          <w:u w:color="000000"/>
          <w:bdr w:val="nil"/>
        </w:rPr>
        <w:t xml:space="preserve">                                  </w:t>
      </w:r>
    </w:p>
    <w:p w14:paraId="5F61C83F" w14:textId="77777777" w:rsidR="00477A61" w:rsidRPr="00E01239" w:rsidRDefault="00477A61" w:rsidP="002A19B3">
      <w:pPr>
        <w:pStyle w:val="Paragraphedeliste"/>
        <w:numPr>
          <w:ilvl w:val="0"/>
          <w:numId w:val="47"/>
        </w:numPr>
        <w:pBdr>
          <w:top w:val="nil"/>
          <w:left w:val="nil"/>
          <w:bottom w:val="nil"/>
          <w:right w:val="nil"/>
          <w:between w:val="nil"/>
          <w:bar w:val="nil"/>
        </w:pBdr>
        <w:jc w:val="both"/>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
          <w:bCs/>
          <w:sz w:val="22"/>
          <w:szCs w:val="22"/>
          <w:u w:color="000000"/>
          <w:bdr w:val="nil"/>
        </w:rPr>
        <w:t xml:space="preserve">Identification des impacts environnementaux et sociaux </w:t>
      </w:r>
    </w:p>
    <w:p w14:paraId="454BF067" w14:textId="77777777" w:rsidR="00477A61" w:rsidRPr="00E01239" w:rsidRDefault="00477A61" w:rsidP="00477A61">
      <w:pPr>
        <w:pBdr>
          <w:top w:val="nil"/>
          <w:left w:val="nil"/>
          <w:bottom w:val="nil"/>
          <w:right w:val="nil"/>
          <w:between w:val="nil"/>
          <w:bar w:val="nil"/>
        </w:pBdr>
        <w:rPr>
          <w:rFonts w:asciiTheme="minorHAnsi" w:eastAsia="Cambria" w:hAnsiTheme="minorHAnsi" w:cstheme="minorHAnsi"/>
          <w:sz w:val="22"/>
          <w:szCs w:val="22"/>
          <w:u w:color="000000"/>
          <w:bdr w:val="nil"/>
        </w:rPr>
      </w:pPr>
    </w:p>
    <w:p w14:paraId="0D527F41" w14:textId="77777777" w:rsidR="00477A61" w:rsidRPr="00E01239" w:rsidRDefault="00477A61" w:rsidP="00477A61">
      <w:pPr>
        <w:pBdr>
          <w:top w:val="nil"/>
          <w:left w:val="nil"/>
          <w:bottom w:val="nil"/>
          <w:right w:val="nil"/>
          <w:between w:val="nil"/>
          <w:bar w:val="nil"/>
        </w:pBdr>
        <w:rPr>
          <w:rFonts w:asciiTheme="minorHAnsi" w:eastAsia="Cambria" w:hAnsiTheme="minorHAnsi" w:cstheme="minorHAnsi"/>
          <w:sz w:val="22"/>
          <w:szCs w:val="22"/>
          <w:u w:color="000000"/>
          <w:bdr w:val="nil"/>
        </w:rPr>
      </w:pPr>
    </w:p>
    <w:tbl>
      <w:tblPr>
        <w:tblW w:w="11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96"/>
        <w:gridCol w:w="71"/>
        <w:gridCol w:w="567"/>
        <w:gridCol w:w="425"/>
        <w:gridCol w:w="567"/>
        <w:gridCol w:w="567"/>
        <w:gridCol w:w="567"/>
        <w:gridCol w:w="567"/>
        <w:gridCol w:w="567"/>
        <w:gridCol w:w="1848"/>
      </w:tblGrid>
      <w:tr w:rsidR="00477A61" w:rsidRPr="00E01239" w14:paraId="109397A0" w14:textId="77777777" w:rsidTr="00A304E9">
        <w:trPr>
          <w:jc w:val="center"/>
        </w:trPr>
        <w:tc>
          <w:tcPr>
            <w:tcW w:w="5103" w:type="dxa"/>
            <w:tcBorders>
              <w:bottom w:val="single" w:sz="4" w:space="0" w:color="auto"/>
            </w:tcBorders>
            <w:shd w:val="clear" w:color="auto" w:fill="auto"/>
            <w:vAlign w:val="center"/>
          </w:tcPr>
          <w:p w14:paraId="30E8A04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
                <w:bCs/>
                <w:sz w:val="22"/>
                <w:szCs w:val="22"/>
                <w:u w:color="000000"/>
                <w:bdr w:val="nil"/>
              </w:rPr>
              <w:t>Éléments de la liste de vérification</w:t>
            </w:r>
          </w:p>
        </w:tc>
        <w:tc>
          <w:tcPr>
            <w:tcW w:w="1134" w:type="dxa"/>
            <w:gridSpan w:val="3"/>
            <w:shd w:val="clear" w:color="auto" w:fill="auto"/>
          </w:tcPr>
          <w:p w14:paraId="675A92F2" w14:textId="77777777" w:rsidR="00477A61" w:rsidRPr="00E01239" w:rsidRDefault="00477A61" w:rsidP="00A304E9">
            <w:pPr>
              <w:pBdr>
                <w:top w:val="nil"/>
                <w:left w:val="nil"/>
                <w:bottom w:val="nil"/>
                <w:right w:val="nil"/>
                <w:between w:val="nil"/>
                <w:bar w:val="nil"/>
              </w:pBdr>
              <w:contextualSpacing/>
              <w:jc w:val="center"/>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
                <w:bCs/>
                <w:sz w:val="22"/>
                <w:szCs w:val="22"/>
                <w:u w:color="000000"/>
                <w:bdr w:val="nil"/>
              </w:rPr>
              <w:t>Réponses</w:t>
            </w:r>
          </w:p>
        </w:tc>
        <w:tc>
          <w:tcPr>
            <w:tcW w:w="3260" w:type="dxa"/>
            <w:gridSpan w:val="6"/>
            <w:shd w:val="clear" w:color="auto" w:fill="auto"/>
            <w:tcMar>
              <w:left w:w="57" w:type="dxa"/>
              <w:right w:w="57" w:type="dxa"/>
            </w:tcMar>
          </w:tcPr>
          <w:p w14:paraId="18C43A1D" w14:textId="77777777" w:rsidR="00477A61" w:rsidRPr="00E01239" w:rsidRDefault="00477A61" w:rsidP="00A304E9">
            <w:pPr>
              <w:pBdr>
                <w:top w:val="nil"/>
                <w:left w:val="nil"/>
                <w:bottom w:val="nil"/>
                <w:right w:val="nil"/>
                <w:between w:val="nil"/>
                <w:bar w:val="nil"/>
              </w:pBdr>
              <w:contextualSpacing/>
              <w:jc w:val="center"/>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
                <w:bCs/>
                <w:sz w:val="22"/>
                <w:szCs w:val="22"/>
                <w:u w:color="000000"/>
                <w:bdr w:val="nil"/>
              </w:rPr>
              <w:t>Composantes</w:t>
            </w:r>
          </w:p>
        </w:tc>
        <w:tc>
          <w:tcPr>
            <w:tcW w:w="1848" w:type="dxa"/>
            <w:shd w:val="clear" w:color="auto" w:fill="auto"/>
          </w:tcPr>
          <w:p w14:paraId="3AF6291A" w14:textId="77777777" w:rsidR="00477A61" w:rsidRPr="00E01239" w:rsidRDefault="00477A61" w:rsidP="00A304E9">
            <w:pPr>
              <w:pBdr>
                <w:top w:val="nil"/>
                <w:left w:val="nil"/>
                <w:bottom w:val="nil"/>
                <w:right w:val="nil"/>
                <w:between w:val="nil"/>
                <w:bar w:val="nil"/>
              </w:pBdr>
              <w:contextualSpacing/>
              <w:jc w:val="center"/>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
                <w:bCs/>
                <w:sz w:val="22"/>
                <w:szCs w:val="22"/>
                <w:u w:color="000000"/>
                <w:bdr w:val="nil"/>
              </w:rPr>
              <w:t>Observations</w:t>
            </w:r>
          </w:p>
        </w:tc>
      </w:tr>
      <w:tr w:rsidR="00477A61" w:rsidRPr="00E01239" w14:paraId="223B7E49" w14:textId="77777777" w:rsidTr="00A304E9">
        <w:trPr>
          <w:cantSplit/>
          <w:trHeight w:val="904"/>
          <w:jc w:val="center"/>
        </w:trPr>
        <w:tc>
          <w:tcPr>
            <w:tcW w:w="5103" w:type="dxa"/>
            <w:shd w:val="clear" w:color="auto" w:fill="auto"/>
          </w:tcPr>
          <w:p w14:paraId="092C8C0D"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sz w:val="22"/>
                <w:szCs w:val="22"/>
                <w:u w:color="000000"/>
                <w:bdr w:val="nil"/>
              </w:rPr>
            </w:pPr>
          </w:p>
        </w:tc>
        <w:tc>
          <w:tcPr>
            <w:tcW w:w="496" w:type="dxa"/>
            <w:shd w:val="clear" w:color="auto" w:fill="auto"/>
            <w:tcMar>
              <w:left w:w="57" w:type="dxa"/>
              <w:right w:w="57" w:type="dxa"/>
            </w:tcMar>
            <w:vAlign w:val="center"/>
          </w:tcPr>
          <w:p w14:paraId="0D0587AC" w14:textId="77777777" w:rsidR="00477A61" w:rsidRPr="00E01239" w:rsidRDefault="00477A61" w:rsidP="00A304E9">
            <w:pPr>
              <w:pBdr>
                <w:top w:val="nil"/>
                <w:left w:val="nil"/>
                <w:bottom w:val="nil"/>
                <w:right w:val="nil"/>
                <w:between w:val="nil"/>
                <w:bar w:val="nil"/>
              </w:pBdr>
              <w:contextualSpacing/>
              <w:jc w:val="center"/>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
                <w:bCs/>
                <w:sz w:val="22"/>
                <w:szCs w:val="22"/>
                <w:u w:color="000000"/>
                <w:bdr w:val="nil"/>
              </w:rPr>
              <w:t>OUI</w:t>
            </w:r>
          </w:p>
        </w:tc>
        <w:tc>
          <w:tcPr>
            <w:tcW w:w="638" w:type="dxa"/>
            <w:gridSpan w:val="2"/>
            <w:shd w:val="clear" w:color="auto" w:fill="auto"/>
            <w:vAlign w:val="center"/>
          </w:tcPr>
          <w:p w14:paraId="283286C3" w14:textId="77777777" w:rsidR="00477A61" w:rsidRPr="00E01239" w:rsidRDefault="00477A61" w:rsidP="00A304E9">
            <w:pPr>
              <w:pBdr>
                <w:top w:val="nil"/>
                <w:left w:val="nil"/>
                <w:bottom w:val="nil"/>
                <w:right w:val="nil"/>
                <w:between w:val="nil"/>
                <w:bar w:val="nil"/>
              </w:pBdr>
              <w:contextualSpacing/>
              <w:jc w:val="center"/>
              <w:rPr>
                <w:rFonts w:asciiTheme="minorHAnsi" w:eastAsia="Cambria" w:hAnsiTheme="minorHAnsi" w:cstheme="minorHAnsi"/>
                <w:b/>
                <w:bCs/>
                <w:sz w:val="22"/>
                <w:szCs w:val="22"/>
                <w:u w:color="000000"/>
                <w:bdr w:val="nil"/>
              </w:rPr>
            </w:pPr>
            <w:r w:rsidRPr="00E01239">
              <w:rPr>
                <w:rFonts w:asciiTheme="minorHAnsi" w:eastAsia="Cambria" w:hAnsiTheme="minorHAnsi" w:cstheme="minorHAnsi"/>
                <w:b/>
                <w:bCs/>
                <w:sz w:val="22"/>
                <w:szCs w:val="22"/>
                <w:u w:color="000000"/>
                <w:bdr w:val="nil"/>
              </w:rPr>
              <w:t>NON</w:t>
            </w:r>
          </w:p>
        </w:tc>
        <w:tc>
          <w:tcPr>
            <w:tcW w:w="425" w:type="dxa"/>
            <w:shd w:val="clear" w:color="auto" w:fill="auto"/>
            <w:tcMar>
              <w:left w:w="57" w:type="dxa"/>
              <w:right w:w="57" w:type="dxa"/>
            </w:tcMar>
            <w:textDirection w:val="tbRl"/>
          </w:tcPr>
          <w:p w14:paraId="35689FF0" w14:textId="77777777" w:rsidR="00477A61" w:rsidRPr="00E01239" w:rsidRDefault="00477A61" w:rsidP="00A304E9">
            <w:pPr>
              <w:pBdr>
                <w:top w:val="nil"/>
                <w:left w:val="nil"/>
                <w:bottom w:val="nil"/>
                <w:right w:val="nil"/>
                <w:between w:val="nil"/>
                <w:bar w:val="nil"/>
              </w:pBdr>
              <w:ind w:left="113" w:right="113"/>
              <w:contextualSpacing/>
              <w:jc w:val="center"/>
              <w:rPr>
                <w:rFonts w:asciiTheme="minorHAnsi" w:eastAsia="Cambria" w:hAnsiTheme="minorHAnsi" w:cstheme="minorHAnsi"/>
                <w:b/>
                <w:bCs/>
                <w:sz w:val="22"/>
                <w:szCs w:val="22"/>
                <w:bdr w:val="nil"/>
              </w:rPr>
            </w:pPr>
            <w:r w:rsidRPr="00E01239">
              <w:rPr>
                <w:rFonts w:asciiTheme="minorHAnsi" w:eastAsia="Cambria" w:hAnsiTheme="minorHAnsi" w:cstheme="minorHAnsi"/>
                <w:b/>
                <w:bCs/>
                <w:sz w:val="22"/>
                <w:szCs w:val="22"/>
                <w:bdr w:val="nil"/>
              </w:rPr>
              <w:t>Air</w:t>
            </w:r>
          </w:p>
        </w:tc>
        <w:tc>
          <w:tcPr>
            <w:tcW w:w="567" w:type="dxa"/>
            <w:shd w:val="clear" w:color="auto" w:fill="auto"/>
            <w:textDirection w:val="tbRl"/>
          </w:tcPr>
          <w:p w14:paraId="09CC7D67" w14:textId="77777777" w:rsidR="00477A61" w:rsidRPr="00E01239" w:rsidRDefault="00477A61" w:rsidP="00A304E9">
            <w:pPr>
              <w:pBdr>
                <w:top w:val="nil"/>
                <w:left w:val="nil"/>
                <w:bottom w:val="nil"/>
                <w:right w:val="nil"/>
                <w:between w:val="nil"/>
                <w:bar w:val="nil"/>
              </w:pBdr>
              <w:ind w:left="113" w:right="113"/>
              <w:contextualSpacing/>
              <w:jc w:val="center"/>
              <w:rPr>
                <w:rFonts w:asciiTheme="minorHAnsi" w:eastAsia="Cambria" w:hAnsiTheme="minorHAnsi" w:cstheme="minorHAnsi"/>
                <w:b/>
                <w:bCs/>
                <w:sz w:val="22"/>
                <w:szCs w:val="22"/>
                <w:bdr w:val="nil"/>
              </w:rPr>
            </w:pPr>
            <w:r w:rsidRPr="00E01239">
              <w:rPr>
                <w:rFonts w:asciiTheme="minorHAnsi" w:eastAsia="Cambria" w:hAnsiTheme="minorHAnsi" w:cstheme="minorHAnsi"/>
                <w:b/>
                <w:bCs/>
                <w:sz w:val="22"/>
                <w:szCs w:val="22"/>
                <w:bdr w:val="nil"/>
              </w:rPr>
              <w:t>Sol</w:t>
            </w:r>
          </w:p>
        </w:tc>
        <w:tc>
          <w:tcPr>
            <w:tcW w:w="567" w:type="dxa"/>
            <w:shd w:val="clear" w:color="auto" w:fill="auto"/>
            <w:textDirection w:val="tbRl"/>
          </w:tcPr>
          <w:p w14:paraId="04F38946" w14:textId="77777777" w:rsidR="00477A61" w:rsidRPr="00E01239" w:rsidRDefault="00477A61" w:rsidP="00A304E9">
            <w:pPr>
              <w:pBdr>
                <w:top w:val="nil"/>
                <w:left w:val="nil"/>
                <w:bottom w:val="nil"/>
                <w:right w:val="nil"/>
                <w:between w:val="nil"/>
                <w:bar w:val="nil"/>
              </w:pBdr>
              <w:ind w:left="113" w:right="113"/>
              <w:contextualSpacing/>
              <w:jc w:val="center"/>
              <w:rPr>
                <w:rFonts w:asciiTheme="minorHAnsi" w:eastAsia="Cambria" w:hAnsiTheme="minorHAnsi" w:cstheme="minorHAnsi"/>
                <w:b/>
                <w:bCs/>
                <w:sz w:val="22"/>
                <w:szCs w:val="22"/>
                <w:bdr w:val="nil"/>
              </w:rPr>
            </w:pPr>
            <w:r w:rsidRPr="00E01239">
              <w:rPr>
                <w:rFonts w:asciiTheme="minorHAnsi" w:eastAsia="Cambria" w:hAnsiTheme="minorHAnsi" w:cstheme="minorHAnsi"/>
                <w:b/>
                <w:bCs/>
                <w:sz w:val="22"/>
                <w:szCs w:val="22"/>
                <w:bdr w:val="nil"/>
              </w:rPr>
              <w:t>Eau</w:t>
            </w:r>
          </w:p>
        </w:tc>
        <w:tc>
          <w:tcPr>
            <w:tcW w:w="567" w:type="dxa"/>
            <w:shd w:val="clear" w:color="auto" w:fill="auto"/>
            <w:textDirection w:val="tbRl"/>
          </w:tcPr>
          <w:p w14:paraId="0DE60665" w14:textId="77777777" w:rsidR="00477A61" w:rsidRPr="00E01239" w:rsidRDefault="00477A61" w:rsidP="00A304E9">
            <w:pPr>
              <w:pBdr>
                <w:top w:val="nil"/>
                <w:left w:val="nil"/>
                <w:bottom w:val="nil"/>
                <w:right w:val="nil"/>
                <w:between w:val="nil"/>
                <w:bar w:val="nil"/>
              </w:pBdr>
              <w:ind w:left="113" w:right="113"/>
              <w:contextualSpacing/>
              <w:jc w:val="center"/>
              <w:rPr>
                <w:rFonts w:asciiTheme="minorHAnsi" w:eastAsia="Cambria" w:hAnsiTheme="minorHAnsi" w:cstheme="minorHAnsi"/>
                <w:b/>
                <w:bCs/>
                <w:sz w:val="22"/>
                <w:szCs w:val="22"/>
                <w:bdr w:val="nil"/>
              </w:rPr>
            </w:pPr>
            <w:r w:rsidRPr="00E01239">
              <w:rPr>
                <w:rFonts w:asciiTheme="minorHAnsi" w:eastAsia="Cambria" w:hAnsiTheme="minorHAnsi" w:cstheme="minorHAnsi"/>
                <w:b/>
                <w:bCs/>
                <w:sz w:val="22"/>
                <w:szCs w:val="22"/>
                <w:bdr w:val="nil"/>
              </w:rPr>
              <w:t>Flore</w:t>
            </w:r>
          </w:p>
        </w:tc>
        <w:tc>
          <w:tcPr>
            <w:tcW w:w="567" w:type="dxa"/>
            <w:shd w:val="clear" w:color="auto" w:fill="auto"/>
            <w:textDirection w:val="tbRl"/>
          </w:tcPr>
          <w:p w14:paraId="4C8FFA80" w14:textId="77777777" w:rsidR="00477A61" w:rsidRPr="00E01239" w:rsidRDefault="00477A61" w:rsidP="00A304E9">
            <w:pPr>
              <w:pBdr>
                <w:top w:val="nil"/>
                <w:left w:val="nil"/>
                <w:bottom w:val="nil"/>
                <w:right w:val="nil"/>
                <w:between w:val="nil"/>
                <w:bar w:val="nil"/>
              </w:pBdr>
              <w:ind w:left="113" w:right="113"/>
              <w:contextualSpacing/>
              <w:jc w:val="center"/>
              <w:rPr>
                <w:rFonts w:asciiTheme="minorHAnsi" w:eastAsia="Cambria" w:hAnsiTheme="minorHAnsi" w:cstheme="minorHAnsi"/>
                <w:b/>
                <w:bCs/>
                <w:sz w:val="22"/>
                <w:szCs w:val="22"/>
                <w:bdr w:val="nil"/>
              </w:rPr>
            </w:pPr>
            <w:r w:rsidRPr="00E01239">
              <w:rPr>
                <w:rFonts w:asciiTheme="minorHAnsi" w:eastAsia="Cambria" w:hAnsiTheme="minorHAnsi" w:cstheme="minorHAnsi"/>
                <w:b/>
                <w:bCs/>
                <w:sz w:val="22"/>
                <w:szCs w:val="22"/>
                <w:bdr w:val="nil"/>
              </w:rPr>
              <w:t>Faune</w:t>
            </w:r>
          </w:p>
        </w:tc>
        <w:tc>
          <w:tcPr>
            <w:tcW w:w="567" w:type="dxa"/>
            <w:shd w:val="clear" w:color="auto" w:fill="auto"/>
            <w:textDirection w:val="tbRl"/>
          </w:tcPr>
          <w:p w14:paraId="4A89E7FA" w14:textId="77777777" w:rsidR="00477A61" w:rsidRPr="00E01239" w:rsidRDefault="00477A61" w:rsidP="00A304E9">
            <w:pPr>
              <w:pBdr>
                <w:top w:val="nil"/>
                <w:left w:val="nil"/>
                <w:bottom w:val="nil"/>
                <w:right w:val="nil"/>
                <w:between w:val="nil"/>
                <w:bar w:val="nil"/>
              </w:pBdr>
              <w:ind w:left="113" w:right="113"/>
              <w:contextualSpacing/>
              <w:jc w:val="center"/>
              <w:rPr>
                <w:rFonts w:asciiTheme="minorHAnsi" w:eastAsia="Cambria" w:hAnsiTheme="minorHAnsi" w:cstheme="minorHAnsi"/>
                <w:b/>
                <w:bCs/>
                <w:sz w:val="22"/>
                <w:szCs w:val="22"/>
                <w:bdr w:val="nil"/>
              </w:rPr>
            </w:pPr>
            <w:r w:rsidRPr="00E01239">
              <w:rPr>
                <w:rFonts w:asciiTheme="minorHAnsi" w:eastAsia="Cambria" w:hAnsiTheme="minorHAnsi" w:cstheme="minorHAnsi"/>
                <w:b/>
                <w:bCs/>
                <w:sz w:val="22"/>
                <w:szCs w:val="22"/>
                <w:bdr w:val="nil"/>
              </w:rPr>
              <w:t>Humain*</w:t>
            </w:r>
          </w:p>
        </w:tc>
        <w:tc>
          <w:tcPr>
            <w:tcW w:w="1848" w:type="dxa"/>
            <w:shd w:val="clear" w:color="auto" w:fill="auto"/>
            <w:textDirection w:val="tbRl"/>
          </w:tcPr>
          <w:p w14:paraId="279535BE" w14:textId="77777777" w:rsidR="00477A61" w:rsidRPr="00E01239" w:rsidRDefault="00477A61" w:rsidP="00A304E9">
            <w:pPr>
              <w:pBdr>
                <w:top w:val="nil"/>
                <w:left w:val="nil"/>
                <w:bottom w:val="nil"/>
                <w:right w:val="nil"/>
                <w:between w:val="nil"/>
                <w:bar w:val="nil"/>
              </w:pBdr>
              <w:ind w:left="113" w:right="113"/>
              <w:contextualSpacing/>
              <w:jc w:val="center"/>
              <w:rPr>
                <w:rFonts w:asciiTheme="minorHAnsi" w:eastAsia="Cambria" w:hAnsiTheme="minorHAnsi" w:cstheme="minorHAnsi"/>
                <w:b/>
                <w:bCs/>
                <w:sz w:val="22"/>
                <w:szCs w:val="22"/>
                <w:bdr w:val="nil"/>
              </w:rPr>
            </w:pPr>
          </w:p>
        </w:tc>
      </w:tr>
      <w:tr w:rsidR="00477A61" w:rsidRPr="00E01239" w14:paraId="4671ADE2" w14:textId="77777777" w:rsidTr="00A304E9">
        <w:trPr>
          <w:jc w:val="center"/>
        </w:trPr>
        <w:tc>
          <w:tcPr>
            <w:tcW w:w="11345" w:type="dxa"/>
            <w:gridSpan w:val="11"/>
            <w:shd w:val="clear" w:color="auto" w:fill="auto"/>
          </w:tcPr>
          <w:p w14:paraId="5F687C34" w14:textId="77777777" w:rsidR="00477A61" w:rsidRPr="00E01239" w:rsidRDefault="00477A61" w:rsidP="002A19B3">
            <w:pPr>
              <w:pStyle w:val="Paragraphedeliste"/>
              <w:numPr>
                <w:ilvl w:val="0"/>
                <w:numId w:val="43"/>
              </w:numPr>
              <w:pBdr>
                <w:top w:val="nil"/>
                <w:left w:val="nil"/>
                <w:bottom w:val="nil"/>
                <w:right w:val="nil"/>
                <w:between w:val="nil"/>
                <w:bar w:val="nil"/>
              </w:pBdr>
              <w:jc w:val="center"/>
              <w:rPr>
                <w:rFonts w:asciiTheme="minorHAnsi" w:eastAsia="Cambria" w:hAnsiTheme="minorHAnsi" w:cstheme="minorHAnsi"/>
                <w:color w:val="000000"/>
                <w:sz w:val="22"/>
                <w:szCs w:val="22"/>
                <w:bdr w:val="nil"/>
              </w:rPr>
            </w:pPr>
            <w:r w:rsidRPr="00E01239">
              <w:rPr>
                <w:rFonts w:asciiTheme="minorHAnsi" w:eastAsia="Cambria" w:hAnsiTheme="minorHAnsi" w:cstheme="minorHAnsi"/>
                <w:b/>
                <w:bCs/>
                <w:sz w:val="22"/>
                <w:szCs w:val="22"/>
                <w:bdr w:val="nil"/>
              </w:rPr>
              <w:t>Le choix du site proposé est établi sur des bases légales et sociales claires et partagées</w:t>
            </w:r>
          </w:p>
        </w:tc>
      </w:tr>
      <w:tr w:rsidR="00477A61" w:rsidRPr="00E01239" w14:paraId="1C7F0DAE" w14:textId="77777777" w:rsidTr="00A304E9">
        <w:trPr>
          <w:jc w:val="center"/>
        </w:trPr>
        <w:tc>
          <w:tcPr>
            <w:tcW w:w="5103" w:type="dxa"/>
            <w:shd w:val="clear" w:color="auto" w:fill="auto"/>
          </w:tcPr>
          <w:p w14:paraId="12288C86" w14:textId="77777777" w:rsidR="00477A61" w:rsidRPr="00E01239" w:rsidRDefault="00477A61" w:rsidP="00A304E9">
            <w:pPr>
              <w:pBdr>
                <w:top w:val="nil"/>
                <w:left w:val="nil"/>
                <w:bottom w:val="nil"/>
                <w:right w:val="nil"/>
                <w:between w:val="nil"/>
                <w:bar w:val="nil"/>
              </w:pBdr>
              <w:contextualSpacing/>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 site fait-il partie d’un zonage du territoire de la commune à travers un POAS ou autres documents de planifications existants (ZAPA, ZAPE, zone de biodiversité…) ?</w:t>
            </w:r>
          </w:p>
        </w:tc>
        <w:tc>
          <w:tcPr>
            <w:tcW w:w="496" w:type="dxa"/>
            <w:shd w:val="clear" w:color="auto" w:fill="auto"/>
            <w:tcMar>
              <w:left w:w="57" w:type="dxa"/>
              <w:right w:w="57" w:type="dxa"/>
            </w:tcMar>
            <w:vAlign w:val="center"/>
          </w:tcPr>
          <w:p w14:paraId="38A3A6D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7944DF8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240DC5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D51F7C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C9A948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140208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42DE5F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FDD052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D1BBF1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60088A7" w14:textId="77777777" w:rsidTr="00A304E9">
        <w:trPr>
          <w:jc w:val="center"/>
        </w:trPr>
        <w:tc>
          <w:tcPr>
            <w:tcW w:w="5103" w:type="dxa"/>
            <w:shd w:val="clear" w:color="auto" w:fill="auto"/>
          </w:tcPr>
          <w:p w14:paraId="513C9FC1"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 site appartient-il à une Zone Agro-pastorale à Priorité Agricole (ZAPA) ?</w:t>
            </w:r>
          </w:p>
        </w:tc>
        <w:tc>
          <w:tcPr>
            <w:tcW w:w="496" w:type="dxa"/>
            <w:shd w:val="clear" w:color="auto" w:fill="auto"/>
            <w:tcMar>
              <w:left w:w="57" w:type="dxa"/>
              <w:right w:w="57" w:type="dxa"/>
            </w:tcMar>
            <w:vAlign w:val="center"/>
          </w:tcPr>
          <w:p w14:paraId="1DC99D4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AA2C74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1C350D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D006F5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4BB46E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F9BC28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58311E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053C39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883091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32CB5040" w14:textId="77777777" w:rsidTr="00A304E9">
        <w:trPr>
          <w:jc w:val="center"/>
        </w:trPr>
        <w:tc>
          <w:tcPr>
            <w:tcW w:w="5103" w:type="dxa"/>
            <w:shd w:val="clear" w:color="auto" w:fill="auto"/>
          </w:tcPr>
          <w:p w14:paraId="1D8759F8" w14:textId="77777777" w:rsidR="00477A61" w:rsidRPr="00E01239" w:rsidRDefault="00477A61" w:rsidP="002A19B3">
            <w:pPr>
              <w:pStyle w:val="Paragraphedeliste"/>
              <w:numPr>
                <w:ilvl w:val="0"/>
                <w:numId w:val="40"/>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Les cours d’eau et les points d’abreuvement sont-ils bien identifiés ?</w:t>
            </w:r>
          </w:p>
        </w:tc>
        <w:tc>
          <w:tcPr>
            <w:tcW w:w="496" w:type="dxa"/>
            <w:shd w:val="clear" w:color="auto" w:fill="auto"/>
            <w:tcMar>
              <w:left w:w="57" w:type="dxa"/>
              <w:right w:w="57" w:type="dxa"/>
            </w:tcMar>
            <w:vAlign w:val="center"/>
          </w:tcPr>
          <w:p w14:paraId="6C9336C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66A8D57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612358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39C938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8D5467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8FE011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37C23A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C715B4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03C835F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298FACC" w14:textId="77777777" w:rsidTr="00A304E9">
        <w:trPr>
          <w:jc w:val="center"/>
        </w:trPr>
        <w:tc>
          <w:tcPr>
            <w:tcW w:w="5103" w:type="dxa"/>
            <w:shd w:val="clear" w:color="auto" w:fill="auto"/>
          </w:tcPr>
          <w:p w14:paraId="3CD262F8" w14:textId="77777777" w:rsidR="00477A61" w:rsidRPr="00E01239" w:rsidRDefault="00477A61" w:rsidP="002A19B3">
            <w:pPr>
              <w:pStyle w:val="Paragraphedeliste"/>
              <w:numPr>
                <w:ilvl w:val="0"/>
                <w:numId w:val="40"/>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lastRenderedPageBreak/>
              <w:t>Les puits, mares et forages pastoraux sont-ils bien identifiés ?</w:t>
            </w:r>
          </w:p>
        </w:tc>
        <w:tc>
          <w:tcPr>
            <w:tcW w:w="496" w:type="dxa"/>
            <w:shd w:val="clear" w:color="auto" w:fill="auto"/>
            <w:tcMar>
              <w:left w:w="57" w:type="dxa"/>
              <w:right w:w="57" w:type="dxa"/>
            </w:tcMar>
            <w:vAlign w:val="center"/>
          </w:tcPr>
          <w:p w14:paraId="6E2B950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9009AE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4742C79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7F0A10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55DB4C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6EDE59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F8E299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BDDC41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05B7ADF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A2C9015" w14:textId="77777777" w:rsidTr="00A304E9">
        <w:trPr>
          <w:jc w:val="center"/>
        </w:trPr>
        <w:tc>
          <w:tcPr>
            <w:tcW w:w="5103" w:type="dxa"/>
            <w:shd w:val="clear" w:color="auto" w:fill="auto"/>
          </w:tcPr>
          <w:p w14:paraId="71DA54CC" w14:textId="77777777" w:rsidR="00477A61" w:rsidRPr="00E01239" w:rsidRDefault="00477A61" w:rsidP="002A19B3">
            <w:pPr>
              <w:pStyle w:val="Paragraphedeliste"/>
              <w:numPr>
                <w:ilvl w:val="0"/>
                <w:numId w:val="40"/>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 projet peut-il entraîner des utilisations incompatibles avec le milieu ?</w:t>
            </w:r>
          </w:p>
        </w:tc>
        <w:tc>
          <w:tcPr>
            <w:tcW w:w="496" w:type="dxa"/>
            <w:shd w:val="clear" w:color="auto" w:fill="auto"/>
            <w:tcMar>
              <w:left w:w="57" w:type="dxa"/>
              <w:right w:w="57" w:type="dxa"/>
            </w:tcMar>
            <w:vAlign w:val="center"/>
          </w:tcPr>
          <w:p w14:paraId="5FF41D8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31CC06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10DB70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634A88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D31C9B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A142B5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2CEF1B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81A9AF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FB6FD9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9DE45EB" w14:textId="77777777" w:rsidTr="00A304E9">
        <w:trPr>
          <w:jc w:val="center"/>
        </w:trPr>
        <w:tc>
          <w:tcPr>
            <w:tcW w:w="5103" w:type="dxa"/>
            <w:shd w:val="clear" w:color="auto" w:fill="auto"/>
          </w:tcPr>
          <w:p w14:paraId="2AA04EDF"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 site appartient-il à une zone Agro-pastorale à priorité élevage (ZAPE) ?</w:t>
            </w:r>
          </w:p>
        </w:tc>
        <w:tc>
          <w:tcPr>
            <w:tcW w:w="496" w:type="dxa"/>
            <w:shd w:val="clear" w:color="auto" w:fill="auto"/>
            <w:tcMar>
              <w:left w:w="57" w:type="dxa"/>
              <w:right w:w="57" w:type="dxa"/>
            </w:tcMar>
            <w:vAlign w:val="center"/>
          </w:tcPr>
          <w:p w14:paraId="62FE814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8B33AF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EEA075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327BCB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67F8FE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6C1299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B65BCC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90720B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17ED5D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F606EED" w14:textId="77777777" w:rsidTr="00A304E9">
        <w:trPr>
          <w:jc w:val="center"/>
        </w:trPr>
        <w:tc>
          <w:tcPr>
            <w:tcW w:w="5103" w:type="dxa"/>
            <w:shd w:val="clear" w:color="auto" w:fill="auto"/>
          </w:tcPr>
          <w:p w14:paraId="2F2CED50" w14:textId="77777777" w:rsidR="00477A61" w:rsidRPr="00E01239" w:rsidRDefault="00477A61" w:rsidP="002A19B3">
            <w:pPr>
              <w:pStyle w:val="Paragraphedeliste"/>
              <w:numPr>
                <w:ilvl w:val="0"/>
                <w:numId w:val="41"/>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Les pistes de productions sont-elles bien délimitées ?</w:t>
            </w:r>
          </w:p>
        </w:tc>
        <w:tc>
          <w:tcPr>
            <w:tcW w:w="496" w:type="dxa"/>
            <w:shd w:val="clear" w:color="auto" w:fill="auto"/>
            <w:tcMar>
              <w:left w:w="57" w:type="dxa"/>
              <w:right w:w="57" w:type="dxa"/>
            </w:tcMar>
            <w:vAlign w:val="center"/>
          </w:tcPr>
          <w:p w14:paraId="6998DE9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8A0407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6D5E78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71F044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BF3C50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1DB527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5F7C23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CE1FAF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34669B4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708D1F7" w14:textId="77777777" w:rsidTr="00A304E9">
        <w:trPr>
          <w:jc w:val="center"/>
        </w:trPr>
        <w:tc>
          <w:tcPr>
            <w:tcW w:w="5103" w:type="dxa"/>
            <w:shd w:val="clear" w:color="auto" w:fill="auto"/>
          </w:tcPr>
          <w:p w14:paraId="118C5C68" w14:textId="77777777" w:rsidR="00477A61" w:rsidRPr="00E01239" w:rsidRDefault="00477A61" w:rsidP="002A19B3">
            <w:pPr>
              <w:pStyle w:val="Paragraphedeliste"/>
              <w:numPr>
                <w:ilvl w:val="0"/>
                <w:numId w:val="41"/>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Les voies d’évacuation des rejets hydro-agricoles sont-elles bien sécurisées ?</w:t>
            </w:r>
          </w:p>
        </w:tc>
        <w:tc>
          <w:tcPr>
            <w:tcW w:w="496" w:type="dxa"/>
            <w:shd w:val="clear" w:color="auto" w:fill="auto"/>
            <w:tcMar>
              <w:left w:w="57" w:type="dxa"/>
              <w:right w:w="57" w:type="dxa"/>
            </w:tcMar>
            <w:vAlign w:val="center"/>
          </w:tcPr>
          <w:p w14:paraId="50C1C13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41F61F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2FDC63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CA9765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C2D729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6930C2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245746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D8F7D8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64CF129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3EA497B" w14:textId="77777777" w:rsidTr="00A304E9">
        <w:trPr>
          <w:jc w:val="center"/>
        </w:trPr>
        <w:tc>
          <w:tcPr>
            <w:tcW w:w="5103" w:type="dxa"/>
            <w:shd w:val="clear" w:color="auto" w:fill="auto"/>
          </w:tcPr>
          <w:p w14:paraId="286BE9E4" w14:textId="77777777" w:rsidR="00477A61" w:rsidRPr="00E01239" w:rsidRDefault="00477A61" w:rsidP="002A19B3">
            <w:pPr>
              <w:pStyle w:val="Paragraphedeliste"/>
              <w:numPr>
                <w:ilvl w:val="0"/>
                <w:numId w:val="41"/>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 projet peut-il entraîner des utilisations incompatibles avec le milieu ?</w:t>
            </w:r>
          </w:p>
        </w:tc>
        <w:tc>
          <w:tcPr>
            <w:tcW w:w="496" w:type="dxa"/>
            <w:shd w:val="clear" w:color="auto" w:fill="auto"/>
            <w:tcMar>
              <w:left w:w="57" w:type="dxa"/>
              <w:right w:w="57" w:type="dxa"/>
            </w:tcMar>
            <w:vAlign w:val="center"/>
          </w:tcPr>
          <w:p w14:paraId="4EF89EB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2EE29A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5C19F1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001665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0BFCC9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91833B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084C75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0DF9ED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DDC350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4DCB13C" w14:textId="77777777" w:rsidTr="00A304E9">
        <w:trPr>
          <w:jc w:val="center"/>
        </w:trPr>
        <w:tc>
          <w:tcPr>
            <w:tcW w:w="5103" w:type="dxa"/>
            <w:shd w:val="clear" w:color="auto" w:fill="auto"/>
          </w:tcPr>
          <w:p w14:paraId="6E11C444" w14:textId="77777777" w:rsidR="00477A61" w:rsidRPr="00E01239" w:rsidRDefault="00477A61" w:rsidP="00A304E9">
            <w:pPr>
              <w:pBdr>
                <w:top w:val="nil"/>
                <w:left w:val="nil"/>
                <w:bottom w:val="nil"/>
                <w:right w:val="nil"/>
                <w:between w:val="nil"/>
                <w:bar w:val="nil"/>
              </w:pBdr>
              <w:contextualSpacing/>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 site se situe-t-elle dans une zone de biodiversité ?</w:t>
            </w:r>
          </w:p>
        </w:tc>
        <w:tc>
          <w:tcPr>
            <w:tcW w:w="496" w:type="dxa"/>
            <w:shd w:val="clear" w:color="auto" w:fill="auto"/>
            <w:tcMar>
              <w:left w:w="57" w:type="dxa"/>
              <w:right w:w="57" w:type="dxa"/>
            </w:tcMar>
            <w:vAlign w:val="center"/>
          </w:tcPr>
          <w:p w14:paraId="3AA35F5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88CC3B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B3C8DF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D1FBBD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576D36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A998A5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F5BDBC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20A59E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2279DC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B516217" w14:textId="77777777" w:rsidTr="00A304E9">
        <w:trPr>
          <w:jc w:val="center"/>
        </w:trPr>
        <w:tc>
          <w:tcPr>
            <w:tcW w:w="5103" w:type="dxa"/>
            <w:shd w:val="clear" w:color="auto" w:fill="auto"/>
          </w:tcPr>
          <w:p w14:paraId="518831D3" w14:textId="77777777" w:rsidR="00477A61" w:rsidRPr="00E01239" w:rsidRDefault="00477A61" w:rsidP="002A19B3">
            <w:pPr>
              <w:pStyle w:val="Paragraphedeliste"/>
              <w:numPr>
                <w:ilvl w:val="0"/>
                <w:numId w:val="42"/>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Les aires classées et les habitats naturels sont-elles bien délimitées ?</w:t>
            </w:r>
          </w:p>
        </w:tc>
        <w:tc>
          <w:tcPr>
            <w:tcW w:w="496" w:type="dxa"/>
            <w:shd w:val="clear" w:color="auto" w:fill="auto"/>
            <w:tcMar>
              <w:left w:w="57" w:type="dxa"/>
              <w:right w:w="57" w:type="dxa"/>
            </w:tcMar>
            <w:vAlign w:val="center"/>
          </w:tcPr>
          <w:p w14:paraId="70EC3C3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1CE547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38BD88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6FDEDA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6933E9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9D50AA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D06CD2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8F8861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613CFA0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65060966" w14:textId="77777777" w:rsidTr="00A304E9">
        <w:trPr>
          <w:jc w:val="center"/>
        </w:trPr>
        <w:tc>
          <w:tcPr>
            <w:tcW w:w="5103" w:type="dxa"/>
            <w:shd w:val="clear" w:color="auto" w:fill="auto"/>
          </w:tcPr>
          <w:p w14:paraId="7C2D1459" w14:textId="77777777" w:rsidR="00477A61" w:rsidRPr="00E01239" w:rsidRDefault="00477A61" w:rsidP="002A19B3">
            <w:pPr>
              <w:pStyle w:val="Paragraphedeliste"/>
              <w:numPr>
                <w:ilvl w:val="0"/>
                <w:numId w:val="42"/>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Les zones amodiées et les zones d’intérêt cynégétique sont-elles bien délimitées ?</w:t>
            </w:r>
          </w:p>
        </w:tc>
        <w:tc>
          <w:tcPr>
            <w:tcW w:w="496" w:type="dxa"/>
            <w:shd w:val="clear" w:color="auto" w:fill="auto"/>
            <w:tcMar>
              <w:left w:w="57" w:type="dxa"/>
              <w:right w:w="57" w:type="dxa"/>
            </w:tcMar>
            <w:vAlign w:val="center"/>
          </w:tcPr>
          <w:p w14:paraId="68728E3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DC7E0B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4805113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57350E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3F3EF3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02D9C8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0DB993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3911A6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0AF02A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63A5182" w14:textId="77777777" w:rsidTr="00A304E9">
        <w:trPr>
          <w:jc w:val="center"/>
        </w:trPr>
        <w:tc>
          <w:tcPr>
            <w:tcW w:w="5103" w:type="dxa"/>
            <w:shd w:val="clear" w:color="auto" w:fill="auto"/>
          </w:tcPr>
          <w:p w14:paraId="33A37F7F" w14:textId="77777777" w:rsidR="00477A61" w:rsidRPr="00E01239" w:rsidRDefault="00477A61" w:rsidP="00A304E9">
            <w:pPr>
              <w:pBdr>
                <w:top w:val="nil"/>
                <w:left w:val="nil"/>
                <w:bottom w:val="nil"/>
                <w:right w:val="nil"/>
                <w:between w:val="nil"/>
                <w:bar w:val="nil"/>
              </w:pBdr>
              <w:contextualSpacing/>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sz w:val="22"/>
                <w:szCs w:val="22"/>
                <w:u w:color="000000"/>
                <w:bdr w:val="nil"/>
              </w:rPr>
              <w:t>Le choix a-t-il été effectué par une planification publique (Etat, collectivité locale, projet, etc.) </w:t>
            </w:r>
          </w:p>
        </w:tc>
        <w:tc>
          <w:tcPr>
            <w:tcW w:w="496" w:type="dxa"/>
            <w:shd w:val="clear" w:color="auto" w:fill="auto"/>
            <w:tcMar>
              <w:left w:w="57" w:type="dxa"/>
              <w:right w:w="57" w:type="dxa"/>
            </w:tcMar>
            <w:vAlign w:val="center"/>
          </w:tcPr>
          <w:p w14:paraId="225F052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2547C3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E2EDAF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69244E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469A3B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3B96E0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BBDF8C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1FCB62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6E54FF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6217D5C" w14:textId="77777777" w:rsidTr="00A304E9">
        <w:trPr>
          <w:jc w:val="center"/>
        </w:trPr>
        <w:tc>
          <w:tcPr>
            <w:tcW w:w="5103" w:type="dxa"/>
            <w:shd w:val="clear" w:color="auto" w:fill="auto"/>
          </w:tcPr>
          <w:p w14:paraId="1655D5D9" w14:textId="77777777" w:rsidR="00477A61" w:rsidRPr="00E01239" w:rsidRDefault="00477A61" w:rsidP="00A304E9">
            <w:pPr>
              <w:pBdr>
                <w:top w:val="nil"/>
                <w:left w:val="nil"/>
                <w:bottom w:val="nil"/>
                <w:right w:val="nil"/>
                <w:between w:val="nil"/>
                <w:bar w:val="nil"/>
              </w:pBdr>
              <w:contextualSpacing/>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sz w:val="22"/>
                <w:szCs w:val="22"/>
                <w:u w:color="000000"/>
                <w:bdr w:val="nil"/>
              </w:rPr>
              <w:t>Le choix du site a-t-il été effectué à partir d’une demande associative ou privée ?</w:t>
            </w:r>
          </w:p>
        </w:tc>
        <w:tc>
          <w:tcPr>
            <w:tcW w:w="496" w:type="dxa"/>
            <w:shd w:val="clear" w:color="auto" w:fill="auto"/>
            <w:tcMar>
              <w:left w:w="57" w:type="dxa"/>
              <w:right w:w="57" w:type="dxa"/>
            </w:tcMar>
            <w:vAlign w:val="center"/>
          </w:tcPr>
          <w:p w14:paraId="75F9B5B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7BCAC5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C2D038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5ED8ED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58E83E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76844E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62782D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4D466A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372CCA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E006C9C" w14:textId="77777777" w:rsidTr="00A304E9">
        <w:trPr>
          <w:jc w:val="center"/>
        </w:trPr>
        <w:tc>
          <w:tcPr>
            <w:tcW w:w="5103" w:type="dxa"/>
            <w:shd w:val="clear" w:color="auto" w:fill="auto"/>
          </w:tcPr>
          <w:p w14:paraId="4DD2D45D" w14:textId="77777777" w:rsidR="00477A61" w:rsidRPr="00E01239" w:rsidRDefault="00477A61" w:rsidP="002A19B3">
            <w:pPr>
              <w:pStyle w:val="Paragraphedeliste"/>
              <w:numPr>
                <w:ilvl w:val="0"/>
                <w:numId w:val="27"/>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site a-t-il été validé techniquement par les autorités compétentes ?</w:t>
            </w:r>
          </w:p>
        </w:tc>
        <w:tc>
          <w:tcPr>
            <w:tcW w:w="496" w:type="dxa"/>
            <w:shd w:val="clear" w:color="auto" w:fill="auto"/>
            <w:tcMar>
              <w:left w:w="57" w:type="dxa"/>
              <w:right w:w="57" w:type="dxa"/>
            </w:tcMar>
            <w:vAlign w:val="center"/>
          </w:tcPr>
          <w:p w14:paraId="2C29D87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C63120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FB819A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4BCAD2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54A8AD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7BCB79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DDAF34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3B35D6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3123ED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F7D23BF" w14:textId="77777777" w:rsidTr="00A304E9">
        <w:trPr>
          <w:jc w:val="center"/>
        </w:trPr>
        <w:tc>
          <w:tcPr>
            <w:tcW w:w="5103" w:type="dxa"/>
            <w:shd w:val="clear" w:color="auto" w:fill="auto"/>
          </w:tcPr>
          <w:p w14:paraId="4153553E" w14:textId="77777777" w:rsidR="00477A61" w:rsidRPr="00E01239" w:rsidRDefault="00477A61" w:rsidP="002A19B3">
            <w:pPr>
              <w:pStyle w:val="Paragraphedeliste"/>
              <w:numPr>
                <w:ilvl w:val="0"/>
                <w:numId w:val="27"/>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sz w:val="22"/>
                <w:szCs w:val="22"/>
                <w:u w:color="000000"/>
                <w:bdr w:val="nil"/>
              </w:rPr>
              <w:t>Est-il l’objet d’un consensus bénéficiaires/non bénéficiaires ?</w:t>
            </w:r>
          </w:p>
        </w:tc>
        <w:tc>
          <w:tcPr>
            <w:tcW w:w="496" w:type="dxa"/>
            <w:shd w:val="clear" w:color="auto" w:fill="auto"/>
            <w:tcMar>
              <w:left w:w="57" w:type="dxa"/>
              <w:right w:w="57" w:type="dxa"/>
            </w:tcMar>
            <w:vAlign w:val="center"/>
          </w:tcPr>
          <w:p w14:paraId="34FA0AA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7778A94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B02CA2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5113CD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156D5E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B58A65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2F1D32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23F96C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C882EE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65EB7A6" w14:textId="77777777" w:rsidTr="00A304E9">
        <w:trPr>
          <w:jc w:val="center"/>
        </w:trPr>
        <w:tc>
          <w:tcPr>
            <w:tcW w:w="5103" w:type="dxa"/>
            <w:shd w:val="clear" w:color="auto" w:fill="auto"/>
          </w:tcPr>
          <w:p w14:paraId="6ED13492" w14:textId="77777777" w:rsidR="00477A61" w:rsidRPr="00E01239" w:rsidRDefault="00477A61" w:rsidP="002A19B3">
            <w:pPr>
              <w:pStyle w:val="Paragraphedeliste"/>
              <w:numPr>
                <w:ilvl w:val="0"/>
                <w:numId w:val="27"/>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 la validation ou consensus prennent-ils en compte les aspects genre/couches vulnérables ?</w:t>
            </w:r>
          </w:p>
        </w:tc>
        <w:tc>
          <w:tcPr>
            <w:tcW w:w="496" w:type="dxa"/>
            <w:shd w:val="clear" w:color="auto" w:fill="auto"/>
            <w:tcMar>
              <w:left w:w="57" w:type="dxa"/>
              <w:right w:w="57" w:type="dxa"/>
            </w:tcMar>
            <w:vAlign w:val="center"/>
          </w:tcPr>
          <w:p w14:paraId="6ADAAB3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61E83A1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508A89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837AF5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B4DC52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191B71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E290D1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7E75C1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41C464E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16D84313" w14:textId="77777777" w:rsidTr="00A304E9">
        <w:trPr>
          <w:jc w:val="center"/>
        </w:trPr>
        <w:tc>
          <w:tcPr>
            <w:tcW w:w="5103" w:type="dxa"/>
            <w:shd w:val="clear" w:color="auto" w:fill="auto"/>
          </w:tcPr>
          <w:p w14:paraId="1AB81FB8" w14:textId="77777777" w:rsidR="00477A61" w:rsidRPr="00E01239" w:rsidRDefault="00477A61" w:rsidP="002A19B3">
            <w:pPr>
              <w:pStyle w:val="Paragraphedeliste"/>
              <w:numPr>
                <w:ilvl w:val="0"/>
                <w:numId w:val="28"/>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sz w:val="22"/>
                <w:szCs w:val="22"/>
                <w:u w:color="000000"/>
                <w:bdr w:val="nil"/>
              </w:rPr>
              <w:t>Le contexte du projet est-il considéré comme conflictuel ?</w:t>
            </w:r>
          </w:p>
        </w:tc>
        <w:tc>
          <w:tcPr>
            <w:tcW w:w="496" w:type="dxa"/>
            <w:shd w:val="clear" w:color="auto" w:fill="auto"/>
            <w:tcMar>
              <w:left w:w="57" w:type="dxa"/>
              <w:right w:w="57" w:type="dxa"/>
            </w:tcMar>
            <w:vAlign w:val="center"/>
          </w:tcPr>
          <w:p w14:paraId="24A5831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7CA34B3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1F88935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588F98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2D954C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695707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E0864D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311744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FA5CDE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1E2A343F" w14:textId="77777777" w:rsidTr="00A304E9">
        <w:trPr>
          <w:jc w:val="center"/>
        </w:trPr>
        <w:tc>
          <w:tcPr>
            <w:tcW w:w="5103" w:type="dxa"/>
            <w:shd w:val="clear" w:color="auto" w:fill="auto"/>
          </w:tcPr>
          <w:p w14:paraId="01920001" w14:textId="77777777" w:rsidR="00477A61" w:rsidRPr="00E01239" w:rsidRDefault="00477A61" w:rsidP="002A19B3">
            <w:pPr>
              <w:pStyle w:val="Paragraphedeliste"/>
              <w:numPr>
                <w:ilvl w:val="0"/>
                <w:numId w:val="28"/>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Le projet peut-il contribuer à détériorer encore plus ce contexte ?</w:t>
            </w:r>
          </w:p>
        </w:tc>
        <w:tc>
          <w:tcPr>
            <w:tcW w:w="496" w:type="dxa"/>
            <w:shd w:val="clear" w:color="auto" w:fill="auto"/>
            <w:tcMar>
              <w:left w:w="57" w:type="dxa"/>
              <w:right w:w="57" w:type="dxa"/>
            </w:tcMar>
            <w:vAlign w:val="center"/>
          </w:tcPr>
          <w:p w14:paraId="5916E08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DAFB34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87D2D6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544230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201D15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AC8B6B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117837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E1A7FF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09ABC82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61C2DA0" w14:textId="77777777" w:rsidTr="00A304E9">
        <w:trPr>
          <w:jc w:val="center"/>
        </w:trPr>
        <w:tc>
          <w:tcPr>
            <w:tcW w:w="5103" w:type="dxa"/>
            <w:shd w:val="clear" w:color="auto" w:fill="auto"/>
          </w:tcPr>
          <w:p w14:paraId="54231194" w14:textId="77777777" w:rsidR="00477A61" w:rsidRPr="00E01239" w:rsidRDefault="00477A61" w:rsidP="002A19B3">
            <w:pPr>
              <w:pStyle w:val="Paragraphedeliste"/>
              <w:numPr>
                <w:ilvl w:val="0"/>
                <w:numId w:val="28"/>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Le projet peut-il contribuer à apaiser au moins en partie ce contexte ?</w:t>
            </w:r>
          </w:p>
        </w:tc>
        <w:tc>
          <w:tcPr>
            <w:tcW w:w="496" w:type="dxa"/>
            <w:shd w:val="clear" w:color="auto" w:fill="auto"/>
            <w:tcMar>
              <w:left w:w="57" w:type="dxa"/>
              <w:right w:w="57" w:type="dxa"/>
            </w:tcMar>
            <w:vAlign w:val="center"/>
          </w:tcPr>
          <w:p w14:paraId="6066398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4CBAA77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FB6965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AB3080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147249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153BC5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46CA59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718E81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18DC06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23379E8" w14:textId="77777777" w:rsidTr="00A304E9">
        <w:trPr>
          <w:jc w:val="center"/>
        </w:trPr>
        <w:tc>
          <w:tcPr>
            <w:tcW w:w="5103" w:type="dxa"/>
            <w:shd w:val="clear" w:color="auto" w:fill="auto"/>
          </w:tcPr>
          <w:p w14:paraId="120F4206" w14:textId="77777777" w:rsidR="00477A61" w:rsidRPr="00E01239" w:rsidRDefault="00477A61" w:rsidP="002A19B3">
            <w:pPr>
              <w:pStyle w:val="Paragraphedeliste"/>
              <w:numPr>
                <w:ilvl w:val="0"/>
                <w:numId w:val="28"/>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La résolution du conflit est-elle un préalable à la mise en œuvre du projet ?</w:t>
            </w:r>
          </w:p>
        </w:tc>
        <w:tc>
          <w:tcPr>
            <w:tcW w:w="496" w:type="dxa"/>
            <w:shd w:val="clear" w:color="auto" w:fill="auto"/>
            <w:tcMar>
              <w:left w:w="57" w:type="dxa"/>
              <w:right w:w="57" w:type="dxa"/>
            </w:tcMar>
            <w:vAlign w:val="center"/>
          </w:tcPr>
          <w:p w14:paraId="6E648D0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284711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4DF31D8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2C18BC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61C3E2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489A82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005ABC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49CAF1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39F4DF9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70D14F9" w14:textId="77777777" w:rsidTr="00A304E9">
        <w:trPr>
          <w:jc w:val="center"/>
        </w:trPr>
        <w:tc>
          <w:tcPr>
            <w:tcW w:w="5103" w:type="dxa"/>
            <w:shd w:val="clear" w:color="auto" w:fill="auto"/>
          </w:tcPr>
          <w:p w14:paraId="0BD87407" w14:textId="77777777" w:rsidR="00477A61" w:rsidRPr="00E01239" w:rsidRDefault="00477A61" w:rsidP="002A19B3">
            <w:pPr>
              <w:pStyle w:val="Paragraphedeliste"/>
              <w:numPr>
                <w:ilvl w:val="0"/>
                <w:numId w:val="28"/>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Le contexte de sécurité publique est-il clairement analysé ?</w:t>
            </w:r>
          </w:p>
        </w:tc>
        <w:tc>
          <w:tcPr>
            <w:tcW w:w="496" w:type="dxa"/>
            <w:shd w:val="clear" w:color="auto" w:fill="auto"/>
            <w:tcMar>
              <w:left w:w="57" w:type="dxa"/>
              <w:right w:w="57" w:type="dxa"/>
            </w:tcMar>
            <w:vAlign w:val="center"/>
          </w:tcPr>
          <w:p w14:paraId="09E7F39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279619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5A16B5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CA0F11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54D76B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7D10EC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A307AC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0E3DF2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30F44BC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5F49968" w14:textId="77777777" w:rsidTr="00A304E9">
        <w:trPr>
          <w:jc w:val="center"/>
        </w:trPr>
        <w:tc>
          <w:tcPr>
            <w:tcW w:w="5103" w:type="dxa"/>
            <w:shd w:val="clear" w:color="auto" w:fill="auto"/>
          </w:tcPr>
          <w:p w14:paraId="3BEA66F4" w14:textId="77777777" w:rsidR="00477A61" w:rsidRPr="00E01239" w:rsidRDefault="00477A61" w:rsidP="002A19B3">
            <w:pPr>
              <w:pStyle w:val="Paragraphedeliste"/>
              <w:numPr>
                <w:ilvl w:val="0"/>
                <w:numId w:val="28"/>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L’amélioration de la situation sécuritaire est-elle un préalable au projet ?</w:t>
            </w:r>
          </w:p>
        </w:tc>
        <w:tc>
          <w:tcPr>
            <w:tcW w:w="496" w:type="dxa"/>
            <w:shd w:val="clear" w:color="auto" w:fill="auto"/>
            <w:tcMar>
              <w:left w:w="57" w:type="dxa"/>
              <w:right w:w="57" w:type="dxa"/>
            </w:tcMar>
            <w:vAlign w:val="center"/>
          </w:tcPr>
          <w:p w14:paraId="2A7C77F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412B94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D5A0F3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3067C9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AE6448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EDFFE8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2347B2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2664A0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4933093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0D90803" w14:textId="77777777" w:rsidTr="00A304E9">
        <w:trPr>
          <w:jc w:val="center"/>
        </w:trPr>
        <w:tc>
          <w:tcPr>
            <w:tcW w:w="5103" w:type="dxa"/>
            <w:shd w:val="clear" w:color="auto" w:fill="auto"/>
          </w:tcPr>
          <w:p w14:paraId="53AE073E" w14:textId="77777777" w:rsidR="00477A61" w:rsidRPr="00E01239" w:rsidRDefault="00477A61" w:rsidP="002A19B3">
            <w:pPr>
              <w:pStyle w:val="Paragraphedeliste"/>
              <w:numPr>
                <w:ilvl w:val="0"/>
                <w:numId w:val="28"/>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Le projet pourrait-il accroître l’insécurité sur sa zone d’implantation ou d’influence ?</w:t>
            </w:r>
          </w:p>
        </w:tc>
        <w:tc>
          <w:tcPr>
            <w:tcW w:w="496" w:type="dxa"/>
            <w:shd w:val="clear" w:color="auto" w:fill="auto"/>
            <w:tcMar>
              <w:left w:w="57" w:type="dxa"/>
              <w:right w:w="57" w:type="dxa"/>
            </w:tcMar>
            <w:vAlign w:val="center"/>
          </w:tcPr>
          <w:p w14:paraId="5658B4E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4210AE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2AB81C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89F7F6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9E825E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A03F12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44843C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35C3F5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4F6F31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69087F8" w14:textId="77777777" w:rsidTr="00A304E9">
        <w:trPr>
          <w:jc w:val="center"/>
        </w:trPr>
        <w:tc>
          <w:tcPr>
            <w:tcW w:w="5103" w:type="dxa"/>
            <w:shd w:val="clear" w:color="auto" w:fill="auto"/>
          </w:tcPr>
          <w:p w14:paraId="41150D38" w14:textId="77777777" w:rsidR="00477A61" w:rsidRPr="00E01239" w:rsidRDefault="00477A61" w:rsidP="002A19B3">
            <w:pPr>
              <w:pStyle w:val="Paragraphedeliste"/>
              <w:numPr>
                <w:ilvl w:val="0"/>
                <w:numId w:val="28"/>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Des mesures ont-elles été prises pour limiter les risques ou améliorer la sécurité ?</w:t>
            </w:r>
          </w:p>
        </w:tc>
        <w:tc>
          <w:tcPr>
            <w:tcW w:w="496" w:type="dxa"/>
            <w:shd w:val="clear" w:color="auto" w:fill="auto"/>
            <w:tcMar>
              <w:left w:w="57" w:type="dxa"/>
              <w:right w:w="57" w:type="dxa"/>
            </w:tcMar>
            <w:vAlign w:val="center"/>
          </w:tcPr>
          <w:p w14:paraId="5FA8E4A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6D5997B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11D28C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6B2659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4EFF8A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523958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12D55D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3429FE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DFE0EF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ADD4CCE" w14:textId="77777777" w:rsidTr="00A304E9">
        <w:trPr>
          <w:jc w:val="center"/>
        </w:trPr>
        <w:tc>
          <w:tcPr>
            <w:tcW w:w="5103" w:type="dxa"/>
            <w:shd w:val="clear" w:color="auto" w:fill="auto"/>
          </w:tcPr>
          <w:p w14:paraId="21BD336D" w14:textId="77777777" w:rsidR="00477A61" w:rsidRPr="00E01239" w:rsidRDefault="00477A61" w:rsidP="00A304E9">
            <w:pPr>
              <w:pBdr>
                <w:top w:val="nil"/>
                <w:left w:val="nil"/>
                <w:bottom w:val="nil"/>
                <w:right w:val="nil"/>
                <w:between w:val="nil"/>
                <w:bar w:val="nil"/>
              </w:pBdr>
              <w:contextualSpacing/>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sz w:val="22"/>
                <w:szCs w:val="22"/>
                <w:u w:color="000000"/>
                <w:bdr w:val="nil"/>
              </w:rPr>
              <w:t>La présence d’autres projets similaires a-t-elle été correctement identifiée ?</w:t>
            </w:r>
          </w:p>
        </w:tc>
        <w:tc>
          <w:tcPr>
            <w:tcW w:w="496" w:type="dxa"/>
            <w:shd w:val="clear" w:color="auto" w:fill="auto"/>
            <w:tcMar>
              <w:left w:w="57" w:type="dxa"/>
              <w:right w:w="57" w:type="dxa"/>
            </w:tcMar>
            <w:vAlign w:val="center"/>
          </w:tcPr>
          <w:p w14:paraId="726A99A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7E95EA0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83FA4F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CA7BDB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A26F61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3BBC8E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6179CD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2E7AF4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D3D11B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FFCAF33" w14:textId="77777777" w:rsidTr="00A304E9">
        <w:trPr>
          <w:jc w:val="center"/>
        </w:trPr>
        <w:tc>
          <w:tcPr>
            <w:tcW w:w="5103" w:type="dxa"/>
            <w:shd w:val="clear" w:color="auto" w:fill="auto"/>
          </w:tcPr>
          <w:p w14:paraId="26D864F0" w14:textId="77777777" w:rsidR="00477A61" w:rsidRPr="00E01239" w:rsidRDefault="00477A61" w:rsidP="002A19B3">
            <w:pPr>
              <w:pStyle w:val="Paragraphedeliste"/>
              <w:numPr>
                <w:ilvl w:val="0"/>
                <w:numId w:val="29"/>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sz w:val="22"/>
                <w:szCs w:val="22"/>
                <w:u w:color="000000"/>
                <w:bdr w:val="nil"/>
              </w:rPr>
              <w:t>Un projet similaire a-t-il été abandonné, non-pérennisé ou a-t-il échoué dans la région ?</w:t>
            </w:r>
          </w:p>
        </w:tc>
        <w:tc>
          <w:tcPr>
            <w:tcW w:w="496" w:type="dxa"/>
            <w:shd w:val="clear" w:color="auto" w:fill="auto"/>
            <w:tcMar>
              <w:left w:w="57" w:type="dxa"/>
              <w:right w:w="57" w:type="dxa"/>
            </w:tcMar>
            <w:vAlign w:val="center"/>
          </w:tcPr>
          <w:p w14:paraId="56A5067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3F583F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4CD506F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3799A0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B161BD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A37BEA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79A16E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D6DC75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785B85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2938D4E" w14:textId="77777777" w:rsidTr="00A304E9">
        <w:trPr>
          <w:jc w:val="center"/>
        </w:trPr>
        <w:tc>
          <w:tcPr>
            <w:tcW w:w="5103" w:type="dxa"/>
            <w:shd w:val="clear" w:color="auto" w:fill="auto"/>
          </w:tcPr>
          <w:p w14:paraId="2BDA2513" w14:textId="77777777" w:rsidR="00477A61" w:rsidRPr="00E01239" w:rsidRDefault="00477A61" w:rsidP="002A19B3">
            <w:pPr>
              <w:pStyle w:val="Paragraphedeliste"/>
              <w:numPr>
                <w:ilvl w:val="0"/>
                <w:numId w:val="29"/>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Les causes d’abandon ou d’échec sont-elles connues ?</w:t>
            </w:r>
          </w:p>
        </w:tc>
        <w:tc>
          <w:tcPr>
            <w:tcW w:w="496" w:type="dxa"/>
            <w:shd w:val="clear" w:color="auto" w:fill="auto"/>
            <w:tcMar>
              <w:left w:w="57" w:type="dxa"/>
              <w:right w:w="57" w:type="dxa"/>
            </w:tcMar>
            <w:vAlign w:val="center"/>
          </w:tcPr>
          <w:p w14:paraId="6ACD12C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8575EE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AE167C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456907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7F1CD6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262830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84A42E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3F5155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C41C79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68BD1B2B" w14:textId="77777777" w:rsidTr="00A304E9">
        <w:trPr>
          <w:jc w:val="center"/>
        </w:trPr>
        <w:tc>
          <w:tcPr>
            <w:tcW w:w="5103" w:type="dxa"/>
            <w:shd w:val="clear" w:color="auto" w:fill="auto"/>
          </w:tcPr>
          <w:p w14:paraId="11A0B6D1" w14:textId="77777777" w:rsidR="00477A61" w:rsidRPr="00E01239" w:rsidRDefault="00477A61" w:rsidP="002A19B3">
            <w:pPr>
              <w:pStyle w:val="Paragraphedeliste"/>
              <w:numPr>
                <w:ilvl w:val="0"/>
                <w:numId w:val="29"/>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lastRenderedPageBreak/>
              <w:t>Ces mêmes causes ont-elles été levées pour le nouveau projet ?</w:t>
            </w:r>
          </w:p>
        </w:tc>
        <w:tc>
          <w:tcPr>
            <w:tcW w:w="496" w:type="dxa"/>
            <w:shd w:val="clear" w:color="auto" w:fill="auto"/>
            <w:tcMar>
              <w:left w:w="57" w:type="dxa"/>
              <w:right w:w="57" w:type="dxa"/>
            </w:tcMar>
            <w:vAlign w:val="center"/>
          </w:tcPr>
          <w:p w14:paraId="5D921C5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4956C43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0B3820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18FF18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A32921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11BCE2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2C09EC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2985F2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6A876F1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39C8BB85" w14:textId="77777777" w:rsidTr="00A304E9">
        <w:trPr>
          <w:jc w:val="center"/>
        </w:trPr>
        <w:tc>
          <w:tcPr>
            <w:tcW w:w="5103" w:type="dxa"/>
            <w:shd w:val="clear" w:color="auto" w:fill="auto"/>
          </w:tcPr>
          <w:p w14:paraId="39C836B5" w14:textId="77777777" w:rsidR="00477A61" w:rsidRPr="00E01239" w:rsidRDefault="00477A61" w:rsidP="002A19B3">
            <w:pPr>
              <w:pStyle w:val="Paragraphedeliste"/>
              <w:numPr>
                <w:ilvl w:val="0"/>
                <w:numId w:val="29"/>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sz w:val="22"/>
                <w:szCs w:val="22"/>
                <w:u w:color="000000"/>
                <w:bdr w:val="nil"/>
              </w:rPr>
              <w:t>Un projet similaire a-t-il provoqué des conflits ou de l’insécurité dans la région ?</w:t>
            </w:r>
          </w:p>
        </w:tc>
        <w:tc>
          <w:tcPr>
            <w:tcW w:w="496" w:type="dxa"/>
            <w:shd w:val="clear" w:color="auto" w:fill="auto"/>
            <w:tcMar>
              <w:left w:w="57" w:type="dxa"/>
              <w:right w:w="57" w:type="dxa"/>
            </w:tcMar>
            <w:vAlign w:val="center"/>
          </w:tcPr>
          <w:p w14:paraId="50E7A1C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6136624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E660C5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BF48D2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FD7A3F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EBA77F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29A6B1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90B627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44CE4F6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68DC06CF" w14:textId="77777777" w:rsidTr="00A304E9">
        <w:trPr>
          <w:jc w:val="center"/>
        </w:trPr>
        <w:tc>
          <w:tcPr>
            <w:tcW w:w="5103" w:type="dxa"/>
            <w:shd w:val="clear" w:color="auto" w:fill="auto"/>
          </w:tcPr>
          <w:p w14:paraId="64CEB162" w14:textId="77777777" w:rsidR="00477A61" w:rsidRPr="00E01239" w:rsidRDefault="00477A61" w:rsidP="002A19B3">
            <w:pPr>
              <w:pStyle w:val="Paragraphedeliste"/>
              <w:numPr>
                <w:ilvl w:val="0"/>
                <w:numId w:val="29"/>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Les causes des conflits ou de l’insécurité sont-elles connues ?</w:t>
            </w:r>
          </w:p>
        </w:tc>
        <w:tc>
          <w:tcPr>
            <w:tcW w:w="496" w:type="dxa"/>
            <w:shd w:val="clear" w:color="auto" w:fill="auto"/>
            <w:tcMar>
              <w:left w:w="57" w:type="dxa"/>
              <w:right w:w="57" w:type="dxa"/>
            </w:tcMar>
            <w:vAlign w:val="center"/>
          </w:tcPr>
          <w:p w14:paraId="6877F52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D0509B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551EFC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36826F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DAAC53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B5D9F4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1B3889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F8C963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F6BE27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57D2F63" w14:textId="77777777" w:rsidTr="00A304E9">
        <w:trPr>
          <w:jc w:val="center"/>
        </w:trPr>
        <w:tc>
          <w:tcPr>
            <w:tcW w:w="5103" w:type="dxa"/>
            <w:shd w:val="clear" w:color="auto" w:fill="auto"/>
          </w:tcPr>
          <w:p w14:paraId="5BFE1EB8" w14:textId="77777777" w:rsidR="00477A61" w:rsidRPr="00E01239" w:rsidRDefault="00477A61" w:rsidP="002A19B3">
            <w:pPr>
              <w:pStyle w:val="Paragraphedeliste"/>
              <w:numPr>
                <w:ilvl w:val="0"/>
                <w:numId w:val="29"/>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Ces mêmes causes ont-elles été levées pour le nouveau projet ?</w:t>
            </w:r>
          </w:p>
        </w:tc>
        <w:tc>
          <w:tcPr>
            <w:tcW w:w="496" w:type="dxa"/>
            <w:shd w:val="clear" w:color="auto" w:fill="auto"/>
            <w:tcMar>
              <w:left w:w="57" w:type="dxa"/>
              <w:right w:w="57" w:type="dxa"/>
            </w:tcMar>
            <w:vAlign w:val="center"/>
          </w:tcPr>
          <w:p w14:paraId="3EED6BC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54CC9E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DEB3CA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48284F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E330D2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78D92A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D40BF1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7EF400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07722C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44022C6" w14:textId="77777777" w:rsidTr="00A304E9">
        <w:trPr>
          <w:jc w:val="center"/>
        </w:trPr>
        <w:tc>
          <w:tcPr>
            <w:tcW w:w="5103" w:type="dxa"/>
            <w:shd w:val="clear" w:color="auto" w:fill="auto"/>
          </w:tcPr>
          <w:p w14:paraId="6E8FCAAB" w14:textId="77777777" w:rsidR="00477A61" w:rsidRPr="00E01239" w:rsidRDefault="00477A61" w:rsidP="002A19B3">
            <w:pPr>
              <w:pStyle w:val="Paragraphedeliste"/>
              <w:numPr>
                <w:ilvl w:val="0"/>
                <w:numId w:val="29"/>
              </w:numPr>
              <w:pBdr>
                <w:top w:val="nil"/>
                <w:left w:val="nil"/>
                <w:bottom w:val="nil"/>
                <w:right w:val="nil"/>
                <w:between w:val="nil"/>
                <w:bar w:val="nil"/>
              </w:pBdr>
              <w:jc w:val="both"/>
              <w:rPr>
                <w:rFonts w:asciiTheme="minorHAnsi" w:eastAsia="Cambria" w:hAnsiTheme="minorHAnsi" w:cstheme="minorHAnsi"/>
                <w:bCs/>
                <w:i/>
                <w:sz w:val="22"/>
                <w:szCs w:val="22"/>
                <w:u w:color="000000"/>
                <w:bdr w:val="nil"/>
              </w:rPr>
            </w:pPr>
            <w:r w:rsidRPr="00E01239">
              <w:rPr>
                <w:rFonts w:asciiTheme="minorHAnsi" w:eastAsia="Cambria" w:hAnsiTheme="minorHAnsi" w:cstheme="minorHAnsi"/>
                <w:bCs/>
                <w:i/>
                <w:sz w:val="22"/>
                <w:szCs w:val="22"/>
                <w:u w:color="000000"/>
                <w:bdr w:val="nil"/>
              </w:rPr>
              <w:t>Le nouveau projet entre-t-il en concurrence avec ceux existants ?</w:t>
            </w:r>
          </w:p>
        </w:tc>
        <w:tc>
          <w:tcPr>
            <w:tcW w:w="496" w:type="dxa"/>
            <w:shd w:val="clear" w:color="auto" w:fill="auto"/>
            <w:tcMar>
              <w:left w:w="57" w:type="dxa"/>
              <w:right w:w="57" w:type="dxa"/>
            </w:tcMar>
            <w:vAlign w:val="center"/>
          </w:tcPr>
          <w:p w14:paraId="1D5EFCE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601A053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146BEC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211FA8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6C4571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54E15F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FACEA2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79F18E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D8B4E1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32EE0616" w14:textId="77777777" w:rsidTr="00A304E9">
        <w:trPr>
          <w:jc w:val="center"/>
        </w:trPr>
        <w:tc>
          <w:tcPr>
            <w:tcW w:w="5103" w:type="dxa"/>
            <w:shd w:val="clear" w:color="auto" w:fill="auto"/>
          </w:tcPr>
          <w:p w14:paraId="6B82CBE9" w14:textId="77777777" w:rsidR="00477A61" w:rsidRPr="00E01239" w:rsidRDefault="00477A61" w:rsidP="00A304E9">
            <w:pPr>
              <w:pBdr>
                <w:top w:val="nil"/>
                <w:left w:val="nil"/>
                <w:bottom w:val="nil"/>
                <w:right w:val="nil"/>
                <w:between w:val="nil"/>
                <w:bar w:val="nil"/>
              </w:pBdr>
              <w:contextualSpacing/>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Au vu de ce qui précède, le projet est-il susceptible de créer/attiser des conflits dans sa zone d’influence ?</w:t>
            </w:r>
          </w:p>
        </w:tc>
        <w:tc>
          <w:tcPr>
            <w:tcW w:w="496" w:type="dxa"/>
            <w:shd w:val="clear" w:color="auto" w:fill="auto"/>
            <w:tcMar>
              <w:left w:w="57" w:type="dxa"/>
              <w:right w:w="57" w:type="dxa"/>
            </w:tcMar>
            <w:vAlign w:val="center"/>
          </w:tcPr>
          <w:p w14:paraId="13D59C8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4E2129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FF05C9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31CBAA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030D87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CECC0D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1AFDF9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322512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668FBA6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E213635" w14:textId="77777777" w:rsidTr="00A304E9">
        <w:trPr>
          <w:jc w:val="center"/>
        </w:trPr>
        <w:tc>
          <w:tcPr>
            <w:tcW w:w="5103" w:type="dxa"/>
            <w:shd w:val="clear" w:color="auto" w:fill="auto"/>
          </w:tcPr>
          <w:p w14:paraId="706C5494" w14:textId="77777777" w:rsidR="00477A61" w:rsidRPr="00E01239" w:rsidRDefault="00477A61" w:rsidP="00A304E9">
            <w:pPr>
              <w:pBdr>
                <w:top w:val="nil"/>
                <w:left w:val="nil"/>
                <w:bottom w:val="nil"/>
                <w:right w:val="nil"/>
                <w:between w:val="nil"/>
                <w:bar w:val="nil"/>
              </w:pBdr>
              <w:contextualSpacing/>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Au vu de ce qui précède, le projet est-il susceptible de renforcer les cohésions dans sa zone d’influence ?</w:t>
            </w:r>
          </w:p>
        </w:tc>
        <w:tc>
          <w:tcPr>
            <w:tcW w:w="496" w:type="dxa"/>
            <w:shd w:val="clear" w:color="auto" w:fill="auto"/>
            <w:tcMar>
              <w:left w:w="57" w:type="dxa"/>
              <w:right w:w="57" w:type="dxa"/>
            </w:tcMar>
            <w:vAlign w:val="center"/>
          </w:tcPr>
          <w:p w14:paraId="06F5A2C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871C30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F5368C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DE7DC4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2FA9A4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2FCC99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6CE8A1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C952F5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3246B88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689876B" w14:textId="77777777" w:rsidTr="00A304E9">
        <w:trPr>
          <w:trHeight w:hRule="exact" w:val="57"/>
          <w:jc w:val="center"/>
        </w:trPr>
        <w:tc>
          <w:tcPr>
            <w:tcW w:w="5103" w:type="dxa"/>
            <w:shd w:val="clear" w:color="auto" w:fill="auto"/>
          </w:tcPr>
          <w:p w14:paraId="3B296712"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496" w:type="dxa"/>
            <w:shd w:val="clear" w:color="auto" w:fill="auto"/>
            <w:tcMar>
              <w:left w:w="57" w:type="dxa"/>
              <w:right w:w="57" w:type="dxa"/>
            </w:tcMar>
            <w:vAlign w:val="center"/>
          </w:tcPr>
          <w:p w14:paraId="3E63F2E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B699DA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Pr>
          <w:p w14:paraId="3DD2939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2835" w:type="dxa"/>
            <w:gridSpan w:val="5"/>
            <w:shd w:val="clear" w:color="auto" w:fill="auto"/>
            <w:tcMar>
              <w:left w:w="57" w:type="dxa"/>
              <w:right w:w="57" w:type="dxa"/>
            </w:tcMar>
          </w:tcPr>
          <w:p w14:paraId="52750C5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6F66D1B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3539FB7" w14:textId="77777777" w:rsidTr="00A304E9">
        <w:trPr>
          <w:jc w:val="center"/>
        </w:trPr>
        <w:tc>
          <w:tcPr>
            <w:tcW w:w="11345" w:type="dxa"/>
            <w:gridSpan w:val="11"/>
            <w:shd w:val="clear" w:color="auto" w:fill="auto"/>
          </w:tcPr>
          <w:p w14:paraId="751CF799" w14:textId="77777777" w:rsidR="00477A61" w:rsidRPr="00E01239" w:rsidRDefault="00477A61" w:rsidP="002A19B3">
            <w:pPr>
              <w:pStyle w:val="Paragraphedeliste"/>
              <w:numPr>
                <w:ilvl w:val="0"/>
                <w:numId w:val="44"/>
              </w:num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sz w:val="22"/>
                <w:szCs w:val="22"/>
                <w:bdr w:val="nil"/>
              </w:rPr>
              <w:t>Préoccupations environnementale et sociale</w:t>
            </w:r>
          </w:p>
        </w:tc>
      </w:tr>
      <w:tr w:rsidR="00477A61" w:rsidRPr="00E01239" w14:paraId="61D52ABC" w14:textId="77777777" w:rsidTr="00A304E9">
        <w:trPr>
          <w:jc w:val="center"/>
        </w:trPr>
        <w:tc>
          <w:tcPr>
            <w:tcW w:w="11345" w:type="dxa"/>
            <w:gridSpan w:val="11"/>
            <w:shd w:val="clear" w:color="auto" w:fill="auto"/>
          </w:tcPr>
          <w:p w14:paraId="6A23287D"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2.1 Ressources naturelles de la zone</w:t>
            </w:r>
          </w:p>
        </w:tc>
      </w:tr>
      <w:tr w:rsidR="00477A61" w:rsidRPr="00E01239" w14:paraId="4B8AD214" w14:textId="77777777" w:rsidTr="00A304E9">
        <w:trPr>
          <w:jc w:val="center"/>
        </w:trPr>
        <w:tc>
          <w:tcPr>
            <w:tcW w:w="5103" w:type="dxa"/>
            <w:shd w:val="clear" w:color="auto" w:fill="auto"/>
          </w:tcPr>
          <w:p w14:paraId="49D55AA5" w14:textId="77777777" w:rsidR="00477A61" w:rsidRPr="00E01239" w:rsidRDefault="00477A61" w:rsidP="002A19B3">
            <w:pPr>
              <w:pStyle w:val="Paragraphedeliste"/>
              <w:numPr>
                <w:ilvl w:val="0"/>
                <w:numId w:val="54"/>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nécessite-il un important prélèvement de ressources naturelles locales pour sa mise en œuvre ?</w:t>
            </w:r>
          </w:p>
        </w:tc>
        <w:tc>
          <w:tcPr>
            <w:tcW w:w="496" w:type="dxa"/>
            <w:shd w:val="clear" w:color="auto" w:fill="auto"/>
            <w:tcMar>
              <w:left w:w="57" w:type="dxa"/>
              <w:right w:w="57" w:type="dxa"/>
            </w:tcMar>
            <w:vAlign w:val="center"/>
          </w:tcPr>
          <w:p w14:paraId="1903387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B99325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F2D5E5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A8A146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E3DFF4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B77E9E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2549D2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31DCC6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936EF6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3312A13" w14:textId="77777777" w:rsidTr="00A304E9">
        <w:trPr>
          <w:jc w:val="center"/>
        </w:trPr>
        <w:tc>
          <w:tcPr>
            <w:tcW w:w="5103" w:type="dxa"/>
            <w:shd w:val="clear" w:color="auto" w:fill="auto"/>
          </w:tcPr>
          <w:p w14:paraId="27AA21C2" w14:textId="77777777" w:rsidR="00477A61" w:rsidRPr="00E01239" w:rsidRDefault="00477A61" w:rsidP="002A19B3">
            <w:pPr>
              <w:pStyle w:val="Paragraphedeliste"/>
              <w:numPr>
                <w:ilvl w:val="0"/>
                <w:numId w:val="30"/>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chantier nécessitera-t-il un défrichement important ?</w:t>
            </w:r>
          </w:p>
        </w:tc>
        <w:tc>
          <w:tcPr>
            <w:tcW w:w="496" w:type="dxa"/>
            <w:shd w:val="clear" w:color="auto" w:fill="auto"/>
            <w:tcMar>
              <w:left w:w="57" w:type="dxa"/>
              <w:right w:w="57" w:type="dxa"/>
            </w:tcMar>
            <w:vAlign w:val="center"/>
          </w:tcPr>
          <w:p w14:paraId="44DDD6C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638" w:type="dxa"/>
            <w:gridSpan w:val="2"/>
            <w:shd w:val="clear" w:color="auto" w:fill="auto"/>
            <w:vAlign w:val="center"/>
          </w:tcPr>
          <w:p w14:paraId="0D869A0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425" w:type="dxa"/>
            <w:shd w:val="clear" w:color="auto" w:fill="auto"/>
            <w:tcMar>
              <w:left w:w="57" w:type="dxa"/>
              <w:right w:w="57" w:type="dxa"/>
            </w:tcMar>
          </w:tcPr>
          <w:p w14:paraId="7FD05F7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77EBB01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27CF94C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618AC30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236984C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2217322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1848" w:type="dxa"/>
            <w:shd w:val="clear" w:color="auto" w:fill="auto"/>
          </w:tcPr>
          <w:p w14:paraId="6EEB47D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r>
      <w:tr w:rsidR="00477A61" w:rsidRPr="00E01239" w14:paraId="1875B1E9" w14:textId="77777777" w:rsidTr="00A304E9">
        <w:trPr>
          <w:jc w:val="center"/>
        </w:trPr>
        <w:tc>
          <w:tcPr>
            <w:tcW w:w="5103" w:type="dxa"/>
            <w:shd w:val="clear" w:color="auto" w:fill="auto"/>
          </w:tcPr>
          <w:p w14:paraId="202802AE" w14:textId="77777777" w:rsidR="00477A61" w:rsidRPr="00E01239" w:rsidRDefault="00477A61" w:rsidP="002A19B3">
            <w:pPr>
              <w:pStyle w:val="Paragraphedeliste"/>
              <w:numPr>
                <w:ilvl w:val="0"/>
                <w:numId w:val="30"/>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Des groupes spécifiques (genre, couche vulnérable, social…) sont-ils affectés par ce défrichement ?</w:t>
            </w:r>
          </w:p>
        </w:tc>
        <w:tc>
          <w:tcPr>
            <w:tcW w:w="496" w:type="dxa"/>
            <w:shd w:val="clear" w:color="auto" w:fill="auto"/>
            <w:tcMar>
              <w:left w:w="57" w:type="dxa"/>
              <w:right w:w="57" w:type="dxa"/>
            </w:tcMar>
            <w:vAlign w:val="center"/>
          </w:tcPr>
          <w:p w14:paraId="39FB96A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3CEEBB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435B90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C080A7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B85AD8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25DEB8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82186B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938F65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094E35E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3BE3665C" w14:textId="77777777" w:rsidTr="00A304E9">
        <w:trPr>
          <w:jc w:val="center"/>
        </w:trPr>
        <w:tc>
          <w:tcPr>
            <w:tcW w:w="5103" w:type="dxa"/>
            <w:shd w:val="clear" w:color="auto" w:fill="auto"/>
          </w:tcPr>
          <w:p w14:paraId="763701D2" w14:textId="77777777" w:rsidR="00477A61" w:rsidRPr="00E01239" w:rsidRDefault="00477A61" w:rsidP="002A19B3">
            <w:pPr>
              <w:pStyle w:val="Paragraphedeliste"/>
              <w:numPr>
                <w:ilvl w:val="0"/>
                <w:numId w:val="30"/>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Des mesures de compensation sont-elles prévues ?</w:t>
            </w:r>
          </w:p>
        </w:tc>
        <w:tc>
          <w:tcPr>
            <w:tcW w:w="496" w:type="dxa"/>
            <w:shd w:val="clear" w:color="auto" w:fill="auto"/>
            <w:tcMar>
              <w:left w:w="57" w:type="dxa"/>
              <w:right w:w="57" w:type="dxa"/>
            </w:tcMar>
            <w:vAlign w:val="center"/>
          </w:tcPr>
          <w:p w14:paraId="374DCEC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F01602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2D2D88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DC90EB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545E59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584747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573F68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CC687D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7553BC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6AB23ECB" w14:textId="77777777" w:rsidTr="00A304E9">
        <w:trPr>
          <w:jc w:val="center"/>
        </w:trPr>
        <w:tc>
          <w:tcPr>
            <w:tcW w:w="11345" w:type="dxa"/>
            <w:gridSpan w:val="11"/>
            <w:shd w:val="clear" w:color="auto" w:fill="auto"/>
          </w:tcPr>
          <w:p w14:paraId="1DDAB72F"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2.2 Diversité biologique</w:t>
            </w:r>
          </w:p>
        </w:tc>
      </w:tr>
      <w:tr w:rsidR="00477A61" w:rsidRPr="00E01239" w14:paraId="06CFF1D5" w14:textId="77777777" w:rsidTr="00A304E9">
        <w:trPr>
          <w:jc w:val="center"/>
        </w:trPr>
        <w:tc>
          <w:tcPr>
            <w:tcW w:w="5103" w:type="dxa"/>
            <w:shd w:val="clear" w:color="auto" w:fill="auto"/>
          </w:tcPr>
          <w:p w14:paraId="531FDED7" w14:textId="77777777" w:rsidR="00477A61" w:rsidRPr="00E01239" w:rsidRDefault="00477A61" w:rsidP="002A19B3">
            <w:pPr>
              <w:pStyle w:val="Paragraphedeliste"/>
              <w:numPr>
                <w:ilvl w:val="0"/>
                <w:numId w:val="31"/>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projet risque-t-il de causer des effets négatifs sur les espèces rares, vulnérables et/ou importants du point de vue économique, écologique, culturel ?</w:t>
            </w:r>
          </w:p>
        </w:tc>
        <w:tc>
          <w:tcPr>
            <w:tcW w:w="496" w:type="dxa"/>
            <w:shd w:val="clear" w:color="auto" w:fill="auto"/>
            <w:tcMar>
              <w:left w:w="57" w:type="dxa"/>
              <w:right w:w="57" w:type="dxa"/>
            </w:tcMar>
            <w:vAlign w:val="center"/>
          </w:tcPr>
          <w:p w14:paraId="08B4C9E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AB3718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117E9A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D6B13F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FEAC1D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C1AB19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71BC3F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F390FE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B22F2F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A6EACFE" w14:textId="77777777" w:rsidTr="00A304E9">
        <w:trPr>
          <w:jc w:val="center"/>
        </w:trPr>
        <w:tc>
          <w:tcPr>
            <w:tcW w:w="5103" w:type="dxa"/>
            <w:shd w:val="clear" w:color="auto" w:fill="auto"/>
          </w:tcPr>
          <w:p w14:paraId="727D34D8" w14:textId="77777777" w:rsidR="00477A61" w:rsidRPr="00E01239" w:rsidRDefault="00477A61" w:rsidP="002A19B3">
            <w:pPr>
              <w:pStyle w:val="Paragraphedeliste"/>
              <w:numPr>
                <w:ilvl w:val="0"/>
                <w:numId w:val="31"/>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Y a-t-il des zones de sensibilité environnementale qui pourraient être affectées négativement par le projet (forêts, zones humides, lacs, rivières, zones inondables) ?</w:t>
            </w:r>
          </w:p>
        </w:tc>
        <w:tc>
          <w:tcPr>
            <w:tcW w:w="496" w:type="dxa"/>
            <w:shd w:val="clear" w:color="auto" w:fill="auto"/>
            <w:tcMar>
              <w:left w:w="57" w:type="dxa"/>
              <w:right w:w="57" w:type="dxa"/>
            </w:tcMar>
            <w:vAlign w:val="center"/>
          </w:tcPr>
          <w:p w14:paraId="486132B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3E34DD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22E86F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DFC018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7D45FE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97101E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F62EFF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19C593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616F98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6F643A6" w14:textId="77777777" w:rsidTr="00A304E9">
        <w:trPr>
          <w:jc w:val="center"/>
        </w:trPr>
        <w:tc>
          <w:tcPr>
            <w:tcW w:w="11345" w:type="dxa"/>
            <w:gridSpan w:val="11"/>
            <w:shd w:val="clear" w:color="auto" w:fill="auto"/>
          </w:tcPr>
          <w:p w14:paraId="12EF7207"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2.3 Zones protégées</w:t>
            </w:r>
          </w:p>
        </w:tc>
      </w:tr>
      <w:tr w:rsidR="00477A61" w:rsidRPr="00E01239" w14:paraId="174D8179" w14:textId="77777777" w:rsidTr="00A304E9">
        <w:trPr>
          <w:jc w:val="center"/>
        </w:trPr>
        <w:tc>
          <w:tcPr>
            <w:tcW w:w="5103" w:type="dxa"/>
            <w:shd w:val="clear" w:color="auto" w:fill="auto"/>
          </w:tcPr>
          <w:p w14:paraId="308DE743" w14:textId="77777777" w:rsidR="00477A61" w:rsidRPr="00E01239" w:rsidRDefault="00477A61" w:rsidP="002A19B3">
            <w:pPr>
              <w:pStyle w:val="Paragraphedeliste"/>
              <w:numPr>
                <w:ilvl w:val="0"/>
                <w:numId w:val="48"/>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La zone du projet (ou de ses composantes) comprend-t-elle des aires protégées ?</w:t>
            </w:r>
          </w:p>
        </w:tc>
        <w:tc>
          <w:tcPr>
            <w:tcW w:w="496" w:type="dxa"/>
            <w:shd w:val="clear" w:color="auto" w:fill="auto"/>
            <w:tcMar>
              <w:left w:w="57" w:type="dxa"/>
              <w:right w:w="57" w:type="dxa"/>
            </w:tcMar>
            <w:vAlign w:val="center"/>
          </w:tcPr>
          <w:p w14:paraId="4EEDB26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FE21B0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03457F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31FE9A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A52E79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98A2E8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527686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3DDFBC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46110DD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66DA3115" w14:textId="77777777" w:rsidTr="00A304E9">
        <w:trPr>
          <w:jc w:val="center"/>
        </w:trPr>
        <w:tc>
          <w:tcPr>
            <w:tcW w:w="5103" w:type="dxa"/>
            <w:shd w:val="clear" w:color="auto" w:fill="auto"/>
          </w:tcPr>
          <w:p w14:paraId="136CBC8D" w14:textId="77777777" w:rsidR="00477A61" w:rsidRPr="00E01239" w:rsidRDefault="00477A61" w:rsidP="002A19B3">
            <w:pPr>
              <w:pStyle w:val="Paragraphedeliste"/>
              <w:numPr>
                <w:ilvl w:val="0"/>
                <w:numId w:val="48"/>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 xml:space="preserve">Si le projet est en dehors, mais à faible distance des zones protégées, pourrait-il affecter négativement l’écologie de la zone d’influence du projet (ex : vols d’oiseaux, migrations, etc.) ? </w:t>
            </w:r>
          </w:p>
        </w:tc>
        <w:tc>
          <w:tcPr>
            <w:tcW w:w="496" w:type="dxa"/>
            <w:shd w:val="clear" w:color="auto" w:fill="auto"/>
            <w:tcMar>
              <w:left w:w="57" w:type="dxa"/>
              <w:right w:w="57" w:type="dxa"/>
            </w:tcMar>
            <w:vAlign w:val="center"/>
          </w:tcPr>
          <w:p w14:paraId="4D8A2C8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48DB704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56EBB2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40E372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065F22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206F9E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0AF422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E88D30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21410E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38AA2DB8" w14:textId="77777777" w:rsidTr="00A304E9">
        <w:trPr>
          <w:jc w:val="center"/>
        </w:trPr>
        <w:tc>
          <w:tcPr>
            <w:tcW w:w="11345" w:type="dxa"/>
            <w:gridSpan w:val="11"/>
            <w:shd w:val="clear" w:color="auto" w:fill="auto"/>
          </w:tcPr>
          <w:p w14:paraId="5B99DC6D" w14:textId="77777777" w:rsidR="00477A61" w:rsidRPr="00E01239" w:rsidRDefault="00477A61" w:rsidP="00A304E9">
            <w:pPr>
              <w:pBdr>
                <w:top w:val="nil"/>
                <w:left w:val="nil"/>
                <w:bottom w:val="nil"/>
                <w:right w:val="nil"/>
                <w:between w:val="nil"/>
                <w:bar w:val="nil"/>
              </w:pBdr>
              <w:ind w:left="113"/>
              <w:contextualSpacing/>
              <w:rPr>
                <w:rFonts w:asciiTheme="minorHAnsi" w:eastAsia="Cambria" w:hAnsiTheme="minorHAnsi" w:cstheme="minorHAnsi"/>
                <w:b/>
                <w: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2.4 Géologie et sols</w:t>
            </w:r>
            <w:r w:rsidRPr="00E01239">
              <w:rPr>
                <w:rFonts w:asciiTheme="minorHAnsi" w:eastAsia="Cambria" w:hAnsiTheme="minorHAnsi" w:cstheme="minorHAnsi"/>
                <w:color w:val="000000"/>
                <w:sz w:val="22"/>
                <w:szCs w:val="22"/>
                <w:u w:color="000000"/>
                <w:bdr w:val="nil"/>
              </w:rPr>
              <w:t xml:space="preserve"> </w:t>
            </w:r>
          </w:p>
        </w:tc>
      </w:tr>
      <w:tr w:rsidR="00477A61" w:rsidRPr="00E01239" w14:paraId="7DCE81BF" w14:textId="77777777" w:rsidTr="00A304E9">
        <w:trPr>
          <w:jc w:val="center"/>
        </w:trPr>
        <w:tc>
          <w:tcPr>
            <w:tcW w:w="5103" w:type="dxa"/>
            <w:shd w:val="clear" w:color="auto" w:fill="auto"/>
          </w:tcPr>
          <w:p w14:paraId="73A8C9CD" w14:textId="77777777" w:rsidR="00477A61" w:rsidRPr="00E01239" w:rsidRDefault="00477A61" w:rsidP="002A19B3">
            <w:pPr>
              <w:pStyle w:val="Paragraphedeliste"/>
              <w:numPr>
                <w:ilvl w:val="0"/>
                <w:numId w:val="49"/>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Y a-t-il des zones instables d’un point de vue géologique ou des sols (érosion, glissement de terrain, effondrement) ?</w:t>
            </w:r>
          </w:p>
        </w:tc>
        <w:tc>
          <w:tcPr>
            <w:tcW w:w="496" w:type="dxa"/>
            <w:shd w:val="clear" w:color="auto" w:fill="auto"/>
            <w:tcMar>
              <w:left w:w="57" w:type="dxa"/>
              <w:right w:w="57" w:type="dxa"/>
            </w:tcMar>
            <w:vAlign w:val="center"/>
          </w:tcPr>
          <w:p w14:paraId="2D52B52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8FBB65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4B8EEB0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4DBCAC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EFE2C1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7EDA63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30DCF7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3DBDE8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4F45E3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8225428" w14:textId="77777777" w:rsidTr="00A304E9">
        <w:trPr>
          <w:jc w:val="center"/>
        </w:trPr>
        <w:tc>
          <w:tcPr>
            <w:tcW w:w="5103" w:type="dxa"/>
            <w:shd w:val="clear" w:color="auto" w:fill="auto"/>
          </w:tcPr>
          <w:p w14:paraId="76547791" w14:textId="77777777" w:rsidR="00477A61" w:rsidRPr="00E01239" w:rsidRDefault="00477A61" w:rsidP="002A19B3">
            <w:pPr>
              <w:pStyle w:val="Paragraphedeliste"/>
              <w:numPr>
                <w:ilvl w:val="0"/>
                <w:numId w:val="49"/>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Y a-t-il des risques de salinisation ?</w:t>
            </w:r>
          </w:p>
        </w:tc>
        <w:tc>
          <w:tcPr>
            <w:tcW w:w="496" w:type="dxa"/>
            <w:shd w:val="clear" w:color="auto" w:fill="auto"/>
            <w:tcMar>
              <w:left w:w="57" w:type="dxa"/>
              <w:right w:w="57" w:type="dxa"/>
            </w:tcMar>
            <w:vAlign w:val="center"/>
          </w:tcPr>
          <w:p w14:paraId="217BE73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96123D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0EA884D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1FCD32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B3CFE4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DF3700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F1CFFD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690231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29EFB7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17DF0F24" w14:textId="77777777" w:rsidTr="00A304E9">
        <w:trPr>
          <w:jc w:val="center"/>
        </w:trPr>
        <w:tc>
          <w:tcPr>
            <w:tcW w:w="5103" w:type="dxa"/>
            <w:shd w:val="clear" w:color="auto" w:fill="auto"/>
          </w:tcPr>
          <w:p w14:paraId="38035E78" w14:textId="77777777" w:rsidR="00477A61" w:rsidRPr="00E01239" w:rsidRDefault="00477A61" w:rsidP="002A19B3">
            <w:pPr>
              <w:pStyle w:val="Paragraphedeliste"/>
              <w:numPr>
                <w:ilvl w:val="0"/>
                <w:numId w:val="49"/>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Y a-t-il des ressources minières ou carrières dont l’exploitation serait affectée par le projet ?</w:t>
            </w:r>
          </w:p>
        </w:tc>
        <w:tc>
          <w:tcPr>
            <w:tcW w:w="496" w:type="dxa"/>
            <w:shd w:val="clear" w:color="auto" w:fill="auto"/>
            <w:tcMar>
              <w:left w:w="57" w:type="dxa"/>
              <w:right w:w="57" w:type="dxa"/>
            </w:tcMar>
            <w:vAlign w:val="center"/>
          </w:tcPr>
          <w:p w14:paraId="744BF68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13ECB6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010E073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2375F7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155F83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A209D8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0490F9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DE8579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4574409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054B769" w14:textId="77777777" w:rsidTr="00A304E9">
        <w:trPr>
          <w:jc w:val="center"/>
        </w:trPr>
        <w:tc>
          <w:tcPr>
            <w:tcW w:w="11345" w:type="dxa"/>
            <w:gridSpan w:val="11"/>
            <w:shd w:val="clear" w:color="auto" w:fill="auto"/>
          </w:tcPr>
          <w:p w14:paraId="63549E95"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2.5 Paysage / Esthétique</w:t>
            </w:r>
          </w:p>
        </w:tc>
      </w:tr>
      <w:tr w:rsidR="00477A61" w:rsidRPr="00E01239" w14:paraId="11419D44" w14:textId="77777777" w:rsidTr="00A304E9">
        <w:trPr>
          <w:jc w:val="center"/>
        </w:trPr>
        <w:tc>
          <w:tcPr>
            <w:tcW w:w="5103" w:type="dxa"/>
            <w:shd w:val="clear" w:color="auto" w:fill="auto"/>
          </w:tcPr>
          <w:p w14:paraId="0D0D0599" w14:textId="77777777" w:rsidR="00477A61" w:rsidRPr="00E01239" w:rsidRDefault="00477A61" w:rsidP="002A19B3">
            <w:pPr>
              <w:pStyle w:val="Paragraphedeliste"/>
              <w:numPr>
                <w:ilvl w:val="0"/>
                <w:numId w:val="50"/>
              </w:numPr>
              <w:pBdr>
                <w:top w:val="nil"/>
                <w:left w:val="nil"/>
                <w:bottom w:val="nil"/>
                <w:right w:val="nil"/>
                <w:between w:val="nil"/>
                <w:bar w:val="nil"/>
              </w:pBdr>
              <w:jc w:val="both"/>
              <w:rPr>
                <w:rFonts w:asciiTheme="minorHAnsi" w:eastAsia="Cambria" w:hAnsiTheme="minorHAnsi" w:cstheme="minorHAnsi"/>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projet aurait-il un effet adverse sur la valeur esthétique du paysage ?</w:t>
            </w:r>
          </w:p>
        </w:tc>
        <w:tc>
          <w:tcPr>
            <w:tcW w:w="567" w:type="dxa"/>
            <w:gridSpan w:val="2"/>
            <w:shd w:val="clear" w:color="auto" w:fill="auto"/>
            <w:tcMar>
              <w:left w:w="57" w:type="dxa"/>
              <w:right w:w="57" w:type="dxa"/>
            </w:tcMar>
            <w:vAlign w:val="center"/>
          </w:tcPr>
          <w:p w14:paraId="479C78E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vAlign w:val="center"/>
          </w:tcPr>
          <w:p w14:paraId="58D60F5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425" w:type="dxa"/>
            <w:shd w:val="clear" w:color="auto" w:fill="auto"/>
            <w:tcMar>
              <w:left w:w="57" w:type="dxa"/>
              <w:right w:w="57" w:type="dxa"/>
            </w:tcMar>
          </w:tcPr>
          <w:p w14:paraId="2717D1B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57D4B05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157E048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1E80596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3CF1A9C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567" w:type="dxa"/>
            <w:shd w:val="clear" w:color="auto" w:fill="auto"/>
          </w:tcPr>
          <w:p w14:paraId="1E0AA1A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c>
          <w:tcPr>
            <w:tcW w:w="1848" w:type="dxa"/>
            <w:shd w:val="clear" w:color="auto" w:fill="auto"/>
          </w:tcPr>
          <w:p w14:paraId="18E7D77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i/>
                <w:color w:val="000000"/>
                <w:sz w:val="22"/>
                <w:szCs w:val="22"/>
                <w:u w:color="000000"/>
                <w:bdr w:val="nil"/>
              </w:rPr>
            </w:pPr>
          </w:p>
        </w:tc>
      </w:tr>
      <w:tr w:rsidR="00477A61" w:rsidRPr="00E01239" w14:paraId="799E2463" w14:textId="77777777" w:rsidTr="00A304E9">
        <w:trPr>
          <w:jc w:val="center"/>
        </w:trPr>
        <w:tc>
          <w:tcPr>
            <w:tcW w:w="11345" w:type="dxa"/>
            <w:gridSpan w:val="11"/>
            <w:shd w:val="clear" w:color="auto" w:fill="auto"/>
          </w:tcPr>
          <w:p w14:paraId="1D3AF38D"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2.6 Sites historiques, archéologiques, culturels ou religieux</w:t>
            </w:r>
          </w:p>
        </w:tc>
      </w:tr>
      <w:tr w:rsidR="00477A61" w:rsidRPr="00E01239" w14:paraId="21B6620A" w14:textId="77777777" w:rsidTr="00A304E9">
        <w:trPr>
          <w:jc w:val="center"/>
        </w:trPr>
        <w:tc>
          <w:tcPr>
            <w:tcW w:w="5103" w:type="dxa"/>
            <w:shd w:val="clear" w:color="auto" w:fill="auto"/>
          </w:tcPr>
          <w:p w14:paraId="42E6E4B3" w14:textId="77777777" w:rsidR="00477A61" w:rsidRPr="00E01239" w:rsidRDefault="00477A61" w:rsidP="002A19B3">
            <w:pPr>
              <w:pStyle w:val="Paragraphedeliste"/>
              <w:numPr>
                <w:ilvl w:val="0"/>
                <w:numId w:val="50"/>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lastRenderedPageBreak/>
              <w:t>Le projet pourrait-il changer des sites historiques, archéologiques, culturel ou nécessiter des excavations ?</w:t>
            </w:r>
          </w:p>
        </w:tc>
        <w:tc>
          <w:tcPr>
            <w:tcW w:w="496" w:type="dxa"/>
            <w:shd w:val="clear" w:color="auto" w:fill="auto"/>
            <w:tcMar>
              <w:left w:w="57" w:type="dxa"/>
              <w:right w:w="57" w:type="dxa"/>
            </w:tcMar>
            <w:vAlign w:val="center"/>
          </w:tcPr>
          <w:p w14:paraId="2EE06EE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730AB55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CDC5B6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CABFF5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D6FCD5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524DAB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1E892F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25A4BA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D14CAD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A58A31A" w14:textId="77777777" w:rsidTr="00A304E9">
        <w:trPr>
          <w:jc w:val="center"/>
        </w:trPr>
        <w:tc>
          <w:tcPr>
            <w:tcW w:w="5103" w:type="dxa"/>
            <w:shd w:val="clear" w:color="auto" w:fill="auto"/>
          </w:tcPr>
          <w:p w14:paraId="6CDBDB7E" w14:textId="77777777" w:rsidR="00477A61" w:rsidRPr="00E01239" w:rsidRDefault="00477A61" w:rsidP="002A19B3">
            <w:pPr>
              <w:pStyle w:val="Paragraphedeliste"/>
              <w:numPr>
                <w:ilvl w:val="0"/>
                <w:numId w:val="50"/>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L’identification a-t-il tenu compte des sites traditionnels, coutumiers ou religieux ?</w:t>
            </w:r>
          </w:p>
        </w:tc>
        <w:tc>
          <w:tcPr>
            <w:tcW w:w="496" w:type="dxa"/>
            <w:shd w:val="clear" w:color="auto" w:fill="auto"/>
            <w:tcMar>
              <w:left w:w="57" w:type="dxa"/>
              <w:right w:w="57" w:type="dxa"/>
            </w:tcMar>
            <w:vAlign w:val="center"/>
          </w:tcPr>
          <w:p w14:paraId="4980640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D89AF0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060C03D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5FB613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7CC365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04E9C6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2D1DBC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7E83C8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3366D07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79031C9" w14:textId="77777777" w:rsidTr="00A304E9">
        <w:trPr>
          <w:jc w:val="center"/>
        </w:trPr>
        <w:tc>
          <w:tcPr>
            <w:tcW w:w="5103" w:type="dxa"/>
            <w:shd w:val="clear" w:color="auto" w:fill="auto"/>
          </w:tcPr>
          <w:p w14:paraId="0575DA91" w14:textId="77777777" w:rsidR="00477A61" w:rsidRPr="00E01239" w:rsidRDefault="00477A61" w:rsidP="002A19B3">
            <w:pPr>
              <w:pStyle w:val="Paragraphedeliste"/>
              <w:numPr>
                <w:ilvl w:val="0"/>
                <w:numId w:val="50"/>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maître d’œuvre chargé de la construction ou le comité de suivi sont-ils informés des règlementations en cas de découverte archéologique durant les travaux ?</w:t>
            </w:r>
          </w:p>
        </w:tc>
        <w:tc>
          <w:tcPr>
            <w:tcW w:w="496" w:type="dxa"/>
            <w:shd w:val="clear" w:color="auto" w:fill="auto"/>
            <w:tcMar>
              <w:left w:w="57" w:type="dxa"/>
              <w:right w:w="57" w:type="dxa"/>
            </w:tcMar>
            <w:vAlign w:val="center"/>
          </w:tcPr>
          <w:p w14:paraId="154E900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1F8C5A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FC3280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CE278C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73FF63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BD5248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AE6F74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9A94D6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0F0AACB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6A8DC22A" w14:textId="77777777" w:rsidTr="00A304E9">
        <w:trPr>
          <w:jc w:val="center"/>
        </w:trPr>
        <w:tc>
          <w:tcPr>
            <w:tcW w:w="11345" w:type="dxa"/>
            <w:gridSpan w:val="11"/>
            <w:shd w:val="clear" w:color="auto" w:fill="auto"/>
          </w:tcPr>
          <w:p w14:paraId="61D2AEEE"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2.7 Pertes d’actifs et autres</w:t>
            </w:r>
          </w:p>
        </w:tc>
      </w:tr>
      <w:tr w:rsidR="00477A61" w:rsidRPr="00E01239" w14:paraId="6AD1F087" w14:textId="77777777" w:rsidTr="00A304E9">
        <w:trPr>
          <w:jc w:val="center"/>
        </w:trPr>
        <w:tc>
          <w:tcPr>
            <w:tcW w:w="5103" w:type="dxa"/>
            <w:shd w:val="clear" w:color="auto" w:fill="auto"/>
          </w:tcPr>
          <w:p w14:paraId="5B5EC010" w14:textId="77777777" w:rsidR="00477A61" w:rsidRPr="00E01239" w:rsidRDefault="00477A61" w:rsidP="002A19B3">
            <w:pPr>
              <w:pStyle w:val="Paragraphedeliste"/>
              <w:numPr>
                <w:ilvl w:val="0"/>
                <w:numId w:val="55"/>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Est-ce que le projet déclenchera la perte temporaire ou permanente d’habitat, de culture, de terres agricoles, de pâturage (ou de cultures fourragères), d’arbres fruitiers et d’infrastructures domestiques ?</w:t>
            </w:r>
          </w:p>
        </w:tc>
        <w:tc>
          <w:tcPr>
            <w:tcW w:w="567" w:type="dxa"/>
            <w:gridSpan w:val="2"/>
            <w:shd w:val="clear" w:color="auto" w:fill="auto"/>
            <w:tcMar>
              <w:left w:w="57" w:type="dxa"/>
              <w:right w:w="57" w:type="dxa"/>
            </w:tcMar>
            <w:vAlign w:val="center"/>
          </w:tcPr>
          <w:p w14:paraId="5CFB1AD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vAlign w:val="center"/>
          </w:tcPr>
          <w:p w14:paraId="2841EC6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0416B84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6A96B7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C8C99F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8FC25C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C42E75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DB2B5F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BFBED7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33F3427" w14:textId="77777777" w:rsidTr="00A304E9">
        <w:trPr>
          <w:jc w:val="center"/>
        </w:trPr>
        <w:tc>
          <w:tcPr>
            <w:tcW w:w="5103" w:type="dxa"/>
            <w:shd w:val="clear" w:color="auto" w:fill="auto"/>
          </w:tcPr>
          <w:p w14:paraId="13056661" w14:textId="77777777" w:rsidR="00477A61" w:rsidRPr="00E01239" w:rsidRDefault="00477A61" w:rsidP="00A304E9">
            <w:pPr>
              <w:pBdr>
                <w:top w:val="nil"/>
                <w:left w:val="nil"/>
                <w:bottom w:val="nil"/>
                <w:right w:val="nil"/>
                <w:between w:val="nil"/>
                <w:bar w:val="nil"/>
              </w:pBdr>
              <w:ind w:left="113"/>
              <w:contextualSpacing/>
              <w:rPr>
                <w:rFonts w:asciiTheme="minorHAnsi" w:eastAsia="Cambria" w:hAnsiTheme="minorHAnsi" w:cstheme="minorHAnsi"/>
                <w:b/>
                <w: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2.8 Pollution</w:t>
            </w:r>
          </w:p>
        </w:tc>
        <w:tc>
          <w:tcPr>
            <w:tcW w:w="1134" w:type="dxa"/>
            <w:gridSpan w:val="3"/>
            <w:shd w:val="clear" w:color="auto" w:fill="auto"/>
            <w:tcMar>
              <w:left w:w="57" w:type="dxa"/>
              <w:right w:w="57" w:type="dxa"/>
            </w:tcMar>
            <w:vAlign w:val="center"/>
          </w:tcPr>
          <w:p w14:paraId="51354A1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Pr>
          <w:p w14:paraId="0469213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2835" w:type="dxa"/>
            <w:gridSpan w:val="5"/>
            <w:shd w:val="clear" w:color="auto" w:fill="auto"/>
            <w:tcMar>
              <w:left w:w="57" w:type="dxa"/>
              <w:right w:w="57" w:type="dxa"/>
            </w:tcMar>
          </w:tcPr>
          <w:p w14:paraId="502B026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D09278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64BCF3D" w14:textId="77777777" w:rsidTr="00A304E9">
        <w:trPr>
          <w:jc w:val="center"/>
        </w:trPr>
        <w:tc>
          <w:tcPr>
            <w:tcW w:w="5103" w:type="dxa"/>
            <w:shd w:val="clear" w:color="auto" w:fill="auto"/>
          </w:tcPr>
          <w:p w14:paraId="2AC06D2C" w14:textId="77777777" w:rsidR="00477A61" w:rsidRPr="00E01239" w:rsidRDefault="00477A61" w:rsidP="002A19B3">
            <w:pPr>
              <w:pStyle w:val="Paragraphedeliste"/>
              <w:numPr>
                <w:ilvl w:val="0"/>
                <w:numId w:val="51"/>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pourrait-il occasionner un niveau élevé de bruit (pendant construction et/ou exploitation) ?</w:t>
            </w:r>
          </w:p>
        </w:tc>
        <w:tc>
          <w:tcPr>
            <w:tcW w:w="496" w:type="dxa"/>
            <w:shd w:val="clear" w:color="auto" w:fill="auto"/>
            <w:tcMar>
              <w:left w:w="57" w:type="dxa"/>
              <w:right w:w="57" w:type="dxa"/>
            </w:tcMar>
            <w:vAlign w:val="center"/>
          </w:tcPr>
          <w:p w14:paraId="332902E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4760770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AC3736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73010A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9FC0B1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542808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34A32C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08A034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9ACD3F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AC1C4A0" w14:textId="77777777" w:rsidTr="00A304E9">
        <w:trPr>
          <w:jc w:val="center"/>
        </w:trPr>
        <w:tc>
          <w:tcPr>
            <w:tcW w:w="5103" w:type="dxa"/>
            <w:shd w:val="clear" w:color="auto" w:fill="auto"/>
          </w:tcPr>
          <w:p w14:paraId="555A5FC1" w14:textId="77777777" w:rsidR="00477A61" w:rsidRPr="00E01239" w:rsidRDefault="00477A61" w:rsidP="002A19B3">
            <w:pPr>
              <w:pStyle w:val="Paragraphedeliste"/>
              <w:numPr>
                <w:ilvl w:val="0"/>
                <w:numId w:val="32"/>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site d’implantation est-il suffisamment éloigné des lieux d’habitations ?</w:t>
            </w:r>
          </w:p>
        </w:tc>
        <w:tc>
          <w:tcPr>
            <w:tcW w:w="496" w:type="dxa"/>
            <w:shd w:val="clear" w:color="auto" w:fill="auto"/>
            <w:tcMar>
              <w:left w:w="57" w:type="dxa"/>
              <w:right w:w="57" w:type="dxa"/>
            </w:tcMar>
            <w:vAlign w:val="center"/>
          </w:tcPr>
          <w:p w14:paraId="07184E0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4A77018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282190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406962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BBB3EF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96C748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0BF72B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BA123E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FEC63E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187CA0FB" w14:textId="77777777" w:rsidTr="00A304E9">
        <w:trPr>
          <w:jc w:val="center"/>
        </w:trPr>
        <w:tc>
          <w:tcPr>
            <w:tcW w:w="5103" w:type="dxa"/>
            <w:shd w:val="clear" w:color="auto" w:fill="auto"/>
          </w:tcPr>
          <w:p w14:paraId="06A105F2" w14:textId="77777777" w:rsidR="00477A61" w:rsidRPr="00E01239" w:rsidRDefault="00477A61" w:rsidP="002A19B3">
            <w:pPr>
              <w:pStyle w:val="Paragraphedeliste"/>
              <w:numPr>
                <w:ilvl w:val="0"/>
                <w:numId w:val="32"/>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projet risque-t-il de générer des déchets solides et liquides (pendant construction et/ou exploitation) ?</w:t>
            </w:r>
          </w:p>
        </w:tc>
        <w:tc>
          <w:tcPr>
            <w:tcW w:w="496" w:type="dxa"/>
            <w:shd w:val="clear" w:color="auto" w:fill="auto"/>
            <w:tcMar>
              <w:left w:w="57" w:type="dxa"/>
              <w:right w:w="57" w:type="dxa"/>
            </w:tcMar>
            <w:vAlign w:val="center"/>
          </w:tcPr>
          <w:p w14:paraId="6A6DC3E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000FDC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1113E5F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369796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062AA3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4283B3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673D0B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41BF23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0F284F7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3A91924" w14:textId="77777777" w:rsidTr="00A304E9">
        <w:trPr>
          <w:jc w:val="center"/>
        </w:trPr>
        <w:tc>
          <w:tcPr>
            <w:tcW w:w="5103" w:type="dxa"/>
            <w:shd w:val="clear" w:color="auto" w:fill="auto"/>
          </w:tcPr>
          <w:p w14:paraId="00388B7D" w14:textId="77777777" w:rsidR="00477A61" w:rsidRPr="00E01239" w:rsidRDefault="00477A61" w:rsidP="002A19B3">
            <w:pPr>
              <w:pStyle w:val="Paragraphedeliste"/>
              <w:numPr>
                <w:ilvl w:val="0"/>
                <w:numId w:val="32"/>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L’élimination des déchets est-elle prévue vers des sites pertinents ?</w:t>
            </w:r>
          </w:p>
        </w:tc>
        <w:tc>
          <w:tcPr>
            <w:tcW w:w="496" w:type="dxa"/>
            <w:shd w:val="clear" w:color="auto" w:fill="auto"/>
            <w:tcMar>
              <w:left w:w="57" w:type="dxa"/>
              <w:right w:w="57" w:type="dxa"/>
            </w:tcMar>
            <w:vAlign w:val="center"/>
          </w:tcPr>
          <w:p w14:paraId="144BE6C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EE0DB6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34EADD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C70A4F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876767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3ABBD6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E8DC9C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083657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6BD91FE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5FDE991" w14:textId="77777777" w:rsidTr="00A304E9">
        <w:trPr>
          <w:jc w:val="center"/>
        </w:trPr>
        <w:tc>
          <w:tcPr>
            <w:tcW w:w="5103" w:type="dxa"/>
            <w:shd w:val="clear" w:color="auto" w:fill="auto"/>
          </w:tcPr>
          <w:p w14:paraId="09362D42" w14:textId="77777777" w:rsidR="00477A61" w:rsidRPr="00E01239" w:rsidRDefault="00477A61" w:rsidP="002A19B3">
            <w:pPr>
              <w:pStyle w:val="Paragraphedeliste"/>
              <w:numPr>
                <w:ilvl w:val="0"/>
                <w:numId w:val="32"/>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L’infrastructure dispose-t-elle d’un plan formalisé pour leur gestion (collecte, tri, élimination) ?</w:t>
            </w:r>
          </w:p>
        </w:tc>
        <w:tc>
          <w:tcPr>
            <w:tcW w:w="496" w:type="dxa"/>
            <w:shd w:val="clear" w:color="auto" w:fill="auto"/>
            <w:tcMar>
              <w:left w:w="57" w:type="dxa"/>
              <w:right w:w="57" w:type="dxa"/>
            </w:tcMar>
            <w:vAlign w:val="center"/>
          </w:tcPr>
          <w:p w14:paraId="7E72F2C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AD87FC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EABCEA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023240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F29C7B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0E02AB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2D2DFE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EE3A62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E6B508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33B2D2D" w14:textId="77777777" w:rsidTr="00A304E9">
        <w:trPr>
          <w:jc w:val="center"/>
        </w:trPr>
        <w:tc>
          <w:tcPr>
            <w:tcW w:w="5103" w:type="dxa"/>
            <w:shd w:val="clear" w:color="auto" w:fill="auto"/>
          </w:tcPr>
          <w:p w14:paraId="08F6504C" w14:textId="77777777" w:rsidR="00477A61" w:rsidRPr="00E01239" w:rsidRDefault="00477A61" w:rsidP="002A19B3">
            <w:pPr>
              <w:pStyle w:val="Paragraphedeliste"/>
              <w:numPr>
                <w:ilvl w:val="0"/>
                <w:numId w:val="32"/>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Y-a-t-il des équipements, infrastructures, personnels pour cette gestion desdits déchets ?</w:t>
            </w:r>
          </w:p>
        </w:tc>
        <w:tc>
          <w:tcPr>
            <w:tcW w:w="496" w:type="dxa"/>
            <w:shd w:val="clear" w:color="auto" w:fill="auto"/>
            <w:tcMar>
              <w:left w:w="57" w:type="dxa"/>
              <w:right w:w="57" w:type="dxa"/>
            </w:tcMar>
            <w:vAlign w:val="center"/>
          </w:tcPr>
          <w:p w14:paraId="6C73274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8B7E84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256B8E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3FFFF8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EFA01A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81E654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120D16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30D35A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CCF2E9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645020E" w14:textId="77777777" w:rsidTr="00A304E9">
        <w:trPr>
          <w:jc w:val="center"/>
        </w:trPr>
        <w:tc>
          <w:tcPr>
            <w:tcW w:w="5103" w:type="dxa"/>
            <w:shd w:val="clear" w:color="auto" w:fill="auto"/>
          </w:tcPr>
          <w:p w14:paraId="3040EB6B" w14:textId="77777777" w:rsidR="00477A61" w:rsidRPr="00E01239" w:rsidRDefault="00477A61" w:rsidP="002A19B3">
            <w:pPr>
              <w:pStyle w:val="Paragraphedeliste"/>
              <w:numPr>
                <w:ilvl w:val="0"/>
                <w:numId w:val="32"/>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peut-il affecter la qualité des eaux de surface, souterraine, sources d’eau potable ?</w:t>
            </w:r>
          </w:p>
        </w:tc>
        <w:tc>
          <w:tcPr>
            <w:tcW w:w="496" w:type="dxa"/>
            <w:shd w:val="clear" w:color="auto" w:fill="auto"/>
            <w:tcMar>
              <w:left w:w="57" w:type="dxa"/>
              <w:right w:w="57" w:type="dxa"/>
            </w:tcMar>
            <w:vAlign w:val="center"/>
          </w:tcPr>
          <w:p w14:paraId="45943A1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628481F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107B51E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602BF7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2785EA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ED3CA0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DFAC34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821D52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4FC188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62C6452" w14:textId="77777777" w:rsidTr="00A304E9">
        <w:trPr>
          <w:jc w:val="center"/>
        </w:trPr>
        <w:tc>
          <w:tcPr>
            <w:tcW w:w="5103" w:type="dxa"/>
            <w:shd w:val="clear" w:color="auto" w:fill="auto"/>
          </w:tcPr>
          <w:p w14:paraId="206C89DC" w14:textId="77777777" w:rsidR="00477A61" w:rsidRPr="00E01239" w:rsidRDefault="00477A61" w:rsidP="002A19B3">
            <w:pPr>
              <w:pStyle w:val="Paragraphedeliste"/>
              <w:numPr>
                <w:ilvl w:val="0"/>
                <w:numId w:val="33"/>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risque-t-il d’affecter l’atmosphère (poussière, gaz divers, odeur) ?</w:t>
            </w:r>
          </w:p>
        </w:tc>
        <w:tc>
          <w:tcPr>
            <w:tcW w:w="496" w:type="dxa"/>
            <w:shd w:val="clear" w:color="auto" w:fill="auto"/>
            <w:tcMar>
              <w:left w:w="57" w:type="dxa"/>
              <w:right w:w="57" w:type="dxa"/>
            </w:tcMar>
            <w:vAlign w:val="center"/>
          </w:tcPr>
          <w:p w14:paraId="7EF18E4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3ECB72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B3A256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0B9FE5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A60321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76E834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5B042B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5FD531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3269213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6652CDC0" w14:textId="77777777" w:rsidTr="00A304E9">
        <w:trPr>
          <w:jc w:val="center"/>
        </w:trPr>
        <w:tc>
          <w:tcPr>
            <w:tcW w:w="11345" w:type="dxa"/>
            <w:gridSpan w:val="11"/>
            <w:shd w:val="clear" w:color="auto" w:fill="auto"/>
          </w:tcPr>
          <w:p w14:paraId="701164BE"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2.9 Mode de vie</w:t>
            </w:r>
          </w:p>
        </w:tc>
      </w:tr>
      <w:tr w:rsidR="00477A61" w:rsidRPr="00E01239" w14:paraId="68A3D5F7" w14:textId="77777777" w:rsidTr="00A304E9">
        <w:trPr>
          <w:jc w:val="center"/>
        </w:trPr>
        <w:tc>
          <w:tcPr>
            <w:tcW w:w="5103" w:type="dxa"/>
            <w:shd w:val="clear" w:color="auto" w:fill="auto"/>
          </w:tcPr>
          <w:p w14:paraId="11AC1AFD" w14:textId="77777777" w:rsidR="00477A61" w:rsidRPr="00E01239" w:rsidRDefault="00477A61" w:rsidP="002A19B3">
            <w:pPr>
              <w:pStyle w:val="Paragraphedeliste"/>
              <w:numPr>
                <w:ilvl w:val="0"/>
                <w:numId w:val="33"/>
              </w:numPr>
              <w:pBdr>
                <w:top w:val="nil"/>
                <w:left w:val="nil"/>
                <w:bottom w:val="nil"/>
                <w:right w:val="nil"/>
                <w:between w:val="nil"/>
                <w:bar w:val="nil"/>
              </w:pBdr>
              <w:jc w:val="both"/>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color w:val="000000"/>
                <w:sz w:val="22"/>
                <w:szCs w:val="22"/>
                <w:u w:color="000000"/>
                <w:bdr w:val="nil"/>
              </w:rPr>
              <w:t>Le projet amène-t-il des changements de mode de vie ou de comportement ?</w:t>
            </w:r>
          </w:p>
        </w:tc>
        <w:tc>
          <w:tcPr>
            <w:tcW w:w="496" w:type="dxa"/>
            <w:shd w:val="clear" w:color="auto" w:fill="auto"/>
            <w:tcMar>
              <w:left w:w="57" w:type="dxa"/>
              <w:right w:w="57" w:type="dxa"/>
            </w:tcMar>
            <w:vAlign w:val="center"/>
          </w:tcPr>
          <w:p w14:paraId="1294266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89192E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3BEB50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6340EC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627F9C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6A723E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51A685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1215CE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7F68D9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781EDCA" w14:textId="77777777" w:rsidTr="00A304E9">
        <w:trPr>
          <w:jc w:val="center"/>
        </w:trPr>
        <w:tc>
          <w:tcPr>
            <w:tcW w:w="5103" w:type="dxa"/>
            <w:shd w:val="clear" w:color="auto" w:fill="auto"/>
          </w:tcPr>
          <w:p w14:paraId="70545053" w14:textId="77777777" w:rsidR="00477A61" w:rsidRPr="00E01239" w:rsidRDefault="00477A61" w:rsidP="002A19B3">
            <w:pPr>
              <w:pStyle w:val="Paragraphedeliste"/>
              <w:numPr>
                <w:ilvl w:val="0"/>
                <w:numId w:val="33"/>
              </w:numPr>
              <w:pBdr>
                <w:top w:val="nil"/>
                <w:left w:val="nil"/>
                <w:bottom w:val="nil"/>
                <w:right w:val="nil"/>
                <w:between w:val="nil"/>
                <w:bar w:val="nil"/>
              </w:pBdr>
              <w:jc w:val="both"/>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color w:val="000000"/>
                <w:sz w:val="22"/>
                <w:szCs w:val="22"/>
                <w:u w:color="000000"/>
                <w:bdr w:val="nil"/>
              </w:rPr>
              <w:t>Existe-t-il des groupes spécifiques qui seront plus touchés par ces changements de mode vie ou de comportements (par genre, âge et catégorie socio professionnelle ou culturelle) ?</w:t>
            </w:r>
          </w:p>
        </w:tc>
        <w:tc>
          <w:tcPr>
            <w:tcW w:w="496" w:type="dxa"/>
            <w:shd w:val="clear" w:color="auto" w:fill="auto"/>
            <w:tcMar>
              <w:left w:w="57" w:type="dxa"/>
              <w:right w:w="57" w:type="dxa"/>
            </w:tcMar>
            <w:vAlign w:val="center"/>
          </w:tcPr>
          <w:p w14:paraId="6D9A7A0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5A497FA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0B3A47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6B8CE1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AC7C51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CE0D0A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7B28E7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80F0F7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4D12B9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26C9F8E" w14:textId="77777777" w:rsidTr="00A304E9">
        <w:trPr>
          <w:jc w:val="center"/>
        </w:trPr>
        <w:tc>
          <w:tcPr>
            <w:tcW w:w="5103" w:type="dxa"/>
            <w:shd w:val="clear" w:color="auto" w:fill="auto"/>
          </w:tcPr>
          <w:p w14:paraId="1E8C1F20" w14:textId="77777777" w:rsidR="00477A61" w:rsidRPr="00E01239" w:rsidRDefault="00477A61" w:rsidP="002A19B3">
            <w:pPr>
              <w:pStyle w:val="Paragraphedeliste"/>
              <w:numPr>
                <w:ilvl w:val="0"/>
                <w:numId w:val="33"/>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Ces changements concernent ils des usages, pratiques et traditions culturels locaux ?</w:t>
            </w:r>
          </w:p>
        </w:tc>
        <w:tc>
          <w:tcPr>
            <w:tcW w:w="496" w:type="dxa"/>
            <w:shd w:val="clear" w:color="auto" w:fill="auto"/>
            <w:tcMar>
              <w:left w:w="57" w:type="dxa"/>
              <w:right w:w="57" w:type="dxa"/>
            </w:tcMar>
            <w:vAlign w:val="center"/>
          </w:tcPr>
          <w:p w14:paraId="0092BFB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8D1354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CF4E8C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A935B1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21B8C4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5E0E05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F0A9EE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57EDA1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E81537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1AC0ED3" w14:textId="77777777" w:rsidTr="00A304E9">
        <w:trPr>
          <w:jc w:val="center"/>
        </w:trPr>
        <w:tc>
          <w:tcPr>
            <w:tcW w:w="5103" w:type="dxa"/>
            <w:shd w:val="clear" w:color="auto" w:fill="auto"/>
          </w:tcPr>
          <w:p w14:paraId="3C31C674" w14:textId="77777777" w:rsidR="00477A61" w:rsidRPr="00E01239" w:rsidRDefault="00477A61" w:rsidP="002A19B3">
            <w:pPr>
              <w:pStyle w:val="Paragraphedeliste"/>
              <w:numPr>
                <w:ilvl w:val="0"/>
                <w:numId w:val="33"/>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Les bénéficiaires directs ou indirects doivent ils changer de comportement et sont-ils d’accord ?</w:t>
            </w:r>
          </w:p>
        </w:tc>
        <w:tc>
          <w:tcPr>
            <w:tcW w:w="496" w:type="dxa"/>
            <w:shd w:val="clear" w:color="auto" w:fill="auto"/>
            <w:tcMar>
              <w:left w:w="57" w:type="dxa"/>
              <w:right w:w="57" w:type="dxa"/>
            </w:tcMar>
            <w:vAlign w:val="center"/>
          </w:tcPr>
          <w:p w14:paraId="5C972F0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EF2EB3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83588A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8C7231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A99EF5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E7FA94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28D1BD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A7229A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8B3B82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CE960A7" w14:textId="77777777" w:rsidTr="00A304E9">
        <w:trPr>
          <w:jc w:val="center"/>
        </w:trPr>
        <w:tc>
          <w:tcPr>
            <w:tcW w:w="5103" w:type="dxa"/>
            <w:shd w:val="clear" w:color="auto" w:fill="auto"/>
          </w:tcPr>
          <w:p w14:paraId="00C19504" w14:textId="77777777" w:rsidR="00477A61" w:rsidRPr="00E01239" w:rsidRDefault="00477A61" w:rsidP="002A19B3">
            <w:pPr>
              <w:pStyle w:val="Paragraphedeliste"/>
              <w:numPr>
                <w:ilvl w:val="0"/>
                <w:numId w:val="33"/>
              </w:numPr>
              <w:pBdr>
                <w:top w:val="nil"/>
                <w:left w:val="nil"/>
                <w:bottom w:val="nil"/>
                <w:right w:val="nil"/>
                <w:between w:val="nil"/>
                <w:bar w:val="nil"/>
              </w:pBdr>
              <w:jc w:val="both"/>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color w:val="000000"/>
                <w:sz w:val="22"/>
                <w:szCs w:val="22"/>
                <w:u w:color="000000"/>
                <w:bdr w:val="nil"/>
              </w:rPr>
              <w:t>L</w:t>
            </w:r>
            <w:r w:rsidRPr="00E01239">
              <w:rPr>
                <w:rFonts w:asciiTheme="minorHAnsi" w:eastAsia="Cambria" w:hAnsiTheme="minorHAnsi" w:cstheme="minorHAnsi"/>
                <w:bCs/>
                <w:color w:val="000000"/>
                <w:sz w:val="22"/>
                <w:szCs w:val="22"/>
                <w:u w:color="000000"/>
                <w:bdr w:val="nil"/>
              </w:rPr>
              <w:t>e projet peut-il entraîner des altérations du mode de vie des populations concernées ?</w:t>
            </w:r>
          </w:p>
        </w:tc>
        <w:tc>
          <w:tcPr>
            <w:tcW w:w="496" w:type="dxa"/>
            <w:shd w:val="clear" w:color="auto" w:fill="auto"/>
            <w:tcMar>
              <w:left w:w="57" w:type="dxa"/>
              <w:right w:w="57" w:type="dxa"/>
            </w:tcMar>
            <w:vAlign w:val="center"/>
          </w:tcPr>
          <w:p w14:paraId="1D7E5E3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3F0704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0A10C13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FD0C2D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6CEA2B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045B72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D90172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BD41D2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436FA3B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1F7D22CC" w14:textId="77777777" w:rsidTr="00A304E9">
        <w:trPr>
          <w:jc w:val="center"/>
        </w:trPr>
        <w:tc>
          <w:tcPr>
            <w:tcW w:w="5103" w:type="dxa"/>
            <w:shd w:val="clear" w:color="auto" w:fill="auto"/>
          </w:tcPr>
          <w:p w14:paraId="102DBC17" w14:textId="77777777" w:rsidR="00477A61" w:rsidRPr="00E01239" w:rsidRDefault="00477A61" w:rsidP="00A304E9">
            <w:pPr>
              <w:pBdr>
                <w:top w:val="nil"/>
                <w:left w:val="nil"/>
                <w:bottom w:val="nil"/>
                <w:right w:val="nil"/>
                <w:between w:val="nil"/>
                <w:bar w:val="nil"/>
              </w:pBdr>
              <w:contextualSpacing/>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peut-il entraîner une accentuation des inégalités sociales ?</w:t>
            </w:r>
          </w:p>
        </w:tc>
        <w:tc>
          <w:tcPr>
            <w:tcW w:w="496" w:type="dxa"/>
            <w:shd w:val="clear" w:color="auto" w:fill="auto"/>
            <w:tcMar>
              <w:left w:w="57" w:type="dxa"/>
              <w:right w:w="57" w:type="dxa"/>
            </w:tcMar>
            <w:vAlign w:val="center"/>
          </w:tcPr>
          <w:p w14:paraId="4595748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1A4456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607122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851241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BE139E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A762BD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27C3B9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307901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1430641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19B30F95" w14:textId="77777777" w:rsidTr="00A304E9">
        <w:trPr>
          <w:jc w:val="center"/>
        </w:trPr>
        <w:tc>
          <w:tcPr>
            <w:tcW w:w="5103" w:type="dxa"/>
            <w:shd w:val="clear" w:color="auto" w:fill="auto"/>
          </w:tcPr>
          <w:p w14:paraId="1EACAE6C" w14:textId="77777777" w:rsidR="00477A61" w:rsidRPr="00E01239" w:rsidRDefault="00477A61" w:rsidP="002A19B3">
            <w:pPr>
              <w:pStyle w:val="Paragraphedeliste"/>
              <w:numPr>
                <w:ilvl w:val="0"/>
                <w:numId w:val="34"/>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 xml:space="preserve">Les modalités d’usage (distance, horaires, etc.) excluront-ils des acteurs potentiels ? </w:t>
            </w:r>
          </w:p>
        </w:tc>
        <w:tc>
          <w:tcPr>
            <w:tcW w:w="496" w:type="dxa"/>
            <w:shd w:val="clear" w:color="auto" w:fill="auto"/>
            <w:tcMar>
              <w:left w:w="57" w:type="dxa"/>
              <w:right w:w="57" w:type="dxa"/>
            </w:tcMar>
            <w:vAlign w:val="center"/>
          </w:tcPr>
          <w:p w14:paraId="61AC358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68F7E0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9E191A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D9E853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5699A5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F531C7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2784D7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C416DB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51B770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1EBA2BE5" w14:textId="77777777" w:rsidTr="00A304E9">
        <w:trPr>
          <w:jc w:val="center"/>
        </w:trPr>
        <w:tc>
          <w:tcPr>
            <w:tcW w:w="5103" w:type="dxa"/>
            <w:shd w:val="clear" w:color="auto" w:fill="auto"/>
          </w:tcPr>
          <w:p w14:paraId="05698326" w14:textId="77777777" w:rsidR="00477A61" w:rsidRPr="00E01239" w:rsidRDefault="00477A61" w:rsidP="002A19B3">
            <w:pPr>
              <w:pStyle w:val="Paragraphedeliste"/>
              <w:numPr>
                <w:ilvl w:val="0"/>
                <w:numId w:val="34"/>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lastRenderedPageBreak/>
              <w:t>Est-il possible que certains acteurs s’approprient l’ouvrage et/ou son usage à leur profit ?</w:t>
            </w:r>
          </w:p>
        </w:tc>
        <w:tc>
          <w:tcPr>
            <w:tcW w:w="496" w:type="dxa"/>
            <w:shd w:val="clear" w:color="auto" w:fill="auto"/>
            <w:tcMar>
              <w:left w:w="57" w:type="dxa"/>
              <w:right w:w="57" w:type="dxa"/>
            </w:tcMar>
            <w:vAlign w:val="center"/>
          </w:tcPr>
          <w:p w14:paraId="3BD90F3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12A671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2C26FB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845AC4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3F015D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C8282F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5E8125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314FD0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73B084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33DB1E93" w14:textId="77777777" w:rsidTr="00A304E9">
        <w:trPr>
          <w:jc w:val="center"/>
        </w:trPr>
        <w:tc>
          <w:tcPr>
            <w:tcW w:w="5103" w:type="dxa"/>
            <w:shd w:val="clear" w:color="auto" w:fill="auto"/>
          </w:tcPr>
          <w:p w14:paraId="6732B353" w14:textId="77777777" w:rsidR="00477A61" w:rsidRPr="00E01239" w:rsidRDefault="00477A61" w:rsidP="002A19B3">
            <w:pPr>
              <w:pStyle w:val="Paragraphedeliste"/>
              <w:numPr>
                <w:ilvl w:val="0"/>
                <w:numId w:val="34"/>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peut-il entraîner des utilisations incompatibles ou conflits sociaux entre les différents usagers ?</w:t>
            </w:r>
          </w:p>
        </w:tc>
        <w:tc>
          <w:tcPr>
            <w:tcW w:w="496" w:type="dxa"/>
            <w:shd w:val="clear" w:color="auto" w:fill="auto"/>
            <w:tcMar>
              <w:left w:w="57" w:type="dxa"/>
              <w:right w:w="57" w:type="dxa"/>
            </w:tcMar>
            <w:vAlign w:val="center"/>
          </w:tcPr>
          <w:p w14:paraId="1F166DC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A7DC04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0546805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CB58E6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C25ADC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C87D44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1E86C3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C8D009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485D06C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E44F623" w14:textId="77777777" w:rsidTr="00A304E9">
        <w:trPr>
          <w:jc w:val="center"/>
        </w:trPr>
        <w:tc>
          <w:tcPr>
            <w:tcW w:w="11345" w:type="dxa"/>
            <w:gridSpan w:val="11"/>
            <w:shd w:val="clear" w:color="auto" w:fill="auto"/>
          </w:tcPr>
          <w:p w14:paraId="7830AC0A"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2.10 Santé / Protection des travailleurs et population</w:t>
            </w:r>
          </w:p>
        </w:tc>
      </w:tr>
      <w:tr w:rsidR="00477A61" w:rsidRPr="00E01239" w14:paraId="2D1B9405" w14:textId="77777777" w:rsidTr="00A304E9">
        <w:trPr>
          <w:jc w:val="center"/>
        </w:trPr>
        <w:tc>
          <w:tcPr>
            <w:tcW w:w="5103" w:type="dxa"/>
            <w:shd w:val="clear" w:color="auto" w:fill="auto"/>
          </w:tcPr>
          <w:p w14:paraId="36A39C52" w14:textId="77777777" w:rsidR="00477A61" w:rsidRPr="00E01239" w:rsidRDefault="00477A61" w:rsidP="002A19B3">
            <w:pPr>
              <w:pStyle w:val="Paragraphedeliste"/>
              <w:numPr>
                <w:ilvl w:val="0"/>
                <w:numId w:val="52"/>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peut-il induire des risques d’accidents pour les travailleurs et les populations ?</w:t>
            </w:r>
          </w:p>
        </w:tc>
        <w:tc>
          <w:tcPr>
            <w:tcW w:w="496" w:type="dxa"/>
            <w:shd w:val="clear" w:color="auto" w:fill="auto"/>
            <w:tcMar>
              <w:left w:w="57" w:type="dxa"/>
              <w:right w:w="57" w:type="dxa"/>
            </w:tcMar>
            <w:vAlign w:val="center"/>
          </w:tcPr>
          <w:p w14:paraId="3DB0B62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F48D12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678BCC7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92F8CC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0398EA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B238CF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DE2CA5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078A4A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3F514D9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13DCEEEE" w14:textId="77777777" w:rsidTr="00A304E9">
        <w:trPr>
          <w:jc w:val="center"/>
        </w:trPr>
        <w:tc>
          <w:tcPr>
            <w:tcW w:w="5103" w:type="dxa"/>
            <w:shd w:val="clear" w:color="auto" w:fill="auto"/>
          </w:tcPr>
          <w:p w14:paraId="160A53B1" w14:textId="77777777" w:rsidR="00477A61" w:rsidRPr="00E01239" w:rsidRDefault="00477A61" w:rsidP="002A19B3">
            <w:pPr>
              <w:pStyle w:val="Paragraphedeliste"/>
              <w:numPr>
                <w:ilvl w:val="0"/>
                <w:numId w:val="35"/>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 xml:space="preserve"> Existe-t-il des catégories (socio-professionnelle, genre, âge,) qui seront plus touchées ?</w:t>
            </w:r>
          </w:p>
        </w:tc>
        <w:tc>
          <w:tcPr>
            <w:tcW w:w="496" w:type="dxa"/>
            <w:shd w:val="clear" w:color="auto" w:fill="auto"/>
            <w:tcMar>
              <w:left w:w="57" w:type="dxa"/>
              <w:right w:w="57" w:type="dxa"/>
            </w:tcMar>
            <w:vAlign w:val="center"/>
          </w:tcPr>
          <w:p w14:paraId="253978E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8E01A5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85EA4E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1E978C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4CB46F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56ED91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88BDD6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8BA07F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3D0947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36AAC61" w14:textId="77777777" w:rsidTr="00A304E9">
        <w:trPr>
          <w:jc w:val="center"/>
        </w:trPr>
        <w:tc>
          <w:tcPr>
            <w:tcW w:w="5103" w:type="dxa"/>
            <w:shd w:val="clear" w:color="auto" w:fill="auto"/>
          </w:tcPr>
          <w:p w14:paraId="1DC6D570" w14:textId="77777777" w:rsidR="00477A61" w:rsidRPr="00E01239" w:rsidRDefault="00477A61" w:rsidP="002A19B3">
            <w:pPr>
              <w:pStyle w:val="Paragraphedeliste"/>
              <w:numPr>
                <w:ilvl w:val="0"/>
                <w:numId w:val="35"/>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Durant les travaux le site est-il bien protégé, équipé, et signalé contre les accidents ?</w:t>
            </w:r>
          </w:p>
        </w:tc>
        <w:tc>
          <w:tcPr>
            <w:tcW w:w="496" w:type="dxa"/>
            <w:shd w:val="clear" w:color="auto" w:fill="auto"/>
            <w:tcMar>
              <w:left w:w="57" w:type="dxa"/>
              <w:right w:w="57" w:type="dxa"/>
            </w:tcMar>
            <w:vAlign w:val="center"/>
          </w:tcPr>
          <w:p w14:paraId="6FF6ED4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6EF96A1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169236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98098F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578EE2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B5557B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413B40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2EDECC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5CA224C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3392C79D" w14:textId="77777777" w:rsidTr="00A304E9">
        <w:trPr>
          <w:jc w:val="center"/>
        </w:trPr>
        <w:tc>
          <w:tcPr>
            <w:tcW w:w="5103" w:type="dxa"/>
            <w:shd w:val="clear" w:color="auto" w:fill="auto"/>
          </w:tcPr>
          <w:p w14:paraId="3E63F242" w14:textId="77777777" w:rsidR="00477A61" w:rsidRPr="00E01239" w:rsidRDefault="00477A61" w:rsidP="002A19B3">
            <w:pPr>
              <w:pStyle w:val="Paragraphedeliste"/>
              <w:numPr>
                <w:ilvl w:val="0"/>
                <w:numId w:val="35"/>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peut-il causer des risques pour la santé des travailleurs et de la population ?</w:t>
            </w:r>
          </w:p>
        </w:tc>
        <w:tc>
          <w:tcPr>
            <w:tcW w:w="496" w:type="dxa"/>
            <w:shd w:val="clear" w:color="auto" w:fill="auto"/>
            <w:tcMar>
              <w:left w:w="57" w:type="dxa"/>
              <w:right w:w="57" w:type="dxa"/>
            </w:tcMar>
            <w:vAlign w:val="center"/>
          </w:tcPr>
          <w:p w14:paraId="1B51B2D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8465B9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E346AE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BF5D87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17F129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2F838B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7A5925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5ECBC3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5FE9B2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3C0CE04" w14:textId="77777777" w:rsidTr="00A304E9">
        <w:trPr>
          <w:jc w:val="center"/>
        </w:trPr>
        <w:tc>
          <w:tcPr>
            <w:tcW w:w="5103" w:type="dxa"/>
            <w:shd w:val="clear" w:color="auto" w:fill="auto"/>
          </w:tcPr>
          <w:p w14:paraId="21009E77" w14:textId="77777777" w:rsidR="00477A61" w:rsidRPr="00E01239" w:rsidRDefault="00477A61" w:rsidP="002A19B3">
            <w:pPr>
              <w:pStyle w:val="Paragraphedeliste"/>
              <w:numPr>
                <w:ilvl w:val="0"/>
                <w:numId w:val="36"/>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personnel et la population vont-ils être sensibilisés aux MST / VIH / SIDA ?</w:t>
            </w:r>
          </w:p>
        </w:tc>
        <w:tc>
          <w:tcPr>
            <w:tcW w:w="496" w:type="dxa"/>
            <w:shd w:val="clear" w:color="auto" w:fill="auto"/>
            <w:tcMar>
              <w:left w:w="57" w:type="dxa"/>
              <w:right w:w="57" w:type="dxa"/>
            </w:tcMar>
            <w:vAlign w:val="center"/>
          </w:tcPr>
          <w:p w14:paraId="2FCBF93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F23D55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CBB82A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091298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BF2CB2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C67757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8127DB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86CEE3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5FC1BB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E426D7A" w14:textId="77777777" w:rsidTr="00A304E9">
        <w:trPr>
          <w:jc w:val="center"/>
        </w:trPr>
        <w:tc>
          <w:tcPr>
            <w:tcW w:w="5103" w:type="dxa"/>
            <w:shd w:val="clear" w:color="auto" w:fill="auto"/>
          </w:tcPr>
          <w:p w14:paraId="26AC5DAD" w14:textId="77777777" w:rsidR="00477A61" w:rsidRPr="00E01239" w:rsidRDefault="00477A61" w:rsidP="002A19B3">
            <w:pPr>
              <w:pStyle w:val="Paragraphedeliste"/>
              <w:numPr>
                <w:ilvl w:val="0"/>
                <w:numId w:val="36"/>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peut-il entrainer une augmentation des vecteurs de maladie ?</w:t>
            </w:r>
          </w:p>
        </w:tc>
        <w:tc>
          <w:tcPr>
            <w:tcW w:w="496" w:type="dxa"/>
            <w:shd w:val="clear" w:color="auto" w:fill="auto"/>
            <w:tcMar>
              <w:left w:w="57" w:type="dxa"/>
              <w:right w:w="57" w:type="dxa"/>
            </w:tcMar>
            <w:vAlign w:val="center"/>
          </w:tcPr>
          <w:p w14:paraId="3D9270B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5FBFA0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1EB3793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63E264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94FF9F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C364A9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9D810B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1062D7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350B518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63CB3EB" w14:textId="77777777" w:rsidTr="00A304E9">
        <w:trPr>
          <w:jc w:val="center"/>
        </w:trPr>
        <w:tc>
          <w:tcPr>
            <w:tcW w:w="5103" w:type="dxa"/>
            <w:shd w:val="clear" w:color="auto" w:fill="auto"/>
          </w:tcPr>
          <w:p w14:paraId="256E89DC" w14:textId="77777777" w:rsidR="00477A61" w:rsidRPr="00E01239" w:rsidRDefault="00477A61" w:rsidP="002A19B3">
            <w:pPr>
              <w:pStyle w:val="Paragraphedeliste"/>
              <w:numPr>
                <w:ilvl w:val="0"/>
                <w:numId w:val="37"/>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peut-il causer des risques pour la santé animale ?</w:t>
            </w:r>
          </w:p>
        </w:tc>
        <w:tc>
          <w:tcPr>
            <w:tcW w:w="496" w:type="dxa"/>
            <w:shd w:val="clear" w:color="auto" w:fill="auto"/>
            <w:tcMar>
              <w:left w:w="57" w:type="dxa"/>
              <w:right w:w="57" w:type="dxa"/>
            </w:tcMar>
            <w:vAlign w:val="center"/>
          </w:tcPr>
          <w:p w14:paraId="1CAB7AA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798D990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4833C5F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53F098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E5D1D4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5388D6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59557C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D5518F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4AC04B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54CBD427" w14:textId="77777777" w:rsidTr="00A304E9">
        <w:trPr>
          <w:jc w:val="center"/>
        </w:trPr>
        <w:tc>
          <w:tcPr>
            <w:tcW w:w="11345" w:type="dxa"/>
            <w:gridSpan w:val="11"/>
            <w:shd w:val="clear" w:color="auto" w:fill="auto"/>
          </w:tcPr>
          <w:p w14:paraId="11CF325D"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 xml:space="preserve"> 2.11 Revenus locaux </w:t>
            </w:r>
          </w:p>
        </w:tc>
      </w:tr>
      <w:tr w:rsidR="00477A61" w:rsidRPr="00E01239" w14:paraId="6E933FF6" w14:textId="77777777" w:rsidTr="00A304E9">
        <w:trPr>
          <w:jc w:val="center"/>
        </w:trPr>
        <w:tc>
          <w:tcPr>
            <w:tcW w:w="5103" w:type="dxa"/>
            <w:shd w:val="clear" w:color="auto" w:fill="auto"/>
          </w:tcPr>
          <w:p w14:paraId="2A96C91E" w14:textId="77777777" w:rsidR="00477A61" w:rsidRPr="00E01239" w:rsidRDefault="00477A61" w:rsidP="002A19B3">
            <w:pPr>
              <w:pStyle w:val="Paragraphedeliste"/>
              <w:numPr>
                <w:ilvl w:val="0"/>
                <w:numId w:val="37"/>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permet-il la création d’emploi ?</w:t>
            </w:r>
          </w:p>
        </w:tc>
        <w:tc>
          <w:tcPr>
            <w:tcW w:w="496" w:type="dxa"/>
            <w:shd w:val="clear" w:color="auto" w:fill="auto"/>
            <w:tcMar>
              <w:left w:w="57" w:type="dxa"/>
              <w:right w:w="57" w:type="dxa"/>
            </w:tcMar>
            <w:vAlign w:val="center"/>
          </w:tcPr>
          <w:p w14:paraId="75AE3B6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82A689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4DFA3D5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4103B6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DC4920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921D5D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214F8F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99FD22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34D110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7E6AC4EE" w14:textId="77777777" w:rsidTr="00A304E9">
        <w:trPr>
          <w:jc w:val="center"/>
        </w:trPr>
        <w:tc>
          <w:tcPr>
            <w:tcW w:w="5103" w:type="dxa"/>
            <w:shd w:val="clear" w:color="auto" w:fill="auto"/>
          </w:tcPr>
          <w:p w14:paraId="2209BB7A" w14:textId="77777777" w:rsidR="00477A61" w:rsidRPr="00E01239" w:rsidRDefault="00477A61" w:rsidP="002A19B3">
            <w:pPr>
              <w:pStyle w:val="Paragraphedeliste"/>
              <w:numPr>
                <w:ilvl w:val="0"/>
                <w:numId w:val="37"/>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recrutement privilégie-t-il la non-discrimination par genre à critères professionnels égaux ?</w:t>
            </w:r>
          </w:p>
        </w:tc>
        <w:tc>
          <w:tcPr>
            <w:tcW w:w="496" w:type="dxa"/>
            <w:shd w:val="clear" w:color="auto" w:fill="auto"/>
            <w:tcMar>
              <w:left w:w="57" w:type="dxa"/>
              <w:right w:w="57" w:type="dxa"/>
            </w:tcMar>
            <w:vAlign w:val="center"/>
          </w:tcPr>
          <w:p w14:paraId="6A69FB94"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7EE548C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D272A8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2985F1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A8465C5"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44118C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606128F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A6D8A4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75EE45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8B07E56" w14:textId="77777777" w:rsidTr="00A304E9">
        <w:trPr>
          <w:jc w:val="center"/>
        </w:trPr>
        <w:tc>
          <w:tcPr>
            <w:tcW w:w="5103" w:type="dxa"/>
            <w:shd w:val="clear" w:color="auto" w:fill="auto"/>
          </w:tcPr>
          <w:p w14:paraId="6111CACE" w14:textId="77777777" w:rsidR="00477A61" w:rsidRPr="00E01239" w:rsidRDefault="00477A61" w:rsidP="002A19B3">
            <w:pPr>
              <w:pStyle w:val="Paragraphedeliste"/>
              <w:numPr>
                <w:ilvl w:val="0"/>
                <w:numId w:val="38"/>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induit-il des achats (matériaux, équipements, fournitures, etc.) ?</w:t>
            </w:r>
          </w:p>
        </w:tc>
        <w:tc>
          <w:tcPr>
            <w:tcW w:w="496" w:type="dxa"/>
            <w:shd w:val="clear" w:color="auto" w:fill="auto"/>
            <w:tcMar>
              <w:left w:w="57" w:type="dxa"/>
              <w:right w:w="57" w:type="dxa"/>
            </w:tcMar>
            <w:vAlign w:val="center"/>
          </w:tcPr>
          <w:p w14:paraId="029E33D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A38051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222732F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4DB441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AD0793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AC80EF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7F2486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04D1A11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91DD63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25CF1F25" w14:textId="77777777" w:rsidTr="00A304E9">
        <w:trPr>
          <w:jc w:val="center"/>
        </w:trPr>
        <w:tc>
          <w:tcPr>
            <w:tcW w:w="5103" w:type="dxa"/>
            <w:shd w:val="clear" w:color="auto" w:fill="auto"/>
          </w:tcPr>
          <w:p w14:paraId="75EB681B" w14:textId="77777777" w:rsidR="00477A61" w:rsidRPr="00E01239" w:rsidRDefault="00477A61" w:rsidP="002A19B3">
            <w:pPr>
              <w:pStyle w:val="Paragraphedeliste"/>
              <w:numPr>
                <w:ilvl w:val="0"/>
                <w:numId w:val="39"/>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projet favorise-t-il les achats locaux à critères égaux ?</w:t>
            </w:r>
          </w:p>
        </w:tc>
        <w:tc>
          <w:tcPr>
            <w:tcW w:w="496" w:type="dxa"/>
            <w:shd w:val="clear" w:color="auto" w:fill="auto"/>
            <w:tcMar>
              <w:left w:w="57" w:type="dxa"/>
              <w:right w:w="57" w:type="dxa"/>
            </w:tcMar>
            <w:vAlign w:val="center"/>
          </w:tcPr>
          <w:p w14:paraId="6305BCD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6E2B10D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053329C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6D5BCF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0BE0547"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4DD303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48F630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BD6F47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06D227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02488173" w14:textId="77777777" w:rsidTr="00A304E9">
        <w:trPr>
          <w:jc w:val="center"/>
        </w:trPr>
        <w:tc>
          <w:tcPr>
            <w:tcW w:w="5103" w:type="dxa"/>
            <w:shd w:val="clear" w:color="auto" w:fill="auto"/>
          </w:tcPr>
          <w:p w14:paraId="15EA9D0B" w14:textId="77777777" w:rsidR="00477A61" w:rsidRPr="00E01239" w:rsidRDefault="00477A61" w:rsidP="002A19B3">
            <w:pPr>
              <w:pStyle w:val="Paragraphedeliste"/>
              <w:numPr>
                <w:ilvl w:val="0"/>
                <w:numId w:val="38"/>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 xml:space="preserve">Le projet permet-t-il de générer des revenus d’usage (taxes, redevances, paiements, etc.) ? </w:t>
            </w:r>
          </w:p>
        </w:tc>
        <w:tc>
          <w:tcPr>
            <w:tcW w:w="496" w:type="dxa"/>
            <w:shd w:val="clear" w:color="auto" w:fill="auto"/>
            <w:tcMar>
              <w:left w:w="57" w:type="dxa"/>
              <w:right w:w="57" w:type="dxa"/>
            </w:tcMar>
            <w:vAlign w:val="center"/>
          </w:tcPr>
          <w:p w14:paraId="6497773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1C5C9CF"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BDBC69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795E7820"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8336BB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7B7601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40EEE0D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734B40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2BEB7086"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6C144A03" w14:textId="77777777" w:rsidTr="00A304E9">
        <w:trPr>
          <w:jc w:val="center"/>
        </w:trPr>
        <w:tc>
          <w:tcPr>
            <w:tcW w:w="5103" w:type="dxa"/>
            <w:shd w:val="clear" w:color="auto" w:fill="auto"/>
          </w:tcPr>
          <w:p w14:paraId="329AD82B" w14:textId="77777777" w:rsidR="00477A61" w:rsidRPr="00E01239" w:rsidRDefault="00477A61" w:rsidP="002A19B3">
            <w:pPr>
              <w:pStyle w:val="Paragraphedeliste"/>
              <w:numPr>
                <w:ilvl w:val="0"/>
                <w:numId w:val="38"/>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favorise-t-il l’augmentation des productions agricoles ou autres ?</w:t>
            </w:r>
          </w:p>
        </w:tc>
        <w:tc>
          <w:tcPr>
            <w:tcW w:w="496" w:type="dxa"/>
            <w:shd w:val="clear" w:color="auto" w:fill="auto"/>
            <w:tcMar>
              <w:left w:w="57" w:type="dxa"/>
              <w:right w:w="57" w:type="dxa"/>
            </w:tcMar>
            <w:vAlign w:val="center"/>
          </w:tcPr>
          <w:p w14:paraId="7963B6B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165C48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831497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55DCD6B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1426FAE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67485D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2F3FC16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567" w:type="dxa"/>
            <w:shd w:val="clear" w:color="auto" w:fill="auto"/>
          </w:tcPr>
          <w:p w14:paraId="3BEC6C8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1848" w:type="dxa"/>
            <w:shd w:val="clear" w:color="auto" w:fill="auto"/>
          </w:tcPr>
          <w:p w14:paraId="780B7F0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r>
      <w:tr w:rsidR="00477A61" w:rsidRPr="00E01239" w14:paraId="421361C7" w14:textId="77777777" w:rsidTr="00A304E9">
        <w:trPr>
          <w:jc w:val="center"/>
        </w:trPr>
        <w:tc>
          <w:tcPr>
            <w:tcW w:w="5103" w:type="dxa"/>
            <w:shd w:val="clear" w:color="auto" w:fill="auto"/>
          </w:tcPr>
          <w:p w14:paraId="616850A5" w14:textId="77777777" w:rsidR="00477A61" w:rsidRPr="00E01239" w:rsidRDefault="00477A61" w:rsidP="002A19B3">
            <w:pPr>
              <w:pStyle w:val="Paragraphedeliste"/>
              <w:numPr>
                <w:ilvl w:val="0"/>
                <w:numId w:val="38"/>
              </w:numPr>
              <w:pBdr>
                <w:top w:val="nil"/>
                <w:left w:val="nil"/>
                <w:bottom w:val="nil"/>
                <w:right w:val="nil"/>
                <w:between w:val="nil"/>
                <w:bar w:val="nil"/>
              </w:pBdr>
              <w:jc w:val="both"/>
              <w:rPr>
                <w:rFonts w:asciiTheme="minorHAnsi" w:eastAsia="Cambria" w:hAnsiTheme="minorHAnsi" w:cstheme="minorHAnsi"/>
                <w:bCs/>
                <w:i/>
                <w:color w:val="000000"/>
                <w:sz w:val="22"/>
                <w:szCs w:val="22"/>
                <w:u w:color="000000"/>
                <w:bdr w:val="nil"/>
              </w:rPr>
            </w:pPr>
            <w:r w:rsidRPr="00E01239">
              <w:rPr>
                <w:rFonts w:asciiTheme="minorHAnsi" w:eastAsia="Cambria" w:hAnsiTheme="minorHAnsi" w:cstheme="minorHAnsi"/>
                <w:bCs/>
                <w:i/>
                <w:color w:val="000000"/>
                <w:sz w:val="22"/>
                <w:szCs w:val="22"/>
                <w:u w:color="000000"/>
                <w:bdr w:val="nil"/>
              </w:rPr>
              <w:t>Le projet peut-il être utilisé pour des intérêts économiques divergents et créer des conflits ?</w:t>
            </w:r>
          </w:p>
        </w:tc>
        <w:tc>
          <w:tcPr>
            <w:tcW w:w="496" w:type="dxa"/>
            <w:shd w:val="clear" w:color="auto" w:fill="auto"/>
            <w:tcMar>
              <w:left w:w="57" w:type="dxa"/>
              <w:right w:w="57" w:type="dxa"/>
            </w:tcMar>
            <w:vAlign w:val="center"/>
          </w:tcPr>
          <w:p w14:paraId="79EAB802"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3CA21E69"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32757B63"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600B4540"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2B6CA29C"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01A705E7"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7F9A307A"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5942B60D"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1848" w:type="dxa"/>
            <w:shd w:val="clear" w:color="auto" w:fill="auto"/>
          </w:tcPr>
          <w:p w14:paraId="6F4EEE28"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r>
      <w:tr w:rsidR="00477A61" w:rsidRPr="00E01239" w14:paraId="3E5EF3F8" w14:textId="77777777" w:rsidTr="00A304E9">
        <w:trPr>
          <w:jc w:val="center"/>
        </w:trPr>
        <w:tc>
          <w:tcPr>
            <w:tcW w:w="5103" w:type="dxa"/>
            <w:shd w:val="clear" w:color="auto" w:fill="auto"/>
          </w:tcPr>
          <w:p w14:paraId="7C9AE2D6" w14:textId="77777777" w:rsidR="00477A61" w:rsidRPr="00E01239" w:rsidRDefault="00477A61" w:rsidP="002A19B3">
            <w:pPr>
              <w:pStyle w:val="Paragraphedeliste"/>
              <w:numPr>
                <w:ilvl w:val="0"/>
                <w:numId w:val="38"/>
              </w:numPr>
              <w:pBdr>
                <w:top w:val="nil"/>
                <w:left w:val="nil"/>
                <w:bottom w:val="nil"/>
                <w:right w:val="nil"/>
                <w:between w:val="nil"/>
                <w:bar w:val="nil"/>
              </w:pBdr>
              <w:jc w:val="both"/>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Cs/>
                <w:sz w:val="22"/>
                <w:szCs w:val="22"/>
                <w:u w:color="000000"/>
                <w:bdr w:val="nil"/>
              </w:rPr>
              <w:t>Les ressources externes (équipements, transferts financiers, consommables, etc.) amenées directement pendant la phase de mise en œuvre du projet sont-elles susceptibles de modifier les rapports sociaux ?</w:t>
            </w:r>
          </w:p>
        </w:tc>
        <w:tc>
          <w:tcPr>
            <w:tcW w:w="496" w:type="dxa"/>
            <w:shd w:val="clear" w:color="auto" w:fill="auto"/>
            <w:tcMar>
              <w:left w:w="57" w:type="dxa"/>
              <w:right w:w="57" w:type="dxa"/>
            </w:tcMar>
            <w:vAlign w:val="center"/>
          </w:tcPr>
          <w:p w14:paraId="5CFD19E3"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74D6F3E7"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557C7F8"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439F7A64"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58272D90"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720BC1FB"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481D9DC3"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333A2B1D"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1848" w:type="dxa"/>
            <w:shd w:val="clear" w:color="auto" w:fill="auto"/>
          </w:tcPr>
          <w:p w14:paraId="5994D93E"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r>
      <w:tr w:rsidR="00477A61" w:rsidRPr="00E01239" w14:paraId="461537C4" w14:textId="77777777" w:rsidTr="00A304E9">
        <w:trPr>
          <w:jc w:val="center"/>
        </w:trPr>
        <w:tc>
          <w:tcPr>
            <w:tcW w:w="11345" w:type="dxa"/>
            <w:gridSpan w:val="11"/>
            <w:shd w:val="clear" w:color="auto" w:fill="auto"/>
          </w:tcPr>
          <w:p w14:paraId="5BC23FC4" w14:textId="77777777" w:rsidR="00477A61" w:rsidRPr="00E01239" w:rsidRDefault="00477A61" w:rsidP="00A304E9">
            <w:pPr>
              <w:pBdr>
                <w:top w:val="nil"/>
                <w:left w:val="nil"/>
                <w:bottom w:val="nil"/>
                <w:right w:val="nil"/>
                <w:between w:val="nil"/>
                <w:bar w:val="nil"/>
              </w:pBdr>
              <w:ind w:left="360"/>
              <w:rPr>
                <w:rFonts w:asciiTheme="minorHAnsi" w:eastAsia="Cambria" w:hAnsiTheme="minorHAnsi" w:cstheme="minorHAnsi"/>
                <w:color w:val="000000"/>
                <w:sz w:val="22"/>
                <w:szCs w:val="22"/>
                <w:u w:color="000000"/>
                <w:bdr w:val="nil"/>
              </w:rPr>
            </w:pPr>
            <w:r w:rsidRPr="00E01239">
              <w:rPr>
                <w:rFonts w:asciiTheme="minorHAnsi" w:eastAsia="Cambria" w:hAnsiTheme="minorHAnsi" w:cstheme="minorHAnsi"/>
                <w:b/>
                <w:bCs/>
                <w:i/>
                <w:color w:val="000000"/>
                <w:sz w:val="22"/>
                <w:szCs w:val="22"/>
                <w:u w:color="000000"/>
                <w:bdr w:val="nil"/>
              </w:rPr>
              <w:t>2.12 Préoccupations spécifiques liées au genre et groupes vulnérables</w:t>
            </w:r>
          </w:p>
        </w:tc>
      </w:tr>
      <w:tr w:rsidR="00477A61" w:rsidRPr="00E01239" w14:paraId="20A9E8FE" w14:textId="77777777" w:rsidTr="00A304E9">
        <w:trPr>
          <w:jc w:val="center"/>
        </w:trPr>
        <w:tc>
          <w:tcPr>
            <w:tcW w:w="5103" w:type="dxa"/>
            <w:shd w:val="clear" w:color="auto" w:fill="auto"/>
          </w:tcPr>
          <w:p w14:paraId="370933D1" w14:textId="77777777" w:rsidR="00477A61" w:rsidRPr="00E01239" w:rsidRDefault="00477A61" w:rsidP="002A19B3">
            <w:pPr>
              <w:pStyle w:val="Paragraphedeliste"/>
              <w:numPr>
                <w:ilvl w:val="0"/>
                <w:numId w:val="38"/>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favorise-t-il une prise en compte de la différenciation liée au genre à travers l’accès à l’information sur le projet, les recrutements ou les impacts ?</w:t>
            </w:r>
          </w:p>
        </w:tc>
        <w:tc>
          <w:tcPr>
            <w:tcW w:w="496" w:type="dxa"/>
            <w:shd w:val="clear" w:color="auto" w:fill="auto"/>
            <w:tcMar>
              <w:left w:w="57" w:type="dxa"/>
              <w:right w:w="57" w:type="dxa"/>
            </w:tcMar>
            <w:vAlign w:val="center"/>
          </w:tcPr>
          <w:p w14:paraId="7715BC0E"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17DC4AD7"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92FE75A"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3DCB7250"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40ED4266"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69192D00"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05E05310"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09DF3C2C"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1848" w:type="dxa"/>
            <w:shd w:val="clear" w:color="auto" w:fill="auto"/>
          </w:tcPr>
          <w:p w14:paraId="54140FAB"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r>
      <w:tr w:rsidR="00477A61" w:rsidRPr="00E01239" w14:paraId="1204F95E" w14:textId="77777777" w:rsidTr="00A304E9">
        <w:trPr>
          <w:jc w:val="center"/>
        </w:trPr>
        <w:tc>
          <w:tcPr>
            <w:tcW w:w="5103" w:type="dxa"/>
            <w:shd w:val="clear" w:color="auto" w:fill="auto"/>
          </w:tcPr>
          <w:p w14:paraId="315C11E5" w14:textId="77777777" w:rsidR="00477A61" w:rsidRPr="00E01239" w:rsidRDefault="00477A61" w:rsidP="002A19B3">
            <w:pPr>
              <w:pStyle w:val="Paragraphedeliste"/>
              <w:numPr>
                <w:ilvl w:val="0"/>
                <w:numId w:val="38"/>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peut-il avoir des effets négatifs sur certains bénéficiaires notamment à travers l’aspect genre (activité existante, concurrence, sécurité, ressources,) ?</w:t>
            </w:r>
          </w:p>
        </w:tc>
        <w:tc>
          <w:tcPr>
            <w:tcW w:w="496" w:type="dxa"/>
            <w:shd w:val="clear" w:color="auto" w:fill="auto"/>
            <w:tcMar>
              <w:left w:w="57" w:type="dxa"/>
              <w:right w:w="57" w:type="dxa"/>
            </w:tcMar>
            <w:vAlign w:val="center"/>
          </w:tcPr>
          <w:p w14:paraId="34274BD1"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629471A8"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73D926F9"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6CB922B4"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15754429"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4EC49A9B"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676C119C"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567" w:type="dxa"/>
            <w:shd w:val="clear" w:color="auto" w:fill="auto"/>
          </w:tcPr>
          <w:p w14:paraId="37EC7DB1"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1848" w:type="dxa"/>
            <w:shd w:val="clear" w:color="auto" w:fill="auto"/>
          </w:tcPr>
          <w:p w14:paraId="069EB7FC"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r>
      <w:tr w:rsidR="00477A61" w:rsidRPr="00E01239" w14:paraId="09D38AE0" w14:textId="77777777" w:rsidTr="00A304E9">
        <w:trPr>
          <w:jc w:val="center"/>
        </w:trPr>
        <w:tc>
          <w:tcPr>
            <w:tcW w:w="11345" w:type="dxa"/>
            <w:gridSpan w:val="11"/>
            <w:shd w:val="clear" w:color="auto" w:fill="auto"/>
          </w:tcPr>
          <w:p w14:paraId="63DF552D" w14:textId="77777777" w:rsidR="00477A61" w:rsidRPr="00E01239" w:rsidRDefault="00477A61" w:rsidP="002A19B3">
            <w:pPr>
              <w:pStyle w:val="Paragraphedeliste"/>
              <w:numPr>
                <w:ilvl w:val="0"/>
                <w:numId w:val="45"/>
              </w:numPr>
              <w:pBdr>
                <w:top w:val="nil"/>
                <w:left w:val="nil"/>
                <w:bottom w:val="nil"/>
                <w:right w:val="nil"/>
                <w:between w:val="nil"/>
                <w:bar w:val="nil"/>
              </w:pBdr>
              <w:jc w:val="center"/>
              <w:rPr>
                <w:rFonts w:asciiTheme="minorHAnsi" w:eastAsia="Cambria" w:hAnsiTheme="minorHAnsi" w:cstheme="minorHAnsi"/>
                <w:color w:val="000000"/>
                <w:sz w:val="22"/>
                <w:szCs w:val="22"/>
                <w:bdr w:val="nil"/>
              </w:rPr>
            </w:pPr>
            <w:r w:rsidRPr="00E01239">
              <w:rPr>
                <w:rFonts w:asciiTheme="minorHAnsi" w:eastAsia="Cambria" w:hAnsiTheme="minorHAnsi" w:cstheme="minorHAnsi"/>
                <w:b/>
                <w:bCs/>
                <w:sz w:val="22"/>
                <w:szCs w:val="22"/>
                <w:bdr w:val="nil"/>
              </w:rPr>
              <w:t>L’analyse SPC/SES sera menée avec les compétences suffisantes pour toutes les étapes et zones du projet.</w:t>
            </w:r>
          </w:p>
        </w:tc>
      </w:tr>
      <w:tr w:rsidR="00477A61" w:rsidRPr="00E01239" w14:paraId="6C825438" w14:textId="77777777" w:rsidTr="00A304E9">
        <w:trPr>
          <w:jc w:val="center"/>
          <w:hidden/>
        </w:trPr>
        <w:tc>
          <w:tcPr>
            <w:tcW w:w="5103" w:type="dxa"/>
            <w:shd w:val="clear" w:color="auto" w:fill="auto"/>
          </w:tcPr>
          <w:p w14:paraId="13835997" w14:textId="77777777" w:rsidR="00477A61" w:rsidRPr="00E01239" w:rsidRDefault="00477A61" w:rsidP="002A19B3">
            <w:pPr>
              <w:pStyle w:val="Paragraphedeliste"/>
              <w:numPr>
                <w:ilvl w:val="0"/>
                <w:numId w:val="46"/>
              </w:numPr>
              <w:pBdr>
                <w:top w:val="nil"/>
                <w:left w:val="nil"/>
                <w:bottom w:val="nil"/>
                <w:right w:val="nil"/>
                <w:between w:val="nil"/>
                <w:bar w:val="nil"/>
              </w:pBdr>
              <w:jc w:val="both"/>
              <w:rPr>
                <w:rFonts w:asciiTheme="minorHAnsi" w:eastAsia="Cambria" w:hAnsiTheme="minorHAnsi" w:cstheme="minorHAnsi"/>
                <w:bCs/>
                <w:vanish/>
                <w:sz w:val="22"/>
                <w:szCs w:val="22"/>
                <w:u w:color="000000"/>
                <w:bdr w:val="nil"/>
              </w:rPr>
            </w:pPr>
          </w:p>
          <w:p w14:paraId="3110C1C2" w14:textId="77777777" w:rsidR="00477A61" w:rsidRPr="00E01239" w:rsidRDefault="00477A61" w:rsidP="002A19B3">
            <w:pPr>
              <w:pStyle w:val="Paragraphedeliste"/>
              <w:numPr>
                <w:ilvl w:val="0"/>
                <w:numId w:val="46"/>
              </w:numPr>
              <w:pBdr>
                <w:top w:val="nil"/>
                <w:left w:val="nil"/>
                <w:bottom w:val="nil"/>
                <w:right w:val="nil"/>
                <w:between w:val="nil"/>
                <w:bar w:val="nil"/>
              </w:pBdr>
              <w:jc w:val="both"/>
              <w:rPr>
                <w:rFonts w:asciiTheme="minorHAnsi" w:eastAsia="Cambria" w:hAnsiTheme="minorHAnsi" w:cstheme="minorHAnsi"/>
                <w:bCs/>
                <w:vanish/>
                <w:sz w:val="22"/>
                <w:szCs w:val="22"/>
                <w:u w:color="000000"/>
                <w:bdr w:val="nil"/>
              </w:rPr>
            </w:pPr>
          </w:p>
          <w:p w14:paraId="6AE60963" w14:textId="77777777" w:rsidR="00477A61" w:rsidRPr="00E01239" w:rsidRDefault="00477A61" w:rsidP="002A19B3">
            <w:pPr>
              <w:pStyle w:val="Paragraphedeliste"/>
              <w:numPr>
                <w:ilvl w:val="0"/>
                <w:numId w:val="46"/>
              </w:numPr>
              <w:pBdr>
                <w:top w:val="nil"/>
                <w:left w:val="nil"/>
                <w:bottom w:val="nil"/>
                <w:right w:val="nil"/>
                <w:between w:val="nil"/>
                <w:bar w:val="nil"/>
              </w:pBdr>
              <w:jc w:val="both"/>
              <w:rPr>
                <w:rFonts w:asciiTheme="minorHAnsi" w:eastAsia="Cambria" w:hAnsiTheme="minorHAnsi" w:cstheme="minorHAnsi"/>
                <w:bCs/>
                <w:vanish/>
                <w:sz w:val="22"/>
                <w:szCs w:val="22"/>
                <w:u w:color="000000"/>
                <w:bdr w:val="nil"/>
              </w:rPr>
            </w:pPr>
          </w:p>
          <w:p w14:paraId="160319F9" w14:textId="77777777" w:rsidR="00477A61" w:rsidRPr="00E01239" w:rsidRDefault="00477A61" w:rsidP="002A19B3">
            <w:pPr>
              <w:numPr>
                <w:ilvl w:val="1"/>
                <w:numId w:val="46"/>
              </w:numPr>
              <w:pBdr>
                <w:top w:val="nil"/>
                <w:left w:val="nil"/>
                <w:bottom w:val="nil"/>
                <w:right w:val="nil"/>
                <w:between w:val="nil"/>
                <w:bar w:val="nil"/>
              </w:pBdr>
              <w:contextualSpacing/>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 xml:space="preserve"> Le personnel en charge du projet va-t-il être formé sur les approches en SPC / SES / NPN (***) ?</w:t>
            </w:r>
          </w:p>
        </w:tc>
        <w:tc>
          <w:tcPr>
            <w:tcW w:w="496" w:type="dxa"/>
            <w:shd w:val="clear" w:color="auto" w:fill="auto"/>
            <w:tcMar>
              <w:left w:w="57" w:type="dxa"/>
              <w:right w:w="57" w:type="dxa"/>
            </w:tcMar>
            <w:vAlign w:val="center"/>
          </w:tcPr>
          <w:p w14:paraId="10081471"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2104E242"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368C216"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bdr w:val="nil"/>
              </w:rPr>
            </w:pPr>
          </w:p>
        </w:tc>
        <w:tc>
          <w:tcPr>
            <w:tcW w:w="567" w:type="dxa"/>
            <w:shd w:val="clear" w:color="auto" w:fill="auto"/>
          </w:tcPr>
          <w:p w14:paraId="74EAA419"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bdr w:val="nil"/>
              </w:rPr>
            </w:pPr>
          </w:p>
        </w:tc>
        <w:tc>
          <w:tcPr>
            <w:tcW w:w="567" w:type="dxa"/>
            <w:shd w:val="clear" w:color="auto" w:fill="auto"/>
          </w:tcPr>
          <w:p w14:paraId="68A658AD"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bdr w:val="nil"/>
              </w:rPr>
            </w:pPr>
          </w:p>
        </w:tc>
        <w:tc>
          <w:tcPr>
            <w:tcW w:w="567" w:type="dxa"/>
            <w:shd w:val="clear" w:color="auto" w:fill="auto"/>
          </w:tcPr>
          <w:p w14:paraId="50A4DFF4"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bdr w:val="nil"/>
              </w:rPr>
            </w:pPr>
          </w:p>
        </w:tc>
        <w:tc>
          <w:tcPr>
            <w:tcW w:w="567" w:type="dxa"/>
            <w:shd w:val="clear" w:color="auto" w:fill="auto"/>
          </w:tcPr>
          <w:p w14:paraId="60307E30"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bdr w:val="nil"/>
              </w:rPr>
            </w:pPr>
          </w:p>
        </w:tc>
        <w:tc>
          <w:tcPr>
            <w:tcW w:w="567" w:type="dxa"/>
            <w:shd w:val="clear" w:color="auto" w:fill="auto"/>
          </w:tcPr>
          <w:p w14:paraId="3F65DC84"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bdr w:val="nil"/>
              </w:rPr>
            </w:pPr>
          </w:p>
        </w:tc>
        <w:tc>
          <w:tcPr>
            <w:tcW w:w="1848" w:type="dxa"/>
            <w:shd w:val="clear" w:color="auto" w:fill="auto"/>
          </w:tcPr>
          <w:p w14:paraId="41C98F11" w14:textId="77777777" w:rsidR="00477A61" w:rsidRPr="00E01239" w:rsidRDefault="00477A61" w:rsidP="00A304E9">
            <w:pPr>
              <w:pBdr>
                <w:top w:val="nil"/>
                <w:left w:val="nil"/>
                <w:bottom w:val="nil"/>
                <w:right w:val="nil"/>
                <w:between w:val="nil"/>
                <w:bar w:val="nil"/>
              </w:pBdr>
              <w:rPr>
                <w:rFonts w:asciiTheme="minorHAnsi" w:eastAsia="Cambria" w:hAnsiTheme="minorHAnsi" w:cstheme="minorHAnsi"/>
                <w:color w:val="000000"/>
                <w:sz w:val="22"/>
                <w:szCs w:val="22"/>
                <w:bdr w:val="nil"/>
              </w:rPr>
            </w:pPr>
          </w:p>
        </w:tc>
      </w:tr>
      <w:tr w:rsidR="00477A61" w:rsidRPr="00E01239" w14:paraId="25A88C99" w14:textId="77777777" w:rsidTr="00A304E9">
        <w:trPr>
          <w:jc w:val="center"/>
        </w:trPr>
        <w:tc>
          <w:tcPr>
            <w:tcW w:w="5103" w:type="dxa"/>
            <w:shd w:val="clear" w:color="auto" w:fill="auto"/>
          </w:tcPr>
          <w:p w14:paraId="5EE5C866" w14:textId="77777777" w:rsidR="00477A61" w:rsidRPr="00E01239" w:rsidRDefault="00477A61" w:rsidP="002A19B3">
            <w:pPr>
              <w:pStyle w:val="Paragraphedeliste"/>
              <w:numPr>
                <w:ilvl w:val="1"/>
                <w:numId w:val="45"/>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 projet prend il en compte les approches de communication participative ?</w:t>
            </w:r>
          </w:p>
        </w:tc>
        <w:tc>
          <w:tcPr>
            <w:tcW w:w="496" w:type="dxa"/>
            <w:shd w:val="clear" w:color="auto" w:fill="auto"/>
            <w:tcMar>
              <w:left w:w="57" w:type="dxa"/>
              <w:right w:w="57" w:type="dxa"/>
            </w:tcMar>
            <w:vAlign w:val="center"/>
          </w:tcPr>
          <w:p w14:paraId="3045EC2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638" w:type="dxa"/>
            <w:gridSpan w:val="2"/>
            <w:shd w:val="clear" w:color="auto" w:fill="auto"/>
            <w:vAlign w:val="center"/>
          </w:tcPr>
          <w:p w14:paraId="0581CB7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u w:color="000000"/>
                <w:bdr w:val="nil"/>
              </w:rPr>
            </w:pPr>
          </w:p>
        </w:tc>
        <w:tc>
          <w:tcPr>
            <w:tcW w:w="425" w:type="dxa"/>
            <w:shd w:val="clear" w:color="auto" w:fill="auto"/>
            <w:tcMar>
              <w:left w:w="57" w:type="dxa"/>
              <w:right w:w="57" w:type="dxa"/>
            </w:tcMar>
          </w:tcPr>
          <w:p w14:paraId="5F669321"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bdr w:val="nil"/>
              </w:rPr>
            </w:pPr>
          </w:p>
        </w:tc>
        <w:tc>
          <w:tcPr>
            <w:tcW w:w="567" w:type="dxa"/>
            <w:shd w:val="clear" w:color="auto" w:fill="auto"/>
          </w:tcPr>
          <w:p w14:paraId="7D27341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bdr w:val="nil"/>
              </w:rPr>
            </w:pPr>
          </w:p>
        </w:tc>
        <w:tc>
          <w:tcPr>
            <w:tcW w:w="567" w:type="dxa"/>
            <w:shd w:val="clear" w:color="auto" w:fill="auto"/>
          </w:tcPr>
          <w:p w14:paraId="64069E7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bdr w:val="nil"/>
              </w:rPr>
            </w:pPr>
          </w:p>
        </w:tc>
        <w:tc>
          <w:tcPr>
            <w:tcW w:w="567" w:type="dxa"/>
            <w:shd w:val="clear" w:color="auto" w:fill="auto"/>
          </w:tcPr>
          <w:p w14:paraId="6CFB018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bdr w:val="nil"/>
              </w:rPr>
            </w:pPr>
          </w:p>
        </w:tc>
        <w:tc>
          <w:tcPr>
            <w:tcW w:w="567" w:type="dxa"/>
            <w:shd w:val="clear" w:color="auto" w:fill="auto"/>
          </w:tcPr>
          <w:p w14:paraId="74770D0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bdr w:val="nil"/>
              </w:rPr>
            </w:pPr>
          </w:p>
        </w:tc>
        <w:tc>
          <w:tcPr>
            <w:tcW w:w="567" w:type="dxa"/>
            <w:shd w:val="clear" w:color="auto" w:fill="auto"/>
          </w:tcPr>
          <w:p w14:paraId="163CD118"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bdr w:val="nil"/>
              </w:rPr>
            </w:pPr>
          </w:p>
        </w:tc>
        <w:tc>
          <w:tcPr>
            <w:tcW w:w="1848" w:type="dxa"/>
            <w:shd w:val="clear" w:color="auto" w:fill="auto"/>
          </w:tcPr>
          <w:p w14:paraId="362E34B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color w:val="000000"/>
                <w:sz w:val="22"/>
                <w:szCs w:val="22"/>
                <w:bdr w:val="nil"/>
              </w:rPr>
            </w:pPr>
          </w:p>
        </w:tc>
      </w:tr>
      <w:tr w:rsidR="00477A61" w:rsidRPr="00E01239" w14:paraId="38169D69" w14:textId="77777777" w:rsidTr="00A304E9">
        <w:trPr>
          <w:jc w:val="center"/>
        </w:trPr>
        <w:tc>
          <w:tcPr>
            <w:tcW w:w="11345" w:type="dxa"/>
            <w:gridSpan w:val="11"/>
            <w:shd w:val="clear" w:color="auto" w:fill="auto"/>
          </w:tcPr>
          <w:p w14:paraId="4E268DB1" w14:textId="77777777" w:rsidR="00477A61" w:rsidRPr="00E01239" w:rsidRDefault="00477A61" w:rsidP="002A19B3">
            <w:pPr>
              <w:pStyle w:val="Paragraphedeliste"/>
              <w:numPr>
                <w:ilvl w:val="0"/>
                <w:numId w:val="45"/>
              </w:numPr>
              <w:pBdr>
                <w:top w:val="nil"/>
                <w:left w:val="nil"/>
                <w:bottom w:val="nil"/>
                <w:right w:val="nil"/>
                <w:between w:val="nil"/>
                <w:bar w:val="nil"/>
              </w:pBdr>
              <w:jc w:val="center"/>
              <w:rPr>
                <w:rFonts w:asciiTheme="minorHAnsi" w:eastAsia="Cambria" w:hAnsiTheme="minorHAnsi" w:cstheme="minorHAnsi"/>
                <w:b/>
                <w:bCs/>
                <w:sz w:val="22"/>
                <w:szCs w:val="22"/>
                <w:u w:val="single" w:color="000000"/>
                <w:bdr w:val="nil"/>
              </w:rPr>
            </w:pPr>
            <w:r w:rsidRPr="00E01239">
              <w:rPr>
                <w:rFonts w:asciiTheme="minorHAnsi" w:eastAsia="Cambria" w:hAnsiTheme="minorHAnsi" w:cstheme="minorHAnsi"/>
                <w:b/>
                <w:bCs/>
                <w:sz w:val="22"/>
                <w:szCs w:val="22"/>
                <w:u w:val="single" w:color="000000"/>
                <w:bdr w:val="nil"/>
              </w:rPr>
              <w:t>Conclusion de l’analyse de terrain par l’agent en charge :</w:t>
            </w:r>
          </w:p>
        </w:tc>
      </w:tr>
      <w:tr w:rsidR="00477A61" w:rsidRPr="00E01239" w14:paraId="3BFB1100" w14:textId="77777777" w:rsidTr="00A304E9">
        <w:trPr>
          <w:jc w:val="center"/>
        </w:trPr>
        <w:tc>
          <w:tcPr>
            <w:tcW w:w="5103" w:type="dxa"/>
            <w:shd w:val="clear" w:color="auto" w:fill="auto"/>
          </w:tcPr>
          <w:p w14:paraId="56A1A461" w14:textId="77777777" w:rsidR="00477A61" w:rsidRPr="00E01239" w:rsidRDefault="00477A61" w:rsidP="002A19B3">
            <w:pPr>
              <w:pStyle w:val="Paragraphedeliste"/>
              <w:numPr>
                <w:ilvl w:val="0"/>
                <w:numId w:val="53"/>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 projet doit être abandonné à cette étape du cycle de projet</w:t>
            </w:r>
          </w:p>
        </w:tc>
        <w:tc>
          <w:tcPr>
            <w:tcW w:w="496" w:type="dxa"/>
            <w:shd w:val="clear" w:color="auto" w:fill="auto"/>
            <w:tcMar>
              <w:left w:w="57" w:type="dxa"/>
              <w:right w:w="57" w:type="dxa"/>
            </w:tcMar>
            <w:vAlign w:val="center"/>
          </w:tcPr>
          <w:p w14:paraId="122BF1E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sz w:val="22"/>
                <w:szCs w:val="22"/>
                <w:u w:color="000000"/>
                <w:bdr w:val="nil"/>
              </w:rPr>
            </w:pPr>
          </w:p>
        </w:tc>
        <w:tc>
          <w:tcPr>
            <w:tcW w:w="638" w:type="dxa"/>
            <w:gridSpan w:val="2"/>
            <w:shd w:val="clear" w:color="auto" w:fill="auto"/>
            <w:vAlign w:val="center"/>
          </w:tcPr>
          <w:p w14:paraId="3AEC34DD"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sz w:val="22"/>
                <w:szCs w:val="22"/>
                <w:u w:color="000000"/>
                <w:bdr w:val="nil"/>
              </w:rPr>
            </w:pPr>
          </w:p>
        </w:tc>
        <w:tc>
          <w:tcPr>
            <w:tcW w:w="5108" w:type="dxa"/>
            <w:gridSpan w:val="7"/>
            <w:shd w:val="clear" w:color="auto" w:fill="auto"/>
          </w:tcPr>
          <w:p w14:paraId="12B4C520" w14:textId="77777777" w:rsidR="00477A61" w:rsidRPr="00E01239" w:rsidRDefault="00477A61" w:rsidP="00A304E9">
            <w:pPr>
              <w:pBdr>
                <w:top w:val="nil"/>
                <w:left w:val="nil"/>
                <w:bottom w:val="nil"/>
                <w:right w:val="nil"/>
                <w:between w:val="nil"/>
                <w:bar w:val="nil"/>
              </w:pBdr>
              <w:tabs>
                <w:tab w:val="left" w:pos="345"/>
              </w:tabs>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ab/>
            </w:r>
          </w:p>
        </w:tc>
      </w:tr>
      <w:tr w:rsidR="00477A61" w:rsidRPr="00E01239" w14:paraId="351417F4" w14:textId="77777777" w:rsidTr="00A304E9">
        <w:trPr>
          <w:jc w:val="center"/>
        </w:trPr>
        <w:tc>
          <w:tcPr>
            <w:tcW w:w="5103" w:type="dxa"/>
            <w:shd w:val="clear" w:color="auto" w:fill="auto"/>
          </w:tcPr>
          <w:p w14:paraId="29C80591" w14:textId="77777777" w:rsidR="00477A61" w:rsidRPr="00E01239" w:rsidRDefault="00477A61" w:rsidP="002A19B3">
            <w:pPr>
              <w:pStyle w:val="Paragraphedeliste"/>
              <w:numPr>
                <w:ilvl w:val="0"/>
                <w:numId w:val="53"/>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L’analyse doit se poursuivre pour répondre à certaines questions avant de passer à l’étape suivante (Etude)</w:t>
            </w:r>
          </w:p>
        </w:tc>
        <w:tc>
          <w:tcPr>
            <w:tcW w:w="496" w:type="dxa"/>
            <w:shd w:val="clear" w:color="auto" w:fill="auto"/>
            <w:tcMar>
              <w:left w:w="57" w:type="dxa"/>
              <w:right w:w="57" w:type="dxa"/>
            </w:tcMar>
            <w:vAlign w:val="center"/>
          </w:tcPr>
          <w:p w14:paraId="798A59F9"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sz w:val="22"/>
                <w:szCs w:val="22"/>
                <w:u w:color="000000"/>
                <w:bdr w:val="nil"/>
              </w:rPr>
            </w:pPr>
          </w:p>
        </w:tc>
        <w:tc>
          <w:tcPr>
            <w:tcW w:w="638" w:type="dxa"/>
            <w:gridSpan w:val="2"/>
            <w:shd w:val="clear" w:color="auto" w:fill="auto"/>
            <w:vAlign w:val="center"/>
          </w:tcPr>
          <w:p w14:paraId="4BAA9E8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sz w:val="22"/>
                <w:szCs w:val="22"/>
                <w:u w:color="000000"/>
                <w:bdr w:val="nil"/>
              </w:rPr>
            </w:pPr>
          </w:p>
        </w:tc>
        <w:tc>
          <w:tcPr>
            <w:tcW w:w="5108" w:type="dxa"/>
            <w:gridSpan w:val="7"/>
            <w:shd w:val="clear" w:color="auto" w:fill="auto"/>
          </w:tcPr>
          <w:p w14:paraId="6B91025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sz w:val="22"/>
                <w:szCs w:val="22"/>
                <w:u w:color="000000"/>
                <w:bdr w:val="nil"/>
              </w:rPr>
            </w:pPr>
          </w:p>
        </w:tc>
      </w:tr>
      <w:tr w:rsidR="00477A61" w:rsidRPr="00E01239" w14:paraId="50024E2F" w14:textId="77777777" w:rsidTr="00A304E9">
        <w:trPr>
          <w:jc w:val="center"/>
        </w:trPr>
        <w:tc>
          <w:tcPr>
            <w:tcW w:w="5103" w:type="dxa"/>
            <w:shd w:val="clear" w:color="auto" w:fill="auto"/>
          </w:tcPr>
          <w:p w14:paraId="5EE7BCC9" w14:textId="77777777" w:rsidR="00477A61" w:rsidRPr="00E01239" w:rsidRDefault="00477A61" w:rsidP="002A19B3">
            <w:pPr>
              <w:pStyle w:val="Paragraphedeliste"/>
              <w:numPr>
                <w:ilvl w:val="0"/>
                <w:numId w:val="53"/>
              </w:numPr>
              <w:pBdr>
                <w:top w:val="nil"/>
                <w:left w:val="nil"/>
                <w:bottom w:val="nil"/>
                <w:right w:val="nil"/>
                <w:between w:val="nil"/>
                <w:bar w:val="nil"/>
              </w:pBdr>
              <w:jc w:val="both"/>
              <w:rPr>
                <w:rFonts w:asciiTheme="minorHAnsi" w:eastAsia="Cambria" w:hAnsiTheme="minorHAnsi" w:cstheme="minorHAnsi"/>
                <w:bCs/>
                <w:sz w:val="22"/>
                <w:szCs w:val="22"/>
                <w:u w:color="000000"/>
                <w:bdr w:val="nil"/>
              </w:rPr>
            </w:pPr>
            <w:r w:rsidRPr="00E01239">
              <w:rPr>
                <w:rFonts w:asciiTheme="minorHAnsi" w:eastAsia="Cambria" w:hAnsiTheme="minorHAnsi" w:cstheme="minorHAnsi"/>
                <w:bCs/>
                <w:sz w:val="22"/>
                <w:szCs w:val="22"/>
                <w:u w:color="000000"/>
                <w:bdr w:val="nil"/>
              </w:rPr>
              <w:t>Le cycle du projet peut se poursuivre sur la base des réponses et références recueillies</w:t>
            </w:r>
          </w:p>
        </w:tc>
        <w:tc>
          <w:tcPr>
            <w:tcW w:w="496" w:type="dxa"/>
            <w:shd w:val="clear" w:color="auto" w:fill="auto"/>
            <w:tcMar>
              <w:left w:w="57" w:type="dxa"/>
              <w:right w:w="57" w:type="dxa"/>
            </w:tcMar>
            <w:vAlign w:val="center"/>
          </w:tcPr>
          <w:p w14:paraId="7B42605B"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sz w:val="22"/>
                <w:szCs w:val="22"/>
                <w:u w:color="000000"/>
                <w:bdr w:val="nil"/>
              </w:rPr>
            </w:pPr>
          </w:p>
        </w:tc>
        <w:tc>
          <w:tcPr>
            <w:tcW w:w="638" w:type="dxa"/>
            <w:gridSpan w:val="2"/>
            <w:shd w:val="clear" w:color="auto" w:fill="auto"/>
            <w:vAlign w:val="center"/>
          </w:tcPr>
          <w:p w14:paraId="3C776E22"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sz w:val="22"/>
                <w:szCs w:val="22"/>
                <w:u w:color="000000"/>
                <w:bdr w:val="nil"/>
              </w:rPr>
            </w:pPr>
          </w:p>
        </w:tc>
        <w:tc>
          <w:tcPr>
            <w:tcW w:w="5108" w:type="dxa"/>
            <w:gridSpan w:val="7"/>
            <w:shd w:val="clear" w:color="auto" w:fill="auto"/>
          </w:tcPr>
          <w:p w14:paraId="4CC8D78E"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sz w:val="22"/>
                <w:szCs w:val="22"/>
                <w:u w:color="000000"/>
                <w:bdr w:val="nil"/>
              </w:rPr>
            </w:pPr>
          </w:p>
        </w:tc>
      </w:tr>
      <w:tr w:rsidR="00477A61" w:rsidRPr="00E01239" w14:paraId="598FE2BD" w14:textId="77777777" w:rsidTr="00A304E9">
        <w:trPr>
          <w:jc w:val="center"/>
        </w:trPr>
        <w:tc>
          <w:tcPr>
            <w:tcW w:w="5103" w:type="dxa"/>
            <w:shd w:val="clear" w:color="auto" w:fill="auto"/>
          </w:tcPr>
          <w:p w14:paraId="037E34A0" w14:textId="77777777" w:rsidR="00477A61" w:rsidRPr="00E01239" w:rsidRDefault="00477A61" w:rsidP="002A19B3">
            <w:pPr>
              <w:pStyle w:val="Paragraphedeliste"/>
              <w:numPr>
                <w:ilvl w:val="0"/>
                <w:numId w:val="53"/>
              </w:numPr>
              <w:pBdr>
                <w:top w:val="nil"/>
                <w:left w:val="nil"/>
                <w:bottom w:val="nil"/>
                <w:right w:val="nil"/>
                <w:between w:val="nil"/>
                <w:bar w:val="nil"/>
              </w:pBdr>
              <w:jc w:val="both"/>
              <w:rPr>
                <w:rFonts w:asciiTheme="minorHAnsi" w:eastAsia="Cambria" w:hAnsiTheme="minorHAnsi" w:cstheme="minorHAnsi"/>
                <w:bCs/>
                <w:color w:val="000000"/>
                <w:sz w:val="22"/>
                <w:szCs w:val="22"/>
                <w:u w:color="000000"/>
                <w:bdr w:val="nil"/>
              </w:rPr>
            </w:pPr>
            <w:r w:rsidRPr="00E01239">
              <w:rPr>
                <w:rFonts w:asciiTheme="minorHAnsi" w:eastAsia="Cambria" w:hAnsiTheme="minorHAnsi" w:cstheme="minorHAnsi"/>
                <w:bCs/>
                <w:color w:val="000000"/>
                <w:sz w:val="22"/>
                <w:szCs w:val="22"/>
                <w:u w:color="000000"/>
                <w:bdr w:val="nil"/>
              </w:rPr>
              <w:t>Le projet est à même de renforcer la cohésion sociale et la stabilité</w:t>
            </w:r>
          </w:p>
        </w:tc>
        <w:tc>
          <w:tcPr>
            <w:tcW w:w="496" w:type="dxa"/>
            <w:shd w:val="clear" w:color="auto" w:fill="auto"/>
            <w:tcMar>
              <w:left w:w="57" w:type="dxa"/>
              <w:right w:w="57" w:type="dxa"/>
            </w:tcMar>
            <w:vAlign w:val="center"/>
          </w:tcPr>
          <w:p w14:paraId="1BB57F8C"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color w:val="000000"/>
                <w:sz w:val="22"/>
                <w:szCs w:val="22"/>
                <w:u w:color="000000"/>
                <w:bdr w:val="nil"/>
              </w:rPr>
            </w:pPr>
          </w:p>
        </w:tc>
        <w:tc>
          <w:tcPr>
            <w:tcW w:w="638" w:type="dxa"/>
            <w:gridSpan w:val="2"/>
            <w:shd w:val="clear" w:color="auto" w:fill="auto"/>
            <w:vAlign w:val="center"/>
          </w:tcPr>
          <w:p w14:paraId="1CEAD1CA"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color w:val="000000"/>
                <w:sz w:val="22"/>
                <w:szCs w:val="22"/>
                <w:u w:color="000000"/>
                <w:bdr w:val="nil"/>
              </w:rPr>
            </w:pPr>
          </w:p>
        </w:tc>
        <w:tc>
          <w:tcPr>
            <w:tcW w:w="5108" w:type="dxa"/>
            <w:gridSpan w:val="7"/>
            <w:shd w:val="clear" w:color="auto" w:fill="auto"/>
          </w:tcPr>
          <w:p w14:paraId="777EE123" w14:textId="77777777" w:rsidR="00477A61" w:rsidRPr="00E01239" w:rsidRDefault="00477A61" w:rsidP="00A304E9">
            <w:pPr>
              <w:pBdr>
                <w:top w:val="nil"/>
                <w:left w:val="nil"/>
                <w:bottom w:val="nil"/>
                <w:right w:val="nil"/>
                <w:between w:val="nil"/>
                <w:bar w:val="nil"/>
              </w:pBdr>
              <w:jc w:val="center"/>
              <w:rPr>
                <w:rFonts w:asciiTheme="minorHAnsi" w:eastAsia="Cambria" w:hAnsiTheme="minorHAnsi" w:cstheme="minorHAnsi"/>
                <w:bCs/>
                <w:color w:val="000000"/>
                <w:sz w:val="22"/>
                <w:szCs w:val="22"/>
                <w:u w:color="000000"/>
                <w:bdr w:val="nil"/>
              </w:rPr>
            </w:pPr>
          </w:p>
        </w:tc>
      </w:tr>
    </w:tbl>
    <w:p w14:paraId="7FFA6391" w14:textId="77777777" w:rsidR="00477A61" w:rsidRPr="00E01239" w:rsidRDefault="00477A61" w:rsidP="00477A61">
      <w:pPr>
        <w:widowControl w:val="0"/>
        <w:pBdr>
          <w:top w:val="nil"/>
          <w:left w:val="nil"/>
          <w:bottom w:val="nil"/>
          <w:right w:val="nil"/>
          <w:between w:val="nil"/>
          <w:bar w:val="nil"/>
        </w:pBdr>
        <w:rPr>
          <w:rFonts w:asciiTheme="minorHAnsi" w:eastAsia="Cambria" w:hAnsiTheme="minorHAnsi" w:cstheme="minorHAnsi"/>
          <w:i/>
          <w:sz w:val="22"/>
          <w:szCs w:val="22"/>
          <w:u w:color="000000"/>
          <w:bdr w:val="nil"/>
        </w:rPr>
      </w:pPr>
      <w:r w:rsidRPr="00E01239">
        <w:rPr>
          <w:rFonts w:asciiTheme="minorHAnsi" w:eastAsia="Cambria" w:hAnsiTheme="minorHAnsi" w:cstheme="minorHAnsi"/>
          <w:i/>
          <w:sz w:val="22"/>
          <w:szCs w:val="22"/>
          <w:u w:color="000000"/>
          <w:bdr w:val="nil"/>
        </w:rPr>
        <w:t>(*) Humain : Santé et Sécurité, Genre, Emploi et Revenus</w:t>
      </w:r>
    </w:p>
    <w:p w14:paraId="43CABBFE" w14:textId="77777777" w:rsidR="00477A61" w:rsidRPr="00E01239" w:rsidRDefault="00477A61" w:rsidP="00477A61">
      <w:pPr>
        <w:widowControl w:val="0"/>
        <w:pBdr>
          <w:top w:val="nil"/>
          <w:left w:val="nil"/>
          <w:bottom w:val="nil"/>
          <w:right w:val="nil"/>
          <w:between w:val="nil"/>
          <w:bar w:val="nil"/>
        </w:pBdr>
        <w:rPr>
          <w:rFonts w:asciiTheme="minorHAnsi" w:hAnsiTheme="minorHAnsi" w:cstheme="minorHAnsi"/>
          <w:sz w:val="22"/>
          <w:szCs w:val="22"/>
        </w:rPr>
      </w:pPr>
      <w:r w:rsidRPr="00E01239">
        <w:rPr>
          <w:rFonts w:asciiTheme="minorHAnsi" w:eastAsia="Cambria" w:hAnsiTheme="minorHAnsi" w:cstheme="minorHAnsi"/>
          <w:i/>
          <w:sz w:val="22"/>
          <w:szCs w:val="22"/>
          <w:u w:color="000000"/>
          <w:bdr w:val="nil"/>
        </w:rPr>
        <w:t>(***) SPC : sensibilité et prévention des conflits ; SES : sauvegardes environnementales et sociales ; NPN : Ne pas Nuire ?</w:t>
      </w:r>
      <w:r w:rsidRPr="00E01239">
        <w:rPr>
          <w:rFonts w:asciiTheme="minorHAnsi" w:hAnsiTheme="minorHAnsi" w:cstheme="minorHAnsi"/>
          <w:sz w:val="22"/>
          <w:szCs w:val="22"/>
        </w:rPr>
        <w:t xml:space="preserve"> </w:t>
      </w:r>
    </w:p>
    <w:p w14:paraId="539AE51A" w14:textId="77777777" w:rsidR="00477A61" w:rsidRPr="00E01239" w:rsidRDefault="00477A61" w:rsidP="00477A61">
      <w:pPr>
        <w:spacing w:after="200" w:line="276" w:lineRule="auto"/>
        <w:rPr>
          <w:rFonts w:asciiTheme="minorHAnsi" w:hAnsiTheme="minorHAnsi" w:cstheme="minorHAnsi"/>
          <w:sz w:val="22"/>
          <w:szCs w:val="22"/>
        </w:rPr>
      </w:pPr>
    </w:p>
    <w:p w14:paraId="7853EA83" w14:textId="77777777" w:rsidR="00477A61" w:rsidRPr="00E01239" w:rsidRDefault="00477A61" w:rsidP="00477A61">
      <w:pPr>
        <w:spacing w:after="200" w:line="276" w:lineRule="auto"/>
        <w:rPr>
          <w:rFonts w:asciiTheme="minorHAnsi" w:hAnsiTheme="minorHAnsi" w:cstheme="minorHAnsi"/>
          <w:sz w:val="22"/>
          <w:szCs w:val="22"/>
        </w:rPr>
      </w:pPr>
    </w:p>
    <w:p w14:paraId="46589C26" w14:textId="77777777" w:rsidR="00477A61" w:rsidRPr="00E01239" w:rsidRDefault="00477A61" w:rsidP="00477A61">
      <w:pPr>
        <w:spacing w:after="200" w:line="276" w:lineRule="auto"/>
        <w:rPr>
          <w:rFonts w:asciiTheme="minorHAnsi" w:hAnsiTheme="minorHAnsi" w:cstheme="minorHAnsi"/>
          <w:sz w:val="22"/>
          <w:szCs w:val="22"/>
        </w:rPr>
      </w:pPr>
      <w:r w:rsidRPr="00E01239">
        <w:rPr>
          <w:rFonts w:asciiTheme="minorHAnsi" w:hAnsiTheme="minorHAnsi" w:cstheme="minorHAnsi"/>
          <w:b/>
          <w:bCs/>
          <w:sz w:val="22"/>
          <w:szCs w:val="22"/>
        </w:rPr>
        <w:t>Annexe</w:t>
      </w:r>
      <w:r w:rsidRPr="00E01239">
        <w:rPr>
          <w:rFonts w:asciiTheme="minorHAnsi" w:hAnsiTheme="minorHAnsi" w:cstheme="minorHAnsi"/>
          <w:sz w:val="22"/>
          <w:szCs w:val="22"/>
        </w:rPr>
        <w:t> : Liste des personnes ayant participées à l’administration de la fiche.</w:t>
      </w:r>
    </w:p>
    <w:tbl>
      <w:tblPr>
        <w:tblW w:w="11203" w:type="dxa"/>
        <w:jc w:val="center"/>
        <w:tblLook w:val="04A0" w:firstRow="1" w:lastRow="0" w:firstColumn="1" w:lastColumn="0" w:noHBand="0" w:noVBand="1"/>
      </w:tblPr>
      <w:tblGrid>
        <w:gridCol w:w="3549"/>
        <w:gridCol w:w="1983"/>
        <w:gridCol w:w="2549"/>
        <w:gridCol w:w="3122"/>
      </w:tblGrid>
      <w:tr w:rsidR="00477A61" w:rsidRPr="00E01239" w14:paraId="2290DADA" w14:textId="77777777" w:rsidTr="00A304E9">
        <w:trPr>
          <w:jc w:val="center"/>
        </w:trPr>
        <w:tc>
          <w:tcPr>
            <w:tcW w:w="3549" w:type="dxa"/>
          </w:tcPr>
          <w:p w14:paraId="506B41AF" w14:textId="77777777" w:rsidR="00477A61" w:rsidRPr="00E01239" w:rsidRDefault="00477A61" w:rsidP="00A304E9">
            <w:pPr>
              <w:spacing w:after="200" w:line="276" w:lineRule="auto"/>
              <w:jc w:val="center"/>
              <w:rPr>
                <w:rFonts w:asciiTheme="minorHAnsi" w:hAnsiTheme="minorHAnsi" w:cstheme="minorHAnsi"/>
                <w:b/>
                <w:bCs/>
                <w:sz w:val="22"/>
                <w:szCs w:val="22"/>
              </w:rPr>
            </w:pPr>
            <w:r w:rsidRPr="00E01239">
              <w:rPr>
                <w:rFonts w:asciiTheme="minorHAnsi" w:hAnsiTheme="minorHAnsi" w:cstheme="minorHAnsi"/>
                <w:b/>
                <w:bCs/>
                <w:sz w:val="22"/>
                <w:szCs w:val="22"/>
              </w:rPr>
              <w:t>Prénoms</w:t>
            </w:r>
          </w:p>
        </w:tc>
        <w:tc>
          <w:tcPr>
            <w:tcW w:w="1983" w:type="dxa"/>
          </w:tcPr>
          <w:p w14:paraId="3DC3B549" w14:textId="77777777" w:rsidR="00477A61" w:rsidRPr="00E01239" w:rsidRDefault="00477A61" w:rsidP="00A304E9">
            <w:pPr>
              <w:spacing w:after="200" w:line="276" w:lineRule="auto"/>
              <w:jc w:val="center"/>
              <w:rPr>
                <w:rFonts w:asciiTheme="minorHAnsi" w:hAnsiTheme="minorHAnsi" w:cstheme="minorHAnsi"/>
                <w:b/>
                <w:bCs/>
                <w:sz w:val="22"/>
                <w:szCs w:val="22"/>
              </w:rPr>
            </w:pPr>
            <w:r w:rsidRPr="00E01239">
              <w:rPr>
                <w:rFonts w:asciiTheme="minorHAnsi" w:hAnsiTheme="minorHAnsi" w:cstheme="minorHAnsi"/>
                <w:b/>
                <w:bCs/>
                <w:sz w:val="22"/>
                <w:szCs w:val="22"/>
              </w:rPr>
              <w:t>Nom</w:t>
            </w:r>
          </w:p>
        </w:tc>
        <w:tc>
          <w:tcPr>
            <w:tcW w:w="2549" w:type="dxa"/>
          </w:tcPr>
          <w:p w14:paraId="180E7BC7" w14:textId="77777777" w:rsidR="00477A61" w:rsidRPr="00E01239" w:rsidRDefault="00477A61" w:rsidP="00A304E9">
            <w:pPr>
              <w:spacing w:after="200" w:line="276" w:lineRule="auto"/>
              <w:jc w:val="center"/>
              <w:rPr>
                <w:rFonts w:asciiTheme="minorHAnsi" w:hAnsiTheme="minorHAnsi" w:cstheme="minorHAnsi"/>
                <w:b/>
                <w:bCs/>
                <w:sz w:val="22"/>
                <w:szCs w:val="22"/>
              </w:rPr>
            </w:pPr>
            <w:r w:rsidRPr="00E01239">
              <w:rPr>
                <w:rFonts w:asciiTheme="minorHAnsi" w:hAnsiTheme="minorHAnsi" w:cstheme="minorHAnsi"/>
                <w:b/>
                <w:bCs/>
                <w:sz w:val="22"/>
                <w:szCs w:val="22"/>
              </w:rPr>
              <w:t>Fonction/structure</w:t>
            </w:r>
          </w:p>
        </w:tc>
        <w:tc>
          <w:tcPr>
            <w:tcW w:w="3122" w:type="dxa"/>
          </w:tcPr>
          <w:p w14:paraId="7EAF34FD" w14:textId="77777777" w:rsidR="00477A61" w:rsidRPr="00E01239" w:rsidRDefault="00477A61" w:rsidP="00A304E9">
            <w:pPr>
              <w:spacing w:after="200" w:line="276" w:lineRule="auto"/>
              <w:jc w:val="center"/>
              <w:rPr>
                <w:rFonts w:asciiTheme="minorHAnsi" w:hAnsiTheme="minorHAnsi" w:cstheme="minorHAnsi"/>
                <w:b/>
                <w:bCs/>
                <w:sz w:val="22"/>
                <w:szCs w:val="22"/>
              </w:rPr>
            </w:pPr>
            <w:r w:rsidRPr="00E01239">
              <w:rPr>
                <w:rFonts w:asciiTheme="minorHAnsi" w:hAnsiTheme="minorHAnsi" w:cstheme="minorHAnsi"/>
                <w:b/>
                <w:bCs/>
                <w:sz w:val="22"/>
                <w:szCs w:val="22"/>
              </w:rPr>
              <w:t>Contact</w:t>
            </w:r>
          </w:p>
        </w:tc>
      </w:tr>
      <w:tr w:rsidR="00477A61" w:rsidRPr="00E01239" w14:paraId="440A3730" w14:textId="77777777" w:rsidTr="00A304E9">
        <w:trPr>
          <w:jc w:val="center"/>
        </w:trPr>
        <w:tc>
          <w:tcPr>
            <w:tcW w:w="3549" w:type="dxa"/>
          </w:tcPr>
          <w:p w14:paraId="2A28AA4C" w14:textId="77777777" w:rsidR="00477A61" w:rsidRPr="00E01239" w:rsidRDefault="00477A61" w:rsidP="00A304E9">
            <w:pPr>
              <w:spacing w:after="200" w:line="276" w:lineRule="auto"/>
              <w:rPr>
                <w:rFonts w:asciiTheme="minorHAnsi" w:hAnsiTheme="minorHAnsi" w:cstheme="minorHAnsi"/>
                <w:sz w:val="22"/>
                <w:szCs w:val="22"/>
              </w:rPr>
            </w:pPr>
          </w:p>
        </w:tc>
        <w:tc>
          <w:tcPr>
            <w:tcW w:w="1983" w:type="dxa"/>
          </w:tcPr>
          <w:p w14:paraId="7519FBED" w14:textId="77777777" w:rsidR="00477A61" w:rsidRPr="00E01239" w:rsidRDefault="00477A61" w:rsidP="00A304E9">
            <w:pPr>
              <w:spacing w:after="200" w:line="276" w:lineRule="auto"/>
              <w:rPr>
                <w:rFonts w:asciiTheme="minorHAnsi" w:hAnsiTheme="minorHAnsi" w:cstheme="minorHAnsi"/>
                <w:sz w:val="22"/>
                <w:szCs w:val="22"/>
              </w:rPr>
            </w:pPr>
          </w:p>
        </w:tc>
        <w:tc>
          <w:tcPr>
            <w:tcW w:w="2549" w:type="dxa"/>
          </w:tcPr>
          <w:p w14:paraId="00E29688" w14:textId="77777777" w:rsidR="00477A61" w:rsidRPr="00E01239" w:rsidRDefault="00477A61" w:rsidP="00A304E9">
            <w:pPr>
              <w:spacing w:after="200" w:line="276" w:lineRule="auto"/>
              <w:rPr>
                <w:rFonts w:asciiTheme="minorHAnsi" w:hAnsiTheme="minorHAnsi" w:cstheme="minorHAnsi"/>
                <w:sz w:val="22"/>
                <w:szCs w:val="22"/>
              </w:rPr>
            </w:pPr>
          </w:p>
        </w:tc>
        <w:tc>
          <w:tcPr>
            <w:tcW w:w="3122" w:type="dxa"/>
          </w:tcPr>
          <w:p w14:paraId="0FB59462" w14:textId="77777777" w:rsidR="00477A61" w:rsidRPr="00E01239" w:rsidRDefault="00477A61" w:rsidP="00A304E9">
            <w:pPr>
              <w:spacing w:after="200" w:line="276" w:lineRule="auto"/>
              <w:rPr>
                <w:rFonts w:asciiTheme="minorHAnsi" w:hAnsiTheme="minorHAnsi" w:cstheme="minorHAnsi"/>
                <w:sz w:val="22"/>
                <w:szCs w:val="22"/>
              </w:rPr>
            </w:pPr>
          </w:p>
        </w:tc>
      </w:tr>
      <w:tr w:rsidR="00477A61" w:rsidRPr="00E01239" w14:paraId="7C092E84" w14:textId="77777777" w:rsidTr="00A304E9">
        <w:trPr>
          <w:jc w:val="center"/>
        </w:trPr>
        <w:tc>
          <w:tcPr>
            <w:tcW w:w="3549" w:type="dxa"/>
          </w:tcPr>
          <w:p w14:paraId="56F40BA2" w14:textId="77777777" w:rsidR="00477A61" w:rsidRPr="00E01239" w:rsidRDefault="00477A61" w:rsidP="00A304E9">
            <w:pPr>
              <w:spacing w:after="200" w:line="276" w:lineRule="auto"/>
              <w:rPr>
                <w:rFonts w:asciiTheme="minorHAnsi" w:hAnsiTheme="minorHAnsi" w:cstheme="minorHAnsi"/>
                <w:sz w:val="22"/>
                <w:szCs w:val="22"/>
              </w:rPr>
            </w:pPr>
          </w:p>
        </w:tc>
        <w:tc>
          <w:tcPr>
            <w:tcW w:w="1983" w:type="dxa"/>
          </w:tcPr>
          <w:p w14:paraId="6B6F2A41" w14:textId="77777777" w:rsidR="00477A61" w:rsidRPr="00E01239" w:rsidRDefault="00477A61" w:rsidP="00A304E9">
            <w:pPr>
              <w:spacing w:after="200" w:line="276" w:lineRule="auto"/>
              <w:rPr>
                <w:rFonts w:asciiTheme="minorHAnsi" w:hAnsiTheme="minorHAnsi" w:cstheme="minorHAnsi"/>
                <w:sz w:val="22"/>
                <w:szCs w:val="22"/>
              </w:rPr>
            </w:pPr>
          </w:p>
        </w:tc>
        <w:tc>
          <w:tcPr>
            <w:tcW w:w="2549" w:type="dxa"/>
          </w:tcPr>
          <w:p w14:paraId="22B4E8BD" w14:textId="77777777" w:rsidR="00477A61" w:rsidRPr="00E01239" w:rsidRDefault="00477A61" w:rsidP="00A304E9">
            <w:pPr>
              <w:spacing w:after="200" w:line="276" w:lineRule="auto"/>
              <w:rPr>
                <w:rFonts w:asciiTheme="minorHAnsi" w:hAnsiTheme="minorHAnsi" w:cstheme="minorHAnsi"/>
                <w:sz w:val="22"/>
                <w:szCs w:val="22"/>
              </w:rPr>
            </w:pPr>
          </w:p>
        </w:tc>
        <w:tc>
          <w:tcPr>
            <w:tcW w:w="3122" w:type="dxa"/>
          </w:tcPr>
          <w:p w14:paraId="11516E82" w14:textId="77777777" w:rsidR="00477A61" w:rsidRPr="00E01239" w:rsidRDefault="00477A61" w:rsidP="00A304E9">
            <w:pPr>
              <w:spacing w:after="200" w:line="276" w:lineRule="auto"/>
              <w:rPr>
                <w:rFonts w:asciiTheme="minorHAnsi" w:hAnsiTheme="minorHAnsi" w:cstheme="minorHAnsi"/>
                <w:sz w:val="22"/>
                <w:szCs w:val="22"/>
              </w:rPr>
            </w:pPr>
          </w:p>
        </w:tc>
      </w:tr>
      <w:tr w:rsidR="00477A61" w:rsidRPr="00E01239" w14:paraId="1EBFAC98" w14:textId="77777777" w:rsidTr="00A304E9">
        <w:trPr>
          <w:jc w:val="center"/>
        </w:trPr>
        <w:tc>
          <w:tcPr>
            <w:tcW w:w="3549" w:type="dxa"/>
          </w:tcPr>
          <w:p w14:paraId="074A6E20" w14:textId="77777777" w:rsidR="00477A61" w:rsidRPr="00E01239" w:rsidRDefault="00477A61" w:rsidP="00A304E9">
            <w:pPr>
              <w:spacing w:after="200" w:line="276" w:lineRule="auto"/>
              <w:rPr>
                <w:rFonts w:asciiTheme="minorHAnsi" w:hAnsiTheme="minorHAnsi" w:cstheme="minorHAnsi"/>
                <w:sz w:val="22"/>
                <w:szCs w:val="22"/>
              </w:rPr>
            </w:pPr>
          </w:p>
        </w:tc>
        <w:tc>
          <w:tcPr>
            <w:tcW w:w="1983" w:type="dxa"/>
          </w:tcPr>
          <w:p w14:paraId="4D6F71F4" w14:textId="77777777" w:rsidR="00477A61" w:rsidRPr="00E01239" w:rsidRDefault="00477A61" w:rsidP="00A304E9">
            <w:pPr>
              <w:spacing w:after="200" w:line="276" w:lineRule="auto"/>
              <w:rPr>
                <w:rFonts w:asciiTheme="minorHAnsi" w:hAnsiTheme="minorHAnsi" w:cstheme="minorHAnsi"/>
                <w:sz w:val="22"/>
                <w:szCs w:val="22"/>
              </w:rPr>
            </w:pPr>
          </w:p>
        </w:tc>
        <w:tc>
          <w:tcPr>
            <w:tcW w:w="2549" w:type="dxa"/>
          </w:tcPr>
          <w:p w14:paraId="47737D8C" w14:textId="77777777" w:rsidR="00477A61" w:rsidRPr="00E01239" w:rsidRDefault="00477A61" w:rsidP="00A304E9">
            <w:pPr>
              <w:spacing w:after="200" w:line="276" w:lineRule="auto"/>
              <w:rPr>
                <w:rFonts w:asciiTheme="minorHAnsi" w:hAnsiTheme="minorHAnsi" w:cstheme="minorHAnsi"/>
                <w:sz w:val="22"/>
                <w:szCs w:val="22"/>
              </w:rPr>
            </w:pPr>
          </w:p>
        </w:tc>
        <w:tc>
          <w:tcPr>
            <w:tcW w:w="3122" w:type="dxa"/>
          </w:tcPr>
          <w:p w14:paraId="34A450E2" w14:textId="77777777" w:rsidR="00477A61" w:rsidRPr="00E01239" w:rsidRDefault="00477A61" w:rsidP="00A304E9">
            <w:pPr>
              <w:spacing w:after="200" w:line="276" w:lineRule="auto"/>
              <w:rPr>
                <w:rFonts w:asciiTheme="minorHAnsi" w:hAnsiTheme="minorHAnsi" w:cstheme="minorHAnsi"/>
                <w:sz w:val="22"/>
                <w:szCs w:val="22"/>
              </w:rPr>
            </w:pPr>
          </w:p>
        </w:tc>
      </w:tr>
      <w:tr w:rsidR="00477A61" w:rsidRPr="00E01239" w14:paraId="08BDA645" w14:textId="77777777" w:rsidTr="00A304E9">
        <w:trPr>
          <w:jc w:val="center"/>
        </w:trPr>
        <w:tc>
          <w:tcPr>
            <w:tcW w:w="3549" w:type="dxa"/>
          </w:tcPr>
          <w:p w14:paraId="3A4D096D" w14:textId="77777777" w:rsidR="00477A61" w:rsidRPr="00E01239" w:rsidRDefault="00477A61" w:rsidP="00A304E9">
            <w:pPr>
              <w:spacing w:after="200" w:line="276" w:lineRule="auto"/>
              <w:rPr>
                <w:rFonts w:asciiTheme="minorHAnsi" w:hAnsiTheme="minorHAnsi" w:cstheme="minorHAnsi"/>
                <w:sz w:val="22"/>
                <w:szCs w:val="22"/>
              </w:rPr>
            </w:pPr>
          </w:p>
        </w:tc>
        <w:tc>
          <w:tcPr>
            <w:tcW w:w="1983" w:type="dxa"/>
          </w:tcPr>
          <w:p w14:paraId="386F7C01" w14:textId="77777777" w:rsidR="00477A61" w:rsidRPr="00E01239" w:rsidRDefault="00477A61" w:rsidP="00A304E9">
            <w:pPr>
              <w:spacing w:after="200" w:line="276" w:lineRule="auto"/>
              <w:rPr>
                <w:rFonts w:asciiTheme="minorHAnsi" w:hAnsiTheme="minorHAnsi" w:cstheme="minorHAnsi"/>
                <w:sz w:val="22"/>
                <w:szCs w:val="22"/>
              </w:rPr>
            </w:pPr>
          </w:p>
        </w:tc>
        <w:tc>
          <w:tcPr>
            <w:tcW w:w="2549" w:type="dxa"/>
          </w:tcPr>
          <w:p w14:paraId="27F5114D" w14:textId="77777777" w:rsidR="00477A61" w:rsidRPr="00E01239" w:rsidRDefault="00477A61" w:rsidP="00A304E9">
            <w:pPr>
              <w:spacing w:after="200" w:line="276" w:lineRule="auto"/>
              <w:rPr>
                <w:rFonts w:asciiTheme="minorHAnsi" w:hAnsiTheme="minorHAnsi" w:cstheme="minorHAnsi"/>
                <w:sz w:val="22"/>
                <w:szCs w:val="22"/>
              </w:rPr>
            </w:pPr>
          </w:p>
        </w:tc>
        <w:tc>
          <w:tcPr>
            <w:tcW w:w="3122" w:type="dxa"/>
          </w:tcPr>
          <w:p w14:paraId="7FA56FC4" w14:textId="77777777" w:rsidR="00477A61" w:rsidRPr="00E01239" w:rsidRDefault="00477A61" w:rsidP="00A304E9">
            <w:pPr>
              <w:spacing w:after="200" w:line="276" w:lineRule="auto"/>
              <w:rPr>
                <w:rFonts w:asciiTheme="minorHAnsi" w:hAnsiTheme="minorHAnsi" w:cstheme="minorHAnsi"/>
                <w:sz w:val="22"/>
                <w:szCs w:val="22"/>
              </w:rPr>
            </w:pPr>
          </w:p>
        </w:tc>
      </w:tr>
      <w:tr w:rsidR="00477A61" w:rsidRPr="00E01239" w14:paraId="2498FFF7" w14:textId="77777777" w:rsidTr="00A304E9">
        <w:trPr>
          <w:jc w:val="center"/>
        </w:trPr>
        <w:tc>
          <w:tcPr>
            <w:tcW w:w="3549" w:type="dxa"/>
          </w:tcPr>
          <w:p w14:paraId="6EA0667A" w14:textId="77777777" w:rsidR="00477A61" w:rsidRPr="00E01239" w:rsidRDefault="00477A61" w:rsidP="00A304E9">
            <w:pPr>
              <w:spacing w:after="200" w:line="276" w:lineRule="auto"/>
              <w:rPr>
                <w:rFonts w:asciiTheme="minorHAnsi" w:hAnsiTheme="minorHAnsi" w:cstheme="minorHAnsi"/>
                <w:sz w:val="22"/>
                <w:szCs w:val="22"/>
              </w:rPr>
            </w:pPr>
          </w:p>
        </w:tc>
        <w:tc>
          <w:tcPr>
            <w:tcW w:w="1983" w:type="dxa"/>
          </w:tcPr>
          <w:p w14:paraId="1A88461E" w14:textId="77777777" w:rsidR="00477A61" w:rsidRPr="00E01239" w:rsidRDefault="00477A61" w:rsidP="00A304E9">
            <w:pPr>
              <w:spacing w:after="200" w:line="276" w:lineRule="auto"/>
              <w:rPr>
                <w:rFonts w:asciiTheme="minorHAnsi" w:hAnsiTheme="minorHAnsi" w:cstheme="minorHAnsi"/>
                <w:sz w:val="22"/>
                <w:szCs w:val="22"/>
              </w:rPr>
            </w:pPr>
          </w:p>
        </w:tc>
        <w:tc>
          <w:tcPr>
            <w:tcW w:w="2549" w:type="dxa"/>
          </w:tcPr>
          <w:p w14:paraId="78F6A0AC" w14:textId="77777777" w:rsidR="00477A61" w:rsidRPr="00E01239" w:rsidRDefault="00477A61" w:rsidP="00A304E9">
            <w:pPr>
              <w:spacing w:after="200" w:line="276" w:lineRule="auto"/>
              <w:rPr>
                <w:rFonts w:asciiTheme="minorHAnsi" w:hAnsiTheme="minorHAnsi" w:cstheme="minorHAnsi"/>
                <w:sz w:val="22"/>
                <w:szCs w:val="22"/>
              </w:rPr>
            </w:pPr>
          </w:p>
        </w:tc>
        <w:tc>
          <w:tcPr>
            <w:tcW w:w="3122" w:type="dxa"/>
          </w:tcPr>
          <w:p w14:paraId="287ED408" w14:textId="77777777" w:rsidR="00477A61" w:rsidRPr="00E01239" w:rsidRDefault="00477A61" w:rsidP="00A304E9">
            <w:pPr>
              <w:spacing w:after="200" w:line="276" w:lineRule="auto"/>
              <w:rPr>
                <w:rFonts w:asciiTheme="minorHAnsi" w:hAnsiTheme="minorHAnsi" w:cstheme="minorHAnsi"/>
                <w:sz w:val="22"/>
                <w:szCs w:val="22"/>
              </w:rPr>
            </w:pPr>
          </w:p>
        </w:tc>
      </w:tr>
      <w:tr w:rsidR="00477A61" w:rsidRPr="00E01239" w14:paraId="2EB42ECA" w14:textId="77777777" w:rsidTr="00A304E9">
        <w:trPr>
          <w:jc w:val="center"/>
        </w:trPr>
        <w:tc>
          <w:tcPr>
            <w:tcW w:w="3549" w:type="dxa"/>
          </w:tcPr>
          <w:p w14:paraId="1CA05E08" w14:textId="77777777" w:rsidR="00477A61" w:rsidRPr="00E01239" w:rsidRDefault="00477A61" w:rsidP="00A304E9">
            <w:pPr>
              <w:spacing w:after="200" w:line="276" w:lineRule="auto"/>
              <w:rPr>
                <w:rFonts w:asciiTheme="minorHAnsi" w:hAnsiTheme="minorHAnsi" w:cstheme="minorHAnsi"/>
                <w:sz w:val="22"/>
                <w:szCs w:val="22"/>
              </w:rPr>
            </w:pPr>
          </w:p>
        </w:tc>
        <w:tc>
          <w:tcPr>
            <w:tcW w:w="1983" w:type="dxa"/>
          </w:tcPr>
          <w:p w14:paraId="4F440E54" w14:textId="77777777" w:rsidR="00477A61" w:rsidRPr="00E01239" w:rsidRDefault="00477A61" w:rsidP="00A304E9">
            <w:pPr>
              <w:spacing w:after="200" w:line="276" w:lineRule="auto"/>
              <w:rPr>
                <w:rFonts w:asciiTheme="minorHAnsi" w:hAnsiTheme="minorHAnsi" w:cstheme="minorHAnsi"/>
                <w:sz w:val="22"/>
                <w:szCs w:val="22"/>
              </w:rPr>
            </w:pPr>
          </w:p>
        </w:tc>
        <w:tc>
          <w:tcPr>
            <w:tcW w:w="2549" w:type="dxa"/>
          </w:tcPr>
          <w:p w14:paraId="00E699EA" w14:textId="77777777" w:rsidR="00477A61" w:rsidRPr="00E01239" w:rsidRDefault="00477A61" w:rsidP="00A304E9">
            <w:pPr>
              <w:spacing w:after="200" w:line="276" w:lineRule="auto"/>
              <w:rPr>
                <w:rFonts w:asciiTheme="minorHAnsi" w:hAnsiTheme="minorHAnsi" w:cstheme="minorHAnsi"/>
                <w:sz w:val="22"/>
                <w:szCs w:val="22"/>
              </w:rPr>
            </w:pPr>
          </w:p>
        </w:tc>
        <w:tc>
          <w:tcPr>
            <w:tcW w:w="3122" w:type="dxa"/>
          </w:tcPr>
          <w:p w14:paraId="29AB60FA" w14:textId="77777777" w:rsidR="00477A61" w:rsidRPr="00E01239" w:rsidRDefault="00477A61" w:rsidP="00A304E9">
            <w:pPr>
              <w:spacing w:after="200" w:line="276" w:lineRule="auto"/>
              <w:rPr>
                <w:rFonts w:asciiTheme="minorHAnsi" w:hAnsiTheme="minorHAnsi" w:cstheme="minorHAnsi"/>
                <w:sz w:val="22"/>
                <w:szCs w:val="22"/>
              </w:rPr>
            </w:pPr>
          </w:p>
        </w:tc>
      </w:tr>
      <w:tr w:rsidR="00477A61" w:rsidRPr="00E01239" w14:paraId="1A188300" w14:textId="77777777" w:rsidTr="00A304E9">
        <w:trPr>
          <w:jc w:val="center"/>
        </w:trPr>
        <w:tc>
          <w:tcPr>
            <w:tcW w:w="3549" w:type="dxa"/>
          </w:tcPr>
          <w:p w14:paraId="5173C3CD" w14:textId="77777777" w:rsidR="00477A61" w:rsidRPr="00E01239" w:rsidRDefault="00477A61" w:rsidP="00A304E9">
            <w:pPr>
              <w:spacing w:after="200" w:line="276" w:lineRule="auto"/>
              <w:rPr>
                <w:rFonts w:asciiTheme="minorHAnsi" w:hAnsiTheme="minorHAnsi" w:cstheme="minorHAnsi"/>
                <w:sz w:val="22"/>
                <w:szCs w:val="22"/>
              </w:rPr>
            </w:pPr>
          </w:p>
        </w:tc>
        <w:tc>
          <w:tcPr>
            <w:tcW w:w="1983" w:type="dxa"/>
          </w:tcPr>
          <w:p w14:paraId="612B6B72" w14:textId="77777777" w:rsidR="00477A61" w:rsidRPr="00E01239" w:rsidRDefault="00477A61" w:rsidP="00A304E9">
            <w:pPr>
              <w:spacing w:after="200" w:line="276" w:lineRule="auto"/>
              <w:rPr>
                <w:rFonts w:asciiTheme="minorHAnsi" w:hAnsiTheme="minorHAnsi" w:cstheme="minorHAnsi"/>
                <w:sz w:val="22"/>
                <w:szCs w:val="22"/>
              </w:rPr>
            </w:pPr>
          </w:p>
        </w:tc>
        <w:tc>
          <w:tcPr>
            <w:tcW w:w="2549" w:type="dxa"/>
          </w:tcPr>
          <w:p w14:paraId="59C5E003" w14:textId="77777777" w:rsidR="00477A61" w:rsidRPr="00E01239" w:rsidRDefault="00477A61" w:rsidP="00A304E9">
            <w:pPr>
              <w:spacing w:after="200" w:line="276" w:lineRule="auto"/>
              <w:rPr>
                <w:rFonts w:asciiTheme="minorHAnsi" w:hAnsiTheme="minorHAnsi" w:cstheme="minorHAnsi"/>
                <w:sz w:val="22"/>
                <w:szCs w:val="22"/>
              </w:rPr>
            </w:pPr>
          </w:p>
        </w:tc>
        <w:tc>
          <w:tcPr>
            <w:tcW w:w="3122" w:type="dxa"/>
          </w:tcPr>
          <w:p w14:paraId="172FA6A3" w14:textId="77777777" w:rsidR="00477A61" w:rsidRPr="00E01239" w:rsidRDefault="00477A61" w:rsidP="00A304E9">
            <w:pPr>
              <w:spacing w:after="200" w:line="276" w:lineRule="auto"/>
              <w:rPr>
                <w:rFonts w:asciiTheme="minorHAnsi" w:hAnsiTheme="minorHAnsi" w:cstheme="minorHAnsi"/>
                <w:sz w:val="22"/>
                <w:szCs w:val="22"/>
              </w:rPr>
            </w:pPr>
          </w:p>
        </w:tc>
      </w:tr>
      <w:tr w:rsidR="00477A61" w:rsidRPr="00E01239" w14:paraId="48D33EAA" w14:textId="77777777" w:rsidTr="00A304E9">
        <w:trPr>
          <w:jc w:val="center"/>
        </w:trPr>
        <w:tc>
          <w:tcPr>
            <w:tcW w:w="3549" w:type="dxa"/>
          </w:tcPr>
          <w:p w14:paraId="39664AED" w14:textId="77777777" w:rsidR="00477A61" w:rsidRPr="00E01239" w:rsidRDefault="00477A61" w:rsidP="00A304E9">
            <w:pPr>
              <w:spacing w:after="200" w:line="276" w:lineRule="auto"/>
              <w:rPr>
                <w:rFonts w:asciiTheme="minorHAnsi" w:hAnsiTheme="minorHAnsi" w:cstheme="minorHAnsi"/>
                <w:sz w:val="22"/>
                <w:szCs w:val="22"/>
              </w:rPr>
            </w:pPr>
          </w:p>
        </w:tc>
        <w:tc>
          <w:tcPr>
            <w:tcW w:w="1983" w:type="dxa"/>
          </w:tcPr>
          <w:p w14:paraId="24553B38" w14:textId="77777777" w:rsidR="00477A61" w:rsidRPr="00E01239" w:rsidRDefault="00477A61" w:rsidP="00A304E9">
            <w:pPr>
              <w:spacing w:after="200" w:line="276" w:lineRule="auto"/>
              <w:rPr>
                <w:rFonts w:asciiTheme="minorHAnsi" w:hAnsiTheme="minorHAnsi" w:cstheme="minorHAnsi"/>
                <w:sz w:val="22"/>
                <w:szCs w:val="22"/>
              </w:rPr>
            </w:pPr>
          </w:p>
        </w:tc>
        <w:tc>
          <w:tcPr>
            <w:tcW w:w="2549" w:type="dxa"/>
          </w:tcPr>
          <w:p w14:paraId="74CD9401" w14:textId="77777777" w:rsidR="00477A61" w:rsidRPr="00E01239" w:rsidRDefault="00477A61" w:rsidP="00A304E9">
            <w:pPr>
              <w:spacing w:after="200" w:line="276" w:lineRule="auto"/>
              <w:rPr>
                <w:rFonts w:asciiTheme="minorHAnsi" w:hAnsiTheme="minorHAnsi" w:cstheme="minorHAnsi"/>
                <w:sz w:val="22"/>
                <w:szCs w:val="22"/>
              </w:rPr>
            </w:pPr>
          </w:p>
        </w:tc>
        <w:tc>
          <w:tcPr>
            <w:tcW w:w="3122" w:type="dxa"/>
          </w:tcPr>
          <w:p w14:paraId="0DB3E134" w14:textId="77777777" w:rsidR="00477A61" w:rsidRPr="00E01239" w:rsidRDefault="00477A61" w:rsidP="00A304E9">
            <w:pPr>
              <w:spacing w:after="200" w:line="276" w:lineRule="auto"/>
              <w:rPr>
                <w:rFonts w:asciiTheme="minorHAnsi" w:hAnsiTheme="minorHAnsi" w:cstheme="minorHAnsi"/>
                <w:sz w:val="22"/>
                <w:szCs w:val="22"/>
              </w:rPr>
            </w:pPr>
          </w:p>
        </w:tc>
      </w:tr>
    </w:tbl>
    <w:p w14:paraId="6B17D121" w14:textId="77777777" w:rsidR="00477A61" w:rsidRPr="00E01239" w:rsidRDefault="00477A61" w:rsidP="00477A61">
      <w:pPr>
        <w:spacing w:after="200" w:line="276" w:lineRule="auto"/>
        <w:rPr>
          <w:rFonts w:asciiTheme="minorHAnsi" w:hAnsiTheme="minorHAnsi" w:cstheme="minorHAnsi"/>
          <w:sz w:val="22"/>
          <w:szCs w:val="22"/>
        </w:rPr>
      </w:pPr>
    </w:p>
    <w:p w14:paraId="0BBEC2DF" w14:textId="77777777" w:rsidR="00477A61" w:rsidRPr="00E01239" w:rsidRDefault="00477A61" w:rsidP="00477A61">
      <w:pPr>
        <w:rPr>
          <w:rFonts w:asciiTheme="minorHAnsi" w:hAnsiTheme="minorHAnsi" w:cstheme="minorHAnsi"/>
          <w:sz w:val="22"/>
          <w:szCs w:val="22"/>
        </w:rPr>
      </w:pPr>
    </w:p>
    <w:p w14:paraId="30469D6F" w14:textId="77777777" w:rsidR="00477A61" w:rsidRPr="00E01239" w:rsidRDefault="00477A61" w:rsidP="00477A61">
      <w:pPr>
        <w:rPr>
          <w:rFonts w:asciiTheme="minorHAnsi" w:hAnsiTheme="minorHAnsi" w:cstheme="minorHAnsi"/>
          <w:sz w:val="22"/>
          <w:szCs w:val="22"/>
        </w:rPr>
      </w:pPr>
    </w:p>
    <w:p w14:paraId="20127C8C" w14:textId="77777777" w:rsidR="00477A61" w:rsidRPr="00E01239" w:rsidRDefault="00477A61" w:rsidP="00477A61">
      <w:pPr>
        <w:rPr>
          <w:rFonts w:asciiTheme="minorHAnsi" w:hAnsiTheme="minorHAnsi" w:cstheme="minorHAnsi"/>
          <w:sz w:val="22"/>
          <w:szCs w:val="22"/>
        </w:rPr>
      </w:pPr>
    </w:p>
    <w:p w14:paraId="0040DCCE" w14:textId="77777777" w:rsidR="00477A61" w:rsidRPr="00E01239" w:rsidRDefault="00477A61" w:rsidP="00477A61">
      <w:pPr>
        <w:rPr>
          <w:rFonts w:asciiTheme="minorHAnsi" w:hAnsiTheme="minorHAnsi" w:cstheme="minorHAnsi"/>
          <w:sz w:val="22"/>
          <w:szCs w:val="22"/>
        </w:rPr>
        <w:sectPr w:rsidR="00477A61" w:rsidRPr="00E01239" w:rsidSect="00A304E9">
          <w:footerReference w:type="default" r:id="rId32"/>
          <w:pgSz w:w="11907" w:h="16840" w:code="9"/>
          <w:pgMar w:top="1418" w:right="1418" w:bottom="1418" w:left="1418" w:header="709" w:footer="709" w:gutter="0"/>
          <w:cols w:space="708"/>
          <w:docGrid w:linePitch="360"/>
        </w:sectPr>
      </w:pPr>
    </w:p>
    <w:p w14:paraId="53638B6C" w14:textId="77777777" w:rsidR="00477A61" w:rsidRPr="00E01239" w:rsidRDefault="00477A61" w:rsidP="00477A61">
      <w:pPr>
        <w:rPr>
          <w:rFonts w:asciiTheme="minorHAnsi" w:hAnsiTheme="minorHAnsi" w:cstheme="minorHAnsi"/>
          <w:sz w:val="22"/>
          <w:szCs w:val="22"/>
        </w:rPr>
      </w:pPr>
    </w:p>
    <w:p w14:paraId="2CE89E1B" w14:textId="77777777" w:rsidR="00477A61" w:rsidRPr="00E01239" w:rsidRDefault="00477A61" w:rsidP="00477A61">
      <w:pPr>
        <w:rPr>
          <w:rFonts w:asciiTheme="minorHAnsi" w:hAnsiTheme="minorHAnsi" w:cstheme="minorHAnsi"/>
          <w:sz w:val="22"/>
          <w:szCs w:val="22"/>
        </w:rPr>
      </w:pPr>
    </w:p>
    <w:p w14:paraId="73063AF0" w14:textId="77777777" w:rsidR="00477A61" w:rsidRPr="00E01239" w:rsidRDefault="00477A61" w:rsidP="00477A61">
      <w:pPr>
        <w:rPr>
          <w:rFonts w:asciiTheme="minorHAnsi" w:hAnsiTheme="minorHAnsi" w:cstheme="minorHAnsi"/>
          <w:sz w:val="22"/>
          <w:szCs w:val="22"/>
        </w:rPr>
      </w:pPr>
    </w:p>
    <w:p w14:paraId="510FEDD1" w14:textId="77777777" w:rsidR="00477A61" w:rsidRPr="00E01239" w:rsidRDefault="00477A61" w:rsidP="00477A61">
      <w:pPr>
        <w:rPr>
          <w:rFonts w:asciiTheme="minorHAnsi" w:hAnsiTheme="minorHAnsi" w:cstheme="minorHAnsi"/>
          <w:sz w:val="22"/>
          <w:szCs w:val="22"/>
        </w:rPr>
      </w:pPr>
    </w:p>
    <w:p w14:paraId="6B2342AA" w14:textId="77777777" w:rsidR="00477A61" w:rsidRPr="00E01239" w:rsidRDefault="00477A61" w:rsidP="00477A61">
      <w:pPr>
        <w:rPr>
          <w:rFonts w:asciiTheme="minorHAnsi" w:hAnsiTheme="minorHAnsi" w:cstheme="minorHAnsi"/>
          <w:sz w:val="22"/>
          <w:szCs w:val="22"/>
        </w:rPr>
      </w:pPr>
    </w:p>
    <w:p w14:paraId="42C1687F" w14:textId="77777777" w:rsidR="00477A61" w:rsidRPr="00E01239" w:rsidRDefault="00477A61" w:rsidP="00477A61">
      <w:pPr>
        <w:rPr>
          <w:rFonts w:asciiTheme="minorHAnsi" w:hAnsiTheme="minorHAnsi" w:cstheme="minorHAnsi"/>
          <w:sz w:val="22"/>
          <w:szCs w:val="22"/>
        </w:rPr>
      </w:pPr>
    </w:p>
    <w:p w14:paraId="10D2A9FB" w14:textId="77777777" w:rsidR="00477A61" w:rsidRPr="00E01239" w:rsidRDefault="00477A61" w:rsidP="00477A61">
      <w:pPr>
        <w:rPr>
          <w:rFonts w:asciiTheme="minorHAnsi" w:hAnsiTheme="minorHAnsi" w:cstheme="minorHAnsi"/>
          <w:sz w:val="22"/>
          <w:szCs w:val="22"/>
        </w:rPr>
      </w:pPr>
    </w:p>
    <w:p w14:paraId="7CCFAD7D" w14:textId="77777777" w:rsidR="00477A61" w:rsidRPr="00E01239" w:rsidRDefault="00477A61" w:rsidP="00477A61">
      <w:pPr>
        <w:rPr>
          <w:rFonts w:asciiTheme="minorHAnsi" w:hAnsiTheme="minorHAnsi" w:cstheme="minorHAnsi"/>
          <w:sz w:val="22"/>
          <w:szCs w:val="22"/>
        </w:rPr>
      </w:pPr>
    </w:p>
    <w:p w14:paraId="463F942A" w14:textId="77777777" w:rsidR="00477A61" w:rsidRPr="00E01239" w:rsidRDefault="00477A61" w:rsidP="00477A61">
      <w:pPr>
        <w:rPr>
          <w:rFonts w:asciiTheme="minorHAnsi" w:hAnsiTheme="minorHAnsi" w:cstheme="minorHAnsi"/>
          <w:sz w:val="22"/>
          <w:szCs w:val="22"/>
        </w:rPr>
      </w:pPr>
    </w:p>
    <w:p w14:paraId="1023DD90" w14:textId="77777777" w:rsidR="00477A61" w:rsidRPr="00E01239" w:rsidRDefault="00477A61" w:rsidP="00477A61">
      <w:pPr>
        <w:rPr>
          <w:rFonts w:asciiTheme="minorHAnsi" w:hAnsiTheme="minorHAnsi" w:cstheme="minorHAnsi"/>
          <w:sz w:val="22"/>
          <w:szCs w:val="22"/>
        </w:rPr>
      </w:pPr>
    </w:p>
    <w:p w14:paraId="4AF789AB" w14:textId="77777777" w:rsidR="00477A61" w:rsidRPr="00E01239" w:rsidRDefault="00477A61" w:rsidP="00477A61">
      <w:pPr>
        <w:rPr>
          <w:rFonts w:asciiTheme="minorHAnsi" w:hAnsiTheme="minorHAnsi" w:cstheme="minorHAnsi"/>
          <w:sz w:val="22"/>
          <w:szCs w:val="22"/>
        </w:rPr>
      </w:pPr>
      <w:r w:rsidRPr="00E01239">
        <w:rPr>
          <w:rFonts w:asciiTheme="minorHAnsi" w:hAnsiTheme="minorHAnsi" w:cstheme="minorHAnsi"/>
          <w:sz w:val="22"/>
          <w:szCs w:val="22"/>
        </w:rPr>
        <w:tab/>
      </w:r>
      <w:r w:rsidRPr="00E01239">
        <w:rPr>
          <w:rFonts w:asciiTheme="minorHAnsi" w:hAnsiTheme="minorHAnsi" w:cstheme="minorHAnsi"/>
          <w:sz w:val="22"/>
          <w:szCs w:val="22"/>
        </w:rPr>
        <w:tab/>
      </w:r>
    </w:p>
    <w:p w14:paraId="15695358" w14:textId="10FF3FE9" w:rsidR="00477A61" w:rsidRPr="00E01239" w:rsidRDefault="00477A61" w:rsidP="00477A61">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48"/>
          <w:szCs w:val="48"/>
        </w:rPr>
      </w:pPr>
      <w:bookmarkStart w:id="1457" w:name="_Toc39187655"/>
      <w:bookmarkStart w:id="1458" w:name="_Toc41162038"/>
      <w:bookmarkStart w:id="1459" w:name="_Toc41300933"/>
      <w:bookmarkStart w:id="1460" w:name="_Toc58573713"/>
      <w:bookmarkStart w:id="1461" w:name="_Toc58859469"/>
      <w:bookmarkStart w:id="1462" w:name="_Toc58926899"/>
      <w:bookmarkStart w:id="1463" w:name="_Toc58928961"/>
      <w:bookmarkStart w:id="1464" w:name="_Toc83301699"/>
      <w:bookmarkStart w:id="1465" w:name="_Toc86436646"/>
      <w:bookmarkStart w:id="1466" w:name="_Toc87466825"/>
      <w:bookmarkStart w:id="1467" w:name="_Toc87530531"/>
      <w:bookmarkStart w:id="1468" w:name="_Toc88771507"/>
      <w:bookmarkStart w:id="1469" w:name="_Toc88861272"/>
      <w:bookmarkStart w:id="1470" w:name="_Toc88861310"/>
      <w:bookmarkStart w:id="1471" w:name="_Toc88861489"/>
      <w:bookmarkStart w:id="1472" w:name="_Toc130714114"/>
      <w:bookmarkStart w:id="1473" w:name="_Toc130755168"/>
      <w:bookmarkStart w:id="1474" w:name="_Toc130857879"/>
      <w:bookmarkStart w:id="1475" w:name="_Toc130858016"/>
      <w:bookmarkStart w:id="1476" w:name="_Toc142378225"/>
      <w:bookmarkStart w:id="1477" w:name="_Toc142847795"/>
      <w:bookmarkStart w:id="1478" w:name="_Toc142853997"/>
      <w:bookmarkStart w:id="1479" w:name="_Toc142854049"/>
      <w:bookmarkStart w:id="1480" w:name="_Toc144654177"/>
      <w:r w:rsidRPr="00E01239">
        <w:rPr>
          <w:rFonts w:asciiTheme="minorHAnsi" w:hAnsiTheme="minorHAnsi" w:cstheme="minorHAnsi"/>
          <w:caps/>
          <w:color w:val="5B9BD5"/>
          <w:sz w:val="48"/>
          <w:szCs w:val="48"/>
        </w:rPr>
        <w:t xml:space="preserve">ANNEXE </w:t>
      </w:r>
      <w:r w:rsidRPr="00E01239">
        <w:rPr>
          <w:rFonts w:asciiTheme="minorHAnsi" w:hAnsiTheme="minorHAnsi" w:cstheme="minorHAnsi"/>
          <w:caps/>
          <w:color w:val="5B9BD5"/>
          <w:sz w:val="48"/>
          <w:szCs w:val="48"/>
        </w:rPr>
        <w:fldChar w:fldCharType="begin"/>
      </w:r>
      <w:r w:rsidRPr="00E01239">
        <w:rPr>
          <w:rFonts w:asciiTheme="minorHAnsi" w:hAnsiTheme="minorHAnsi" w:cstheme="minorHAnsi"/>
          <w:caps/>
          <w:color w:val="5B9BD5"/>
          <w:sz w:val="48"/>
          <w:szCs w:val="48"/>
        </w:rPr>
        <w:instrText xml:space="preserve"> SEQ Annexe \* ARABIC </w:instrText>
      </w:r>
      <w:r w:rsidRPr="00E01239">
        <w:rPr>
          <w:rFonts w:asciiTheme="minorHAnsi" w:hAnsiTheme="minorHAnsi" w:cstheme="minorHAnsi"/>
          <w:caps/>
          <w:color w:val="5B9BD5"/>
          <w:sz w:val="48"/>
          <w:szCs w:val="48"/>
        </w:rPr>
        <w:fldChar w:fldCharType="separate"/>
      </w:r>
      <w:r w:rsidR="00202CE9" w:rsidRPr="00E01239">
        <w:rPr>
          <w:rFonts w:asciiTheme="minorHAnsi" w:hAnsiTheme="minorHAnsi" w:cstheme="minorHAnsi"/>
          <w:caps/>
          <w:color w:val="5B9BD5"/>
          <w:sz w:val="48"/>
          <w:szCs w:val="48"/>
        </w:rPr>
        <w:t>4</w:t>
      </w:r>
      <w:r w:rsidRPr="00E01239">
        <w:rPr>
          <w:rFonts w:asciiTheme="minorHAnsi" w:hAnsiTheme="minorHAnsi" w:cstheme="minorHAnsi"/>
          <w:caps/>
          <w:color w:val="5B9BD5"/>
          <w:sz w:val="48"/>
          <w:szCs w:val="48"/>
        </w:rPr>
        <w:fldChar w:fldCharType="end"/>
      </w:r>
      <w:r w:rsidRPr="00E01239">
        <w:rPr>
          <w:rFonts w:asciiTheme="minorHAnsi" w:hAnsiTheme="minorHAnsi" w:cstheme="minorHAnsi"/>
          <w:caps/>
          <w:color w:val="5B9BD5"/>
          <w:sz w:val="48"/>
          <w:szCs w:val="48"/>
        </w:rPr>
        <w:t> : TERMES DE REFERENCE TYPE D’UNE ETUDE D’IMPACT ENVIRONNEMENTAL ET SOCIAL</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E01239">
        <w:rPr>
          <w:rFonts w:asciiTheme="minorHAnsi" w:hAnsiTheme="minorHAnsi" w:cstheme="minorHAnsi"/>
          <w:caps/>
          <w:color w:val="5B9BD5"/>
          <w:sz w:val="48"/>
          <w:szCs w:val="48"/>
        </w:rPr>
        <w:t xml:space="preserve"> </w:t>
      </w:r>
    </w:p>
    <w:p w14:paraId="04AF11DE" w14:textId="77777777" w:rsidR="00477A61" w:rsidRPr="00E01239" w:rsidRDefault="00477A61" w:rsidP="00477A61">
      <w:pPr>
        <w:tabs>
          <w:tab w:val="left" w:pos="1010"/>
        </w:tabs>
        <w:rPr>
          <w:rFonts w:asciiTheme="minorHAnsi" w:hAnsiTheme="minorHAnsi" w:cstheme="minorHAnsi"/>
          <w:sz w:val="22"/>
          <w:szCs w:val="22"/>
        </w:rPr>
      </w:pPr>
    </w:p>
    <w:p w14:paraId="4B4D1C48" w14:textId="77777777" w:rsidR="00477A61" w:rsidRPr="00E01239" w:rsidRDefault="00477A61" w:rsidP="00477A61">
      <w:pPr>
        <w:rPr>
          <w:rFonts w:asciiTheme="minorHAnsi" w:hAnsiTheme="minorHAnsi" w:cstheme="minorHAnsi"/>
          <w:sz w:val="22"/>
          <w:szCs w:val="22"/>
        </w:rPr>
      </w:pPr>
      <w:r w:rsidRPr="00E01239">
        <w:rPr>
          <w:rFonts w:asciiTheme="minorHAnsi" w:hAnsiTheme="minorHAnsi" w:cstheme="minorHAnsi"/>
          <w:sz w:val="22"/>
          <w:szCs w:val="22"/>
        </w:rPr>
        <w:br w:type="page"/>
      </w:r>
    </w:p>
    <w:p w14:paraId="6842DD8E" w14:textId="77777777" w:rsidR="00477A61" w:rsidRPr="00E01239" w:rsidRDefault="00477A61" w:rsidP="00477A61">
      <w:pPr>
        <w:jc w:val="both"/>
        <w:rPr>
          <w:rFonts w:asciiTheme="minorHAnsi" w:hAnsiTheme="minorHAnsi" w:cstheme="minorHAnsi"/>
          <w:b/>
          <w:sz w:val="22"/>
          <w:szCs w:val="22"/>
        </w:rPr>
      </w:pPr>
      <w:r w:rsidRPr="00E01239">
        <w:rPr>
          <w:rFonts w:asciiTheme="minorHAnsi" w:hAnsiTheme="minorHAnsi" w:cstheme="minorHAnsi"/>
          <w:b/>
          <w:sz w:val="22"/>
          <w:szCs w:val="22"/>
        </w:rPr>
        <w:lastRenderedPageBreak/>
        <w:t>I. Introduction et contexte</w:t>
      </w:r>
    </w:p>
    <w:p w14:paraId="683A83E6" w14:textId="77777777" w:rsidR="00477A61" w:rsidRPr="00E01239" w:rsidRDefault="00477A61" w:rsidP="00477A61">
      <w:pPr>
        <w:jc w:val="both"/>
        <w:rPr>
          <w:rFonts w:asciiTheme="minorHAnsi" w:hAnsiTheme="minorHAnsi" w:cstheme="minorHAnsi"/>
          <w:sz w:val="22"/>
          <w:szCs w:val="22"/>
        </w:rPr>
      </w:pPr>
    </w:p>
    <w:p w14:paraId="27E2FD4D"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 xml:space="preserve">Cette partie sera complétée au moment opportun et devra donner les informations nécessaires relatives au contexte et aux approches méthodologiques à entreprendre. </w:t>
      </w:r>
    </w:p>
    <w:p w14:paraId="4A1C3848" w14:textId="77777777" w:rsidR="00477A61" w:rsidRPr="00E01239" w:rsidRDefault="00477A61" w:rsidP="00477A61">
      <w:pPr>
        <w:jc w:val="both"/>
        <w:rPr>
          <w:rFonts w:asciiTheme="minorHAnsi" w:hAnsiTheme="minorHAnsi" w:cstheme="minorHAnsi"/>
          <w:sz w:val="22"/>
          <w:szCs w:val="22"/>
        </w:rPr>
      </w:pPr>
    </w:p>
    <w:p w14:paraId="37A7FCAC" w14:textId="77777777" w:rsidR="00477A61" w:rsidRPr="00E01239" w:rsidRDefault="00477A61" w:rsidP="00477A61">
      <w:pPr>
        <w:jc w:val="both"/>
        <w:rPr>
          <w:rFonts w:asciiTheme="minorHAnsi" w:hAnsiTheme="minorHAnsi" w:cstheme="minorHAnsi"/>
          <w:b/>
          <w:sz w:val="22"/>
          <w:szCs w:val="22"/>
        </w:rPr>
      </w:pPr>
      <w:r w:rsidRPr="00E01239">
        <w:rPr>
          <w:rFonts w:asciiTheme="minorHAnsi" w:hAnsiTheme="minorHAnsi" w:cstheme="minorHAnsi"/>
          <w:b/>
          <w:sz w:val="22"/>
          <w:szCs w:val="22"/>
        </w:rPr>
        <w:t>II. Objectifs de l’étude</w:t>
      </w:r>
    </w:p>
    <w:p w14:paraId="42951625" w14:textId="77777777" w:rsidR="00477A61" w:rsidRPr="00E01239" w:rsidRDefault="00477A61" w:rsidP="00477A61">
      <w:pPr>
        <w:jc w:val="both"/>
        <w:rPr>
          <w:rFonts w:asciiTheme="minorHAnsi" w:hAnsiTheme="minorHAnsi" w:cstheme="minorHAnsi"/>
          <w:sz w:val="22"/>
          <w:szCs w:val="22"/>
        </w:rPr>
      </w:pPr>
    </w:p>
    <w:p w14:paraId="6C7F641A"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Cette section montrera (i) les objectifs et les activités du projet prévu dans le cadre du Projet, et (ii) indiquera les activités pouvant avoir des impacts environnementaux et sociaux et qui nécessitent des mesures d’atténuation appropriées.</w:t>
      </w:r>
    </w:p>
    <w:p w14:paraId="6E303167" w14:textId="77777777" w:rsidR="00477A61" w:rsidRPr="00E01239" w:rsidRDefault="00477A61" w:rsidP="00477A61">
      <w:pPr>
        <w:jc w:val="both"/>
        <w:rPr>
          <w:rFonts w:asciiTheme="minorHAnsi" w:hAnsiTheme="minorHAnsi" w:cstheme="minorHAnsi"/>
          <w:sz w:val="22"/>
          <w:szCs w:val="22"/>
        </w:rPr>
      </w:pPr>
    </w:p>
    <w:p w14:paraId="49E43547" w14:textId="77777777" w:rsidR="00477A61" w:rsidRPr="00E01239" w:rsidRDefault="00477A61" w:rsidP="00477A61">
      <w:pPr>
        <w:jc w:val="both"/>
        <w:rPr>
          <w:rFonts w:asciiTheme="minorHAnsi" w:hAnsiTheme="minorHAnsi" w:cstheme="minorHAnsi"/>
          <w:b/>
          <w:sz w:val="22"/>
          <w:szCs w:val="22"/>
        </w:rPr>
      </w:pPr>
      <w:r w:rsidRPr="00E01239">
        <w:rPr>
          <w:rFonts w:asciiTheme="minorHAnsi" w:hAnsiTheme="minorHAnsi" w:cstheme="minorHAnsi"/>
          <w:b/>
          <w:sz w:val="22"/>
          <w:szCs w:val="22"/>
        </w:rPr>
        <w:t>III. Le Mandat du Consultant</w:t>
      </w:r>
    </w:p>
    <w:p w14:paraId="52DCBE2E" w14:textId="77777777" w:rsidR="00477A61" w:rsidRPr="00E01239" w:rsidRDefault="00477A61" w:rsidP="00477A61">
      <w:pPr>
        <w:jc w:val="both"/>
        <w:rPr>
          <w:rFonts w:asciiTheme="minorHAnsi" w:hAnsiTheme="minorHAnsi" w:cstheme="minorHAnsi"/>
          <w:sz w:val="22"/>
          <w:szCs w:val="22"/>
        </w:rPr>
      </w:pPr>
    </w:p>
    <w:p w14:paraId="7978DF4C"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Le consultant aura pour mandat de :</w:t>
      </w:r>
    </w:p>
    <w:p w14:paraId="2D1B58BA" w14:textId="77777777" w:rsidR="00477A61" w:rsidRPr="00E01239" w:rsidRDefault="00477A61" w:rsidP="00477A61">
      <w:pPr>
        <w:jc w:val="both"/>
        <w:rPr>
          <w:rFonts w:asciiTheme="minorHAnsi" w:hAnsiTheme="minorHAnsi" w:cstheme="minorHAnsi"/>
          <w:sz w:val="22"/>
          <w:szCs w:val="22"/>
        </w:rPr>
      </w:pPr>
    </w:p>
    <w:p w14:paraId="0D27A3A0" w14:textId="77777777" w:rsidR="00477A61" w:rsidRPr="00E01239" w:rsidRDefault="00477A61" w:rsidP="002A19B3">
      <w:pPr>
        <w:numPr>
          <w:ilvl w:val="0"/>
          <w:numId w:val="56"/>
        </w:numPr>
        <w:jc w:val="both"/>
        <w:rPr>
          <w:rFonts w:asciiTheme="minorHAnsi" w:hAnsiTheme="minorHAnsi" w:cstheme="minorHAnsi"/>
          <w:sz w:val="22"/>
          <w:szCs w:val="22"/>
        </w:rPr>
      </w:pPr>
      <w:r w:rsidRPr="00E01239">
        <w:rPr>
          <w:rFonts w:asciiTheme="minorHAnsi" w:hAnsiTheme="minorHAnsi" w:cstheme="minorHAnsi"/>
          <w:sz w:val="22"/>
          <w:szCs w:val="22"/>
        </w:rPr>
        <w:t>Mener une description des caractéristiques biophysiques de l’environnement dans lequel les activités du Projet auront lieu, et mettre en évidence les contraintes majeures qui nécessitent d’être prises en compte au moment de la préparation du terrain, de la construction ainsi que durant l’installation des équipements, au moment de l’exploitation.</w:t>
      </w:r>
    </w:p>
    <w:p w14:paraId="44BCF29D" w14:textId="77777777" w:rsidR="00477A61" w:rsidRPr="00E01239" w:rsidRDefault="00477A61" w:rsidP="002A19B3">
      <w:pPr>
        <w:numPr>
          <w:ilvl w:val="0"/>
          <w:numId w:val="56"/>
        </w:numPr>
        <w:jc w:val="both"/>
        <w:rPr>
          <w:rFonts w:asciiTheme="minorHAnsi" w:hAnsiTheme="minorHAnsi" w:cstheme="minorHAnsi"/>
          <w:sz w:val="22"/>
          <w:szCs w:val="22"/>
        </w:rPr>
      </w:pPr>
      <w:r w:rsidRPr="00E01239">
        <w:rPr>
          <w:rFonts w:asciiTheme="minorHAnsi" w:hAnsiTheme="minorHAnsi" w:cstheme="minorHAnsi"/>
          <w:sz w:val="22"/>
          <w:szCs w:val="22"/>
        </w:rPr>
        <w:t>Evaluer les impacts environnementaux et sociaux potentiels dus aux activités du projet et recommander des mesures d’atténuation appropriées y compris les estimations de coûts.</w:t>
      </w:r>
    </w:p>
    <w:p w14:paraId="1FB4416F" w14:textId="77777777" w:rsidR="00477A61" w:rsidRPr="00E01239" w:rsidRDefault="00477A61" w:rsidP="002A19B3">
      <w:pPr>
        <w:numPr>
          <w:ilvl w:val="0"/>
          <w:numId w:val="56"/>
        </w:numPr>
        <w:jc w:val="both"/>
        <w:rPr>
          <w:rFonts w:asciiTheme="minorHAnsi" w:hAnsiTheme="minorHAnsi" w:cstheme="minorHAnsi"/>
          <w:sz w:val="22"/>
          <w:szCs w:val="22"/>
        </w:rPr>
      </w:pPr>
      <w:r w:rsidRPr="00E01239">
        <w:rPr>
          <w:rFonts w:asciiTheme="minorHAnsi" w:hAnsiTheme="minorHAnsi" w:cstheme="minorHAnsi"/>
          <w:sz w:val="22"/>
          <w:szCs w:val="22"/>
        </w:rPr>
        <w:t>Evaluer les besoins de collectes des déchets solides et liquides, leur élimination ainsi que leur gestion dans les infrastructures, et faire des recommandations.</w:t>
      </w:r>
    </w:p>
    <w:p w14:paraId="613F1557" w14:textId="77777777" w:rsidR="00477A61" w:rsidRPr="00E01239" w:rsidRDefault="00477A61" w:rsidP="002A19B3">
      <w:pPr>
        <w:numPr>
          <w:ilvl w:val="0"/>
          <w:numId w:val="56"/>
        </w:numPr>
        <w:jc w:val="both"/>
        <w:rPr>
          <w:rFonts w:asciiTheme="minorHAnsi" w:hAnsiTheme="minorHAnsi" w:cstheme="minorHAnsi"/>
          <w:sz w:val="22"/>
          <w:szCs w:val="22"/>
        </w:rPr>
      </w:pPr>
      <w:r w:rsidRPr="00E01239">
        <w:rPr>
          <w:rFonts w:asciiTheme="minorHAnsi" w:hAnsiTheme="minorHAnsi" w:cstheme="minorHAnsi"/>
          <w:sz w:val="22"/>
          <w:szCs w:val="22"/>
        </w:rPr>
        <w:t>Mener une revue des politiques, législations, et les cadres administratifs et institutionnels en matière d’environnement ; identifier toutes les lacunes qui pourraient exister et faire des recommandations pour les combler dans le contexte des activités du Projet</w:t>
      </w:r>
    </w:p>
    <w:p w14:paraId="4C229886" w14:textId="77777777" w:rsidR="00477A61" w:rsidRPr="00E01239" w:rsidRDefault="00477A61" w:rsidP="002A19B3">
      <w:pPr>
        <w:numPr>
          <w:ilvl w:val="0"/>
          <w:numId w:val="56"/>
        </w:numPr>
        <w:jc w:val="both"/>
        <w:rPr>
          <w:rFonts w:asciiTheme="minorHAnsi" w:hAnsiTheme="minorHAnsi" w:cstheme="minorHAnsi"/>
          <w:sz w:val="22"/>
          <w:szCs w:val="22"/>
        </w:rPr>
      </w:pPr>
      <w:r w:rsidRPr="00E01239">
        <w:rPr>
          <w:rFonts w:asciiTheme="minorHAnsi" w:hAnsiTheme="minorHAnsi" w:cstheme="minorHAnsi"/>
          <w:sz w:val="22"/>
          <w:szCs w:val="22"/>
        </w:rPr>
        <w:t>Examiner les conventions et protocoles dont la Togo est signataire en rapport avec les activités du Projet</w:t>
      </w:r>
    </w:p>
    <w:p w14:paraId="6642386D" w14:textId="77777777" w:rsidR="00477A61" w:rsidRPr="00E01239" w:rsidRDefault="00477A61" w:rsidP="002A19B3">
      <w:pPr>
        <w:numPr>
          <w:ilvl w:val="0"/>
          <w:numId w:val="56"/>
        </w:numPr>
        <w:jc w:val="both"/>
        <w:rPr>
          <w:rFonts w:asciiTheme="minorHAnsi" w:hAnsiTheme="minorHAnsi" w:cstheme="minorHAnsi"/>
          <w:sz w:val="22"/>
          <w:szCs w:val="22"/>
        </w:rPr>
      </w:pPr>
      <w:r w:rsidRPr="00E01239">
        <w:rPr>
          <w:rFonts w:asciiTheme="minorHAnsi" w:hAnsiTheme="minorHAnsi" w:cstheme="minorHAnsi"/>
          <w:sz w:val="22"/>
          <w:szCs w:val="22"/>
        </w:rPr>
        <w:t>Identifier les responsabilités et acteurs pour mettre en œuvre les mesures de mitigation proposées.</w:t>
      </w:r>
    </w:p>
    <w:p w14:paraId="157B8F15" w14:textId="77777777" w:rsidR="00477A61" w:rsidRPr="00E01239" w:rsidRDefault="00477A61" w:rsidP="002A19B3">
      <w:pPr>
        <w:numPr>
          <w:ilvl w:val="0"/>
          <w:numId w:val="56"/>
        </w:numPr>
        <w:jc w:val="both"/>
        <w:rPr>
          <w:rFonts w:asciiTheme="minorHAnsi" w:hAnsiTheme="minorHAnsi" w:cstheme="minorHAnsi"/>
          <w:sz w:val="22"/>
          <w:szCs w:val="22"/>
        </w:rPr>
      </w:pPr>
      <w:r w:rsidRPr="00E01239">
        <w:rPr>
          <w:rFonts w:asciiTheme="minorHAnsi" w:hAnsiTheme="minorHAnsi" w:cstheme="minorHAnsi"/>
          <w:sz w:val="22"/>
          <w:szCs w:val="22"/>
        </w:rPr>
        <w:t>Evaluer la capacité disponible à mettre en œuvre les mesures d’atténuation proposées, et faire des recommandations appropriées, y compris les besoins en formation et en renforcement des capacités ainsi que leurs coûts ;</w:t>
      </w:r>
    </w:p>
    <w:p w14:paraId="402CD82B" w14:textId="77777777" w:rsidR="00477A61" w:rsidRPr="00E01239" w:rsidRDefault="00477A61" w:rsidP="002A19B3">
      <w:pPr>
        <w:numPr>
          <w:ilvl w:val="0"/>
          <w:numId w:val="56"/>
        </w:numPr>
        <w:jc w:val="both"/>
        <w:rPr>
          <w:rFonts w:asciiTheme="minorHAnsi" w:hAnsiTheme="minorHAnsi" w:cstheme="minorHAnsi"/>
          <w:sz w:val="22"/>
          <w:szCs w:val="22"/>
        </w:rPr>
      </w:pPr>
      <w:r w:rsidRPr="00E01239">
        <w:rPr>
          <w:rFonts w:asciiTheme="minorHAnsi" w:hAnsiTheme="minorHAnsi" w:cstheme="minorHAnsi"/>
          <w:sz w:val="22"/>
          <w:szCs w:val="22"/>
        </w:rPr>
        <w:t>Préparer un Plan de Gestion Environnementale (PGES) pour le projet. Le PGES doit indiquer (a) les impacts environnementaux et sociaux potentiels résultant des activités du projet en tenant compte des mesures d’atténuation contenues dans le check-list des mesures d’atténuation du CGES; (b) les mesures d’atténuation proposées ; ( c) les responsabilités institutionnelles  pour l’exécution des mesures d’atténuation ; (d) les indicateurs de suivi ; (e) les responsabilités institutionnelles pour le suivi de l’application des mesures d’atténuation ; (f) l’estimation des coûts pour toutes ces activités ; et (g) le calendrier pour l’exécution du PGES ;</w:t>
      </w:r>
    </w:p>
    <w:p w14:paraId="136DC4A9" w14:textId="77777777" w:rsidR="00477A61" w:rsidRPr="00E01239" w:rsidRDefault="00477A61" w:rsidP="002A19B3">
      <w:pPr>
        <w:numPr>
          <w:ilvl w:val="0"/>
          <w:numId w:val="56"/>
        </w:numPr>
        <w:jc w:val="both"/>
        <w:rPr>
          <w:rFonts w:asciiTheme="minorHAnsi" w:hAnsiTheme="minorHAnsi" w:cstheme="minorHAnsi"/>
          <w:sz w:val="22"/>
          <w:szCs w:val="22"/>
        </w:rPr>
      </w:pPr>
      <w:r w:rsidRPr="00E01239">
        <w:rPr>
          <w:rFonts w:asciiTheme="minorHAnsi" w:hAnsiTheme="minorHAnsi" w:cstheme="minorHAnsi"/>
          <w:bCs/>
          <w:sz w:val="22"/>
          <w:szCs w:val="22"/>
        </w:rPr>
        <w:t>Consultations du public. L</w:t>
      </w:r>
      <w:r w:rsidRPr="00E01239">
        <w:rPr>
          <w:rFonts w:asciiTheme="minorHAnsi" w:hAnsiTheme="minorHAnsi" w:cstheme="minorHAnsi"/>
          <w:sz w:val="22"/>
          <w:szCs w:val="22"/>
        </w:rPr>
        <w:t xml:space="preserve">es résultats de l’évaluation d’impact environnemental et social ainsi que les mesures d’atténuation proposées seront partagés avec la population, les ONG, l’administration locale et le secteur privé œuvrant dans le milieu où l’activité sera réalisée.  Le procès-verbal de cette consultation devra faire partie intégrante du rapport. </w:t>
      </w:r>
    </w:p>
    <w:p w14:paraId="751E5578" w14:textId="77777777" w:rsidR="00477A61" w:rsidRPr="00E01239" w:rsidRDefault="00477A61" w:rsidP="00477A61">
      <w:pPr>
        <w:jc w:val="both"/>
        <w:rPr>
          <w:rFonts w:asciiTheme="minorHAnsi" w:hAnsiTheme="minorHAnsi" w:cstheme="minorHAnsi"/>
          <w:bCs/>
          <w:sz w:val="22"/>
          <w:szCs w:val="22"/>
        </w:rPr>
      </w:pPr>
    </w:p>
    <w:p w14:paraId="27C1C0C6" w14:textId="77777777" w:rsidR="00477A61" w:rsidRPr="00E01239" w:rsidRDefault="00477A61" w:rsidP="00477A61">
      <w:pPr>
        <w:jc w:val="both"/>
        <w:rPr>
          <w:rFonts w:asciiTheme="minorHAnsi" w:hAnsiTheme="minorHAnsi" w:cstheme="minorHAnsi"/>
          <w:b/>
          <w:sz w:val="22"/>
          <w:szCs w:val="22"/>
        </w:rPr>
      </w:pPr>
      <w:r w:rsidRPr="00E01239">
        <w:rPr>
          <w:rFonts w:asciiTheme="minorHAnsi" w:hAnsiTheme="minorHAnsi" w:cstheme="minorHAnsi"/>
          <w:b/>
          <w:sz w:val="22"/>
          <w:szCs w:val="22"/>
        </w:rPr>
        <w:t>IV. Plan du rapport</w:t>
      </w:r>
    </w:p>
    <w:p w14:paraId="4F0D4039" w14:textId="77777777" w:rsidR="00477A61" w:rsidRPr="00E01239" w:rsidRDefault="00477A61" w:rsidP="00477A61">
      <w:pPr>
        <w:jc w:val="both"/>
        <w:rPr>
          <w:rFonts w:asciiTheme="minorHAnsi" w:hAnsiTheme="minorHAnsi" w:cstheme="minorHAnsi"/>
          <w:sz w:val="22"/>
          <w:szCs w:val="22"/>
        </w:rPr>
      </w:pPr>
    </w:p>
    <w:p w14:paraId="4A65B1CF" w14:textId="77777777" w:rsidR="00477A61" w:rsidRPr="00E01239" w:rsidRDefault="00477A61" w:rsidP="00477A61">
      <w:pPr>
        <w:widowControl w:val="0"/>
        <w:jc w:val="both"/>
        <w:rPr>
          <w:rFonts w:asciiTheme="minorHAnsi" w:hAnsiTheme="minorHAnsi" w:cstheme="minorHAnsi"/>
          <w:sz w:val="22"/>
          <w:szCs w:val="22"/>
        </w:rPr>
      </w:pPr>
      <w:r w:rsidRPr="00E01239">
        <w:rPr>
          <w:rFonts w:asciiTheme="minorHAnsi" w:hAnsiTheme="minorHAnsi" w:cstheme="minorHAnsi"/>
          <w:sz w:val="22"/>
          <w:szCs w:val="22"/>
        </w:rPr>
        <w:t>Pour la rédaction du rapport de l'EIES et de son contenu, le consultant devra se référer au modèle indicatif du décret 2007-105 qui modifie, complète, renforce et remplace certaines dispositions du décret 2004-094 relatif à l'Étude d'Impact sur l'Environnement (EIE) et l’Arrêté N</w:t>
      </w:r>
      <w:r w:rsidRPr="00E01239">
        <w:rPr>
          <w:rFonts w:asciiTheme="minorHAnsi" w:hAnsiTheme="minorHAnsi" w:cstheme="minorHAnsi"/>
          <w:sz w:val="22"/>
          <w:szCs w:val="22"/>
          <w:vertAlign w:val="superscript"/>
        </w:rPr>
        <w:t>o </w:t>
      </w:r>
      <w:r w:rsidRPr="00E01239">
        <w:rPr>
          <w:rFonts w:asciiTheme="minorHAnsi" w:hAnsiTheme="minorHAnsi" w:cstheme="minorHAnsi"/>
          <w:sz w:val="22"/>
          <w:szCs w:val="22"/>
        </w:rPr>
        <w:t>990/MRNE/SGG/90, qui fixe le contenu, la méthodologie et les procédures de l’étude d’impact sur l’environnement :</w:t>
      </w:r>
    </w:p>
    <w:p w14:paraId="3A6329A4" w14:textId="77777777" w:rsidR="00477A61" w:rsidRPr="00E01239" w:rsidRDefault="00477A61" w:rsidP="00477A61">
      <w:pPr>
        <w:shd w:val="clear" w:color="auto" w:fill="FFFFFF"/>
        <w:ind w:left="29"/>
        <w:jc w:val="both"/>
        <w:rPr>
          <w:rFonts w:asciiTheme="minorHAnsi" w:hAnsiTheme="minorHAnsi" w:cstheme="minorHAnsi"/>
          <w:sz w:val="22"/>
          <w:szCs w:val="22"/>
        </w:rPr>
      </w:pPr>
      <w:r w:rsidRPr="00E01239">
        <w:rPr>
          <w:rFonts w:asciiTheme="minorHAnsi" w:hAnsiTheme="minorHAnsi" w:cstheme="minorHAnsi"/>
          <w:color w:val="000000"/>
          <w:sz w:val="22"/>
          <w:szCs w:val="22"/>
        </w:rPr>
        <w:lastRenderedPageBreak/>
        <w:t>1°) Une présentation du projet et des aménagements, ouvrages et travaux à réaliser, la justification du choix des techniques et des moyens de production, ainsi que sa localisation.</w:t>
      </w:r>
    </w:p>
    <w:p w14:paraId="09415172" w14:textId="77777777" w:rsidR="00477A61" w:rsidRPr="00E01239" w:rsidRDefault="00477A61" w:rsidP="00477A61">
      <w:pPr>
        <w:shd w:val="clear" w:color="auto" w:fill="FFFFFF"/>
        <w:ind w:left="24"/>
        <w:jc w:val="both"/>
        <w:rPr>
          <w:rFonts w:asciiTheme="minorHAnsi" w:hAnsiTheme="minorHAnsi" w:cstheme="minorHAnsi"/>
          <w:color w:val="000000"/>
          <w:spacing w:val="5"/>
          <w:sz w:val="22"/>
          <w:szCs w:val="22"/>
        </w:rPr>
      </w:pPr>
    </w:p>
    <w:p w14:paraId="29DE463A" w14:textId="77777777" w:rsidR="00477A61" w:rsidRPr="00E01239" w:rsidRDefault="00477A61" w:rsidP="00477A61">
      <w:pPr>
        <w:shd w:val="clear" w:color="auto" w:fill="FFFFFF"/>
        <w:ind w:left="24"/>
        <w:jc w:val="both"/>
        <w:rPr>
          <w:rFonts w:asciiTheme="minorHAnsi" w:hAnsiTheme="minorHAnsi" w:cstheme="minorHAnsi"/>
          <w:color w:val="000000"/>
          <w:sz w:val="22"/>
          <w:szCs w:val="22"/>
        </w:rPr>
      </w:pPr>
      <w:r w:rsidRPr="00E01239">
        <w:rPr>
          <w:rFonts w:asciiTheme="minorHAnsi" w:hAnsiTheme="minorHAnsi" w:cstheme="minorHAnsi"/>
          <w:color w:val="000000"/>
          <w:spacing w:val="5"/>
          <w:sz w:val="22"/>
          <w:szCs w:val="22"/>
        </w:rPr>
        <w:t xml:space="preserve">2°) Une analyse de l'état initial du site, et de son environnement portant notamment sur les </w:t>
      </w:r>
      <w:r w:rsidRPr="00E01239">
        <w:rPr>
          <w:rFonts w:asciiTheme="minorHAnsi" w:hAnsiTheme="minorHAnsi" w:cstheme="minorHAnsi"/>
          <w:color w:val="000000"/>
          <w:sz w:val="22"/>
          <w:szCs w:val="22"/>
        </w:rPr>
        <w:t xml:space="preserve">richesses naturelles du sol et du sous-sol, l'atmosphère, les espaces agricoles, pastoraux, maritimes, </w:t>
      </w:r>
      <w:r w:rsidRPr="00E01239">
        <w:rPr>
          <w:rFonts w:asciiTheme="minorHAnsi" w:hAnsiTheme="minorHAnsi" w:cstheme="minorHAnsi"/>
          <w:color w:val="000000"/>
          <w:spacing w:val="1"/>
          <w:sz w:val="22"/>
          <w:szCs w:val="22"/>
        </w:rPr>
        <w:t xml:space="preserve">littoraux ou de loisirs, les sites culturels et les paysages, les infrastructures socio-économiques </w:t>
      </w:r>
      <w:r w:rsidRPr="00E01239">
        <w:rPr>
          <w:rFonts w:asciiTheme="minorHAnsi" w:hAnsiTheme="minorHAnsi" w:cstheme="minorHAnsi"/>
          <w:color w:val="000000"/>
          <w:sz w:val="22"/>
          <w:szCs w:val="22"/>
        </w:rPr>
        <w:t>affectées par le projet.</w:t>
      </w:r>
    </w:p>
    <w:p w14:paraId="4F38E14E" w14:textId="77777777" w:rsidR="00477A61" w:rsidRPr="00E01239" w:rsidRDefault="00477A61" w:rsidP="00477A61">
      <w:pPr>
        <w:shd w:val="clear" w:color="auto" w:fill="FFFFFF"/>
        <w:ind w:left="29"/>
        <w:jc w:val="both"/>
        <w:rPr>
          <w:rFonts w:asciiTheme="minorHAnsi" w:hAnsiTheme="minorHAnsi" w:cstheme="minorHAnsi"/>
          <w:color w:val="000000"/>
          <w:spacing w:val="1"/>
          <w:sz w:val="22"/>
          <w:szCs w:val="22"/>
        </w:rPr>
      </w:pPr>
      <w:r w:rsidRPr="00E01239">
        <w:rPr>
          <w:rFonts w:asciiTheme="minorHAnsi" w:hAnsiTheme="minorHAnsi" w:cstheme="minorHAnsi"/>
          <w:color w:val="000000"/>
          <w:spacing w:val="1"/>
          <w:sz w:val="22"/>
          <w:szCs w:val="22"/>
        </w:rPr>
        <w:t xml:space="preserve">Cette analyse de l'état initial du site, en cas d'existence d'impacts négatifs sur l'environnement liés </w:t>
      </w:r>
      <w:r w:rsidRPr="00E01239">
        <w:rPr>
          <w:rFonts w:asciiTheme="minorHAnsi" w:hAnsiTheme="minorHAnsi" w:cstheme="minorHAnsi"/>
          <w:color w:val="000000"/>
          <w:spacing w:val="2"/>
          <w:sz w:val="22"/>
          <w:szCs w:val="22"/>
        </w:rPr>
        <w:t xml:space="preserve">à une activité antérieure à laquelle l'ancien promoteur n'a pas remédié, doit décrire, quantifier et </w:t>
      </w:r>
      <w:r w:rsidRPr="00E01239">
        <w:rPr>
          <w:rFonts w:asciiTheme="minorHAnsi" w:hAnsiTheme="minorHAnsi" w:cstheme="minorHAnsi"/>
          <w:color w:val="000000"/>
          <w:sz w:val="22"/>
          <w:szCs w:val="22"/>
        </w:rPr>
        <w:t xml:space="preserve">évaluer ces impacts antérieurs à l'activité objet de l'étude ou de la notice d'impact et les conditions </w:t>
      </w:r>
      <w:r w:rsidRPr="00E01239">
        <w:rPr>
          <w:rFonts w:asciiTheme="minorHAnsi" w:hAnsiTheme="minorHAnsi" w:cstheme="minorHAnsi"/>
          <w:color w:val="000000"/>
          <w:spacing w:val="2"/>
          <w:sz w:val="22"/>
          <w:szCs w:val="22"/>
        </w:rPr>
        <w:t>dans lesquelles le site se trouve à l'état actuel. Cette évaluation doit faire l'objet d'une contre-</w:t>
      </w:r>
      <w:r w:rsidRPr="00E01239">
        <w:rPr>
          <w:rFonts w:asciiTheme="minorHAnsi" w:hAnsiTheme="minorHAnsi" w:cstheme="minorHAnsi"/>
          <w:color w:val="000000"/>
          <w:spacing w:val="1"/>
          <w:sz w:val="22"/>
          <w:szCs w:val="22"/>
        </w:rPr>
        <w:t>expertise de la part du Ministre chargé de l'Environnement et du Ministre concerné par l'activité.</w:t>
      </w:r>
    </w:p>
    <w:p w14:paraId="54285D0E" w14:textId="77777777" w:rsidR="00477A61" w:rsidRPr="00E01239" w:rsidRDefault="00477A61" w:rsidP="00477A61">
      <w:pPr>
        <w:shd w:val="clear" w:color="auto" w:fill="FFFFFF"/>
        <w:ind w:left="29"/>
        <w:jc w:val="both"/>
        <w:rPr>
          <w:rFonts w:asciiTheme="minorHAnsi" w:hAnsiTheme="minorHAnsi" w:cstheme="minorHAnsi"/>
          <w:sz w:val="22"/>
          <w:szCs w:val="22"/>
        </w:rPr>
      </w:pPr>
    </w:p>
    <w:p w14:paraId="2B86B542" w14:textId="77777777" w:rsidR="00477A61" w:rsidRPr="00E01239" w:rsidRDefault="00477A61" w:rsidP="00477A61">
      <w:pPr>
        <w:shd w:val="clear" w:color="auto" w:fill="FFFFFF"/>
        <w:ind w:left="29"/>
        <w:jc w:val="both"/>
        <w:rPr>
          <w:rFonts w:asciiTheme="minorHAnsi" w:hAnsiTheme="minorHAnsi" w:cstheme="minorHAnsi"/>
          <w:color w:val="000000"/>
          <w:sz w:val="22"/>
          <w:szCs w:val="22"/>
        </w:rPr>
      </w:pPr>
      <w:r w:rsidRPr="00E01239">
        <w:rPr>
          <w:rFonts w:asciiTheme="minorHAnsi" w:hAnsiTheme="minorHAnsi" w:cstheme="minorHAnsi"/>
          <w:color w:val="000000"/>
          <w:spacing w:val="1"/>
          <w:sz w:val="22"/>
          <w:szCs w:val="22"/>
        </w:rPr>
        <w:t xml:space="preserve">3°) Une analyse des impacts directs et indirects sur le site et son environnement portant sur les </w:t>
      </w:r>
      <w:r w:rsidRPr="00E01239">
        <w:rPr>
          <w:rFonts w:asciiTheme="minorHAnsi" w:hAnsiTheme="minorHAnsi" w:cstheme="minorHAnsi"/>
          <w:color w:val="000000"/>
          <w:sz w:val="22"/>
          <w:szCs w:val="22"/>
        </w:rPr>
        <w:t xml:space="preserve">richesses naturelles du sol ou sous-sol, l'atmosphère, les espaces agricoles, pastoraux, maritimes et </w:t>
      </w:r>
      <w:r w:rsidRPr="00E01239">
        <w:rPr>
          <w:rFonts w:asciiTheme="minorHAnsi" w:hAnsiTheme="minorHAnsi" w:cstheme="minorHAnsi"/>
          <w:color w:val="000000"/>
          <w:spacing w:val="1"/>
          <w:sz w:val="22"/>
          <w:szCs w:val="22"/>
        </w:rPr>
        <w:t xml:space="preserve">littoraux ou de loisirs, les sites et patrimoines culturels et les paysages, les ressources forestières, hydrauliques, la sécurité, l'hygiène, la salubrité et la santé publique et les équilibres biologiques et </w:t>
      </w:r>
      <w:r w:rsidRPr="00E01239">
        <w:rPr>
          <w:rFonts w:asciiTheme="minorHAnsi" w:hAnsiTheme="minorHAnsi" w:cstheme="minorHAnsi"/>
          <w:color w:val="000000"/>
          <w:spacing w:val="2"/>
          <w:sz w:val="22"/>
          <w:szCs w:val="22"/>
        </w:rPr>
        <w:t xml:space="preserve">le cas échéant la commodité du voisinage (bruits, vibrations, odeurs, émissions biologiques...) </w:t>
      </w:r>
      <w:r w:rsidRPr="00E01239">
        <w:rPr>
          <w:rFonts w:asciiTheme="minorHAnsi" w:hAnsiTheme="minorHAnsi" w:cstheme="minorHAnsi"/>
          <w:color w:val="000000"/>
          <w:sz w:val="22"/>
          <w:szCs w:val="22"/>
        </w:rPr>
        <w:t>susceptibles d'être affectées par les travaux, aménagements ou ouvrages.</w:t>
      </w:r>
    </w:p>
    <w:p w14:paraId="69E47047" w14:textId="77777777" w:rsidR="00477A61" w:rsidRPr="00E01239" w:rsidRDefault="00477A61" w:rsidP="00477A61">
      <w:pPr>
        <w:shd w:val="clear" w:color="auto" w:fill="FFFFFF"/>
        <w:ind w:left="29"/>
        <w:jc w:val="both"/>
        <w:rPr>
          <w:rFonts w:asciiTheme="minorHAnsi" w:hAnsiTheme="minorHAnsi" w:cstheme="minorHAnsi"/>
          <w:sz w:val="22"/>
          <w:szCs w:val="22"/>
        </w:rPr>
      </w:pPr>
    </w:p>
    <w:p w14:paraId="7BB442AF" w14:textId="77777777" w:rsidR="00477A61" w:rsidRPr="00E01239" w:rsidRDefault="00477A61" w:rsidP="00477A61">
      <w:pPr>
        <w:shd w:val="clear" w:color="auto" w:fill="FFFFFF"/>
        <w:ind w:left="19"/>
        <w:jc w:val="both"/>
        <w:rPr>
          <w:rFonts w:asciiTheme="minorHAnsi" w:hAnsiTheme="minorHAnsi" w:cstheme="minorHAnsi"/>
          <w:color w:val="000000"/>
          <w:spacing w:val="1"/>
          <w:sz w:val="22"/>
          <w:szCs w:val="22"/>
        </w:rPr>
      </w:pPr>
      <w:r w:rsidRPr="00E01239">
        <w:rPr>
          <w:rFonts w:asciiTheme="minorHAnsi" w:hAnsiTheme="minorHAnsi" w:cstheme="minorHAnsi"/>
          <w:color w:val="000000"/>
          <w:spacing w:val="3"/>
          <w:sz w:val="22"/>
          <w:szCs w:val="22"/>
        </w:rPr>
        <w:t xml:space="preserve">4°) Une description des risques éventuels pour l'environnement hors du territoire national de </w:t>
      </w:r>
      <w:r w:rsidRPr="00E01239">
        <w:rPr>
          <w:rFonts w:asciiTheme="minorHAnsi" w:hAnsiTheme="minorHAnsi" w:cstheme="minorHAnsi"/>
          <w:color w:val="000000"/>
          <w:spacing w:val="1"/>
          <w:sz w:val="22"/>
          <w:szCs w:val="22"/>
        </w:rPr>
        <w:t>l'activité projetée.</w:t>
      </w:r>
    </w:p>
    <w:p w14:paraId="4D6F2D2F" w14:textId="77777777" w:rsidR="00477A61" w:rsidRPr="00E01239" w:rsidRDefault="00477A61" w:rsidP="00477A61">
      <w:pPr>
        <w:shd w:val="clear" w:color="auto" w:fill="FFFFFF"/>
        <w:ind w:left="19"/>
        <w:jc w:val="both"/>
        <w:rPr>
          <w:rFonts w:asciiTheme="minorHAnsi" w:hAnsiTheme="minorHAnsi" w:cstheme="minorHAnsi"/>
          <w:sz w:val="22"/>
          <w:szCs w:val="22"/>
        </w:rPr>
      </w:pPr>
    </w:p>
    <w:p w14:paraId="3D25366C" w14:textId="77777777" w:rsidR="00477A61" w:rsidRPr="00E01239" w:rsidRDefault="00477A61" w:rsidP="00477A61">
      <w:pPr>
        <w:shd w:val="clear" w:color="auto" w:fill="FFFFFF"/>
        <w:ind w:left="5"/>
        <w:jc w:val="both"/>
        <w:rPr>
          <w:rFonts w:asciiTheme="minorHAnsi" w:hAnsiTheme="minorHAnsi" w:cstheme="minorHAnsi"/>
          <w:color w:val="000000"/>
          <w:spacing w:val="1"/>
          <w:sz w:val="22"/>
          <w:szCs w:val="22"/>
        </w:rPr>
      </w:pPr>
      <w:r w:rsidRPr="00E01239">
        <w:rPr>
          <w:rFonts w:asciiTheme="minorHAnsi" w:hAnsiTheme="minorHAnsi" w:cstheme="minorHAnsi"/>
          <w:color w:val="000000"/>
          <w:spacing w:val="2"/>
          <w:sz w:val="22"/>
          <w:szCs w:val="22"/>
        </w:rPr>
        <w:t xml:space="preserve">5°) Une description des lacunes relatives aux connaissances techniques et scientifiques ainsi que </w:t>
      </w:r>
      <w:r w:rsidRPr="00E01239">
        <w:rPr>
          <w:rFonts w:asciiTheme="minorHAnsi" w:hAnsiTheme="minorHAnsi" w:cstheme="minorHAnsi"/>
          <w:color w:val="000000"/>
          <w:spacing w:val="1"/>
          <w:sz w:val="22"/>
          <w:szCs w:val="22"/>
        </w:rPr>
        <w:t>des incertitudes rencontrées dans la mise au point de l'information nécessaire.</w:t>
      </w:r>
    </w:p>
    <w:p w14:paraId="57A5989C" w14:textId="77777777" w:rsidR="00477A61" w:rsidRPr="00E01239" w:rsidRDefault="00477A61" w:rsidP="00477A61">
      <w:pPr>
        <w:shd w:val="clear" w:color="auto" w:fill="FFFFFF"/>
        <w:ind w:left="5"/>
        <w:jc w:val="both"/>
        <w:rPr>
          <w:rFonts w:asciiTheme="minorHAnsi" w:hAnsiTheme="minorHAnsi" w:cstheme="minorHAnsi"/>
          <w:sz w:val="22"/>
          <w:szCs w:val="22"/>
        </w:rPr>
      </w:pPr>
    </w:p>
    <w:p w14:paraId="06DC8E8A" w14:textId="77777777" w:rsidR="00477A61" w:rsidRPr="00E01239" w:rsidRDefault="00477A61" w:rsidP="00477A61">
      <w:pPr>
        <w:shd w:val="clear" w:color="auto" w:fill="FFFFFF"/>
        <w:jc w:val="both"/>
        <w:rPr>
          <w:rFonts w:asciiTheme="minorHAnsi" w:hAnsiTheme="minorHAnsi" w:cstheme="minorHAnsi"/>
          <w:color w:val="000000"/>
          <w:spacing w:val="-1"/>
          <w:sz w:val="22"/>
          <w:szCs w:val="22"/>
        </w:rPr>
      </w:pPr>
      <w:r w:rsidRPr="00E01239">
        <w:rPr>
          <w:rFonts w:asciiTheme="minorHAnsi" w:hAnsiTheme="minorHAnsi" w:cstheme="minorHAnsi"/>
          <w:color w:val="000000"/>
          <w:spacing w:val="1"/>
          <w:sz w:val="22"/>
          <w:szCs w:val="22"/>
        </w:rPr>
        <w:t xml:space="preserve">6°) Le Plan de gestion environnementale faisant ressortir les mesures nécessaires prévues ou non par le promoteur pour supprimer, réduire et compenser les conséquences dommageables du projet </w:t>
      </w:r>
      <w:r w:rsidRPr="00E01239">
        <w:rPr>
          <w:rFonts w:asciiTheme="minorHAnsi" w:hAnsiTheme="minorHAnsi" w:cstheme="minorHAnsi"/>
          <w:color w:val="000000"/>
          <w:sz w:val="22"/>
          <w:szCs w:val="22"/>
        </w:rPr>
        <w:t xml:space="preserve">sur l'environnement ainsi que l'estimation des dépenses correspondantes. Ce plan doit comprendre </w:t>
      </w:r>
      <w:r w:rsidRPr="00E01239">
        <w:rPr>
          <w:rFonts w:asciiTheme="minorHAnsi" w:hAnsiTheme="minorHAnsi" w:cstheme="minorHAnsi"/>
          <w:color w:val="000000"/>
          <w:spacing w:val="-1"/>
          <w:sz w:val="22"/>
          <w:szCs w:val="22"/>
        </w:rPr>
        <w:t>nécessairement :</w:t>
      </w:r>
    </w:p>
    <w:p w14:paraId="5654ECE5" w14:textId="77777777" w:rsidR="00477A61" w:rsidRPr="00E01239" w:rsidRDefault="00477A61" w:rsidP="00477A61">
      <w:pPr>
        <w:shd w:val="clear" w:color="auto" w:fill="FFFFFF"/>
        <w:jc w:val="both"/>
        <w:rPr>
          <w:rFonts w:asciiTheme="minorHAnsi" w:hAnsiTheme="minorHAnsi" w:cstheme="minorHAnsi"/>
          <w:sz w:val="22"/>
          <w:szCs w:val="22"/>
        </w:rPr>
      </w:pPr>
    </w:p>
    <w:p w14:paraId="1310DFD7" w14:textId="77777777" w:rsidR="00477A61" w:rsidRPr="00E01239" w:rsidRDefault="00477A61" w:rsidP="002A19B3">
      <w:pPr>
        <w:widowControl w:val="0"/>
        <w:numPr>
          <w:ilvl w:val="0"/>
          <w:numId w:val="57"/>
        </w:numPr>
        <w:shd w:val="clear" w:color="auto" w:fill="FFFFFF"/>
        <w:tabs>
          <w:tab w:val="left" w:pos="710"/>
        </w:tabs>
        <w:autoSpaceDE w:val="0"/>
        <w:autoSpaceDN w:val="0"/>
        <w:adjustRightInd w:val="0"/>
        <w:ind w:left="710" w:hanging="341"/>
        <w:rPr>
          <w:rFonts w:asciiTheme="minorHAnsi" w:hAnsiTheme="minorHAnsi" w:cstheme="minorHAnsi"/>
          <w:color w:val="000000"/>
          <w:sz w:val="22"/>
          <w:szCs w:val="22"/>
        </w:rPr>
      </w:pPr>
      <w:r w:rsidRPr="00E01239">
        <w:rPr>
          <w:rFonts w:asciiTheme="minorHAnsi" w:hAnsiTheme="minorHAnsi" w:cstheme="minorHAnsi"/>
          <w:color w:val="000000"/>
          <w:spacing w:val="4"/>
          <w:sz w:val="22"/>
          <w:szCs w:val="22"/>
        </w:rPr>
        <w:t>Une définition précise des mesures prévues par le promoteur pour supprimer, réduire et</w:t>
      </w:r>
      <w:r w:rsidRPr="00E01239">
        <w:rPr>
          <w:rFonts w:asciiTheme="minorHAnsi" w:hAnsiTheme="minorHAnsi" w:cstheme="minorHAnsi"/>
          <w:color w:val="000000"/>
          <w:spacing w:val="4"/>
          <w:sz w:val="22"/>
          <w:szCs w:val="22"/>
        </w:rPr>
        <w:br/>
      </w:r>
      <w:r w:rsidRPr="00E01239">
        <w:rPr>
          <w:rFonts w:asciiTheme="minorHAnsi" w:hAnsiTheme="minorHAnsi" w:cstheme="minorHAnsi"/>
          <w:color w:val="000000"/>
          <w:spacing w:val="2"/>
          <w:sz w:val="22"/>
          <w:szCs w:val="22"/>
        </w:rPr>
        <w:t>compenser les conséquences dommageables du projet sur l'environnement.</w:t>
      </w:r>
    </w:p>
    <w:p w14:paraId="0967FBFF" w14:textId="77777777" w:rsidR="00477A61" w:rsidRPr="00E01239" w:rsidRDefault="00477A61" w:rsidP="002A19B3">
      <w:pPr>
        <w:widowControl w:val="0"/>
        <w:numPr>
          <w:ilvl w:val="0"/>
          <w:numId w:val="57"/>
        </w:numPr>
        <w:shd w:val="clear" w:color="auto" w:fill="FFFFFF"/>
        <w:tabs>
          <w:tab w:val="left" w:pos="710"/>
        </w:tabs>
        <w:autoSpaceDE w:val="0"/>
        <w:autoSpaceDN w:val="0"/>
        <w:adjustRightInd w:val="0"/>
        <w:ind w:left="710" w:hanging="341"/>
        <w:rPr>
          <w:rFonts w:asciiTheme="minorHAnsi" w:hAnsiTheme="minorHAnsi" w:cstheme="minorHAnsi"/>
          <w:color w:val="000000"/>
          <w:sz w:val="22"/>
          <w:szCs w:val="22"/>
        </w:rPr>
      </w:pPr>
      <w:r w:rsidRPr="00E01239">
        <w:rPr>
          <w:rFonts w:asciiTheme="minorHAnsi" w:hAnsiTheme="minorHAnsi" w:cstheme="minorHAnsi"/>
          <w:color w:val="000000"/>
          <w:spacing w:val="4"/>
          <w:sz w:val="22"/>
          <w:szCs w:val="22"/>
        </w:rPr>
        <w:t>Les données chiffrées des dommages et les taux d'émission des polluants dans le milieu</w:t>
      </w:r>
      <w:r w:rsidRPr="00E01239">
        <w:rPr>
          <w:rFonts w:asciiTheme="minorHAnsi" w:hAnsiTheme="minorHAnsi" w:cstheme="minorHAnsi"/>
          <w:color w:val="000000"/>
          <w:spacing w:val="4"/>
          <w:sz w:val="22"/>
          <w:szCs w:val="22"/>
        </w:rPr>
        <w:br/>
      </w:r>
      <w:r w:rsidRPr="00E01239">
        <w:rPr>
          <w:rFonts w:asciiTheme="minorHAnsi" w:hAnsiTheme="minorHAnsi" w:cstheme="minorHAnsi"/>
          <w:color w:val="000000"/>
          <w:spacing w:val="-2"/>
          <w:sz w:val="22"/>
          <w:szCs w:val="22"/>
        </w:rPr>
        <w:t>ambiant.</w:t>
      </w:r>
    </w:p>
    <w:p w14:paraId="753B24A6" w14:textId="77777777" w:rsidR="00477A61" w:rsidRPr="00E01239" w:rsidRDefault="00477A61" w:rsidP="002A19B3">
      <w:pPr>
        <w:widowControl w:val="0"/>
        <w:numPr>
          <w:ilvl w:val="0"/>
          <w:numId w:val="58"/>
        </w:numPr>
        <w:shd w:val="clear" w:color="auto" w:fill="FFFFFF"/>
        <w:tabs>
          <w:tab w:val="left" w:pos="710"/>
        </w:tabs>
        <w:autoSpaceDE w:val="0"/>
        <w:autoSpaceDN w:val="0"/>
        <w:adjustRightInd w:val="0"/>
        <w:ind w:left="370"/>
        <w:rPr>
          <w:rFonts w:asciiTheme="minorHAnsi" w:hAnsiTheme="minorHAnsi" w:cstheme="minorHAnsi"/>
          <w:color w:val="000000"/>
          <w:sz w:val="22"/>
          <w:szCs w:val="22"/>
        </w:rPr>
      </w:pPr>
      <w:r w:rsidRPr="00E01239">
        <w:rPr>
          <w:rFonts w:asciiTheme="minorHAnsi" w:hAnsiTheme="minorHAnsi" w:cstheme="minorHAnsi"/>
          <w:color w:val="000000"/>
          <w:spacing w:val="2"/>
          <w:sz w:val="22"/>
          <w:szCs w:val="22"/>
        </w:rPr>
        <w:t>Le planning d'exécution.</w:t>
      </w:r>
    </w:p>
    <w:p w14:paraId="78F9EB4A" w14:textId="77777777" w:rsidR="00477A61" w:rsidRPr="00E01239" w:rsidRDefault="00477A61" w:rsidP="002A19B3">
      <w:pPr>
        <w:widowControl w:val="0"/>
        <w:numPr>
          <w:ilvl w:val="0"/>
          <w:numId w:val="58"/>
        </w:numPr>
        <w:shd w:val="clear" w:color="auto" w:fill="FFFFFF"/>
        <w:tabs>
          <w:tab w:val="left" w:pos="710"/>
        </w:tabs>
        <w:autoSpaceDE w:val="0"/>
        <w:autoSpaceDN w:val="0"/>
        <w:adjustRightInd w:val="0"/>
        <w:ind w:left="370"/>
        <w:rPr>
          <w:rFonts w:asciiTheme="minorHAnsi" w:hAnsiTheme="minorHAnsi" w:cstheme="minorHAnsi"/>
          <w:color w:val="000000"/>
          <w:sz w:val="22"/>
          <w:szCs w:val="22"/>
        </w:rPr>
      </w:pPr>
      <w:r w:rsidRPr="00E01239">
        <w:rPr>
          <w:rFonts w:asciiTheme="minorHAnsi" w:hAnsiTheme="minorHAnsi" w:cstheme="minorHAnsi"/>
          <w:color w:val="000000"/>
          <w:sz w:val="22"/>
          <w:szCs w:val="22"/>
        </w:rPr>
        <w:t>Une estimation des dépenses.</w:t>
      </w:r>
    </w:p>
    <w:p w14:paraId="26C460CF" w14:textId="77777777" w:rsidR="00477A61" w:rsidRPr="00E01239" w:rsidRDefault="00477A61" w:rsidP="002A19B3">
      <w:pPr>
        <w:widowControl w:val="0"/>
        <w:numPr>
          <w:ilvl w:val="0"/>
          <w:numId w:val="58"/>
        </w:numPr>
        <w:shd w:val="clear" w:color="auto" w:fill="FFFFFF"/>
        <w:tabs>
          <w:tab w:val="left" w:pos="710"/>
        </w:tabs>
        <w:autoSpaceDE w:val="0"/>
        <w:autoSpaceDN w:val="0"/>
        <w:adjustRightInd w:val="0"/>
        <w:ind w:left="370"/>
        <w:rPr>
          <w:rFonts w:asciiTheme="minorHAnsi" w:hAnsiTheme="minorHAnsi" w:cstheme="minorHAnsi"/>
          <w:sz w:val="22"/>
          <w:szCs w:val="22"/>
        </w:rPr>
      </w:pPr>
      <w:r w:rsidRPr="00E01239">
        <w:rPr>
          <w:rFonts w:asciiTheme="minorHAnsi" w:hAnsiTheme="minorHAnsi" w:cstheme="minorHAnsi"/>
          <w:color w:val="000000"/>
          <w:sz w:val="22"/>
          <w:szCs w:val="22"/>
        </w:rPr>
        <w:t xml:space="preserve">Une indication chiffrée des résultats attendus en termes de taux de pollution ou de seuil de </w:t>
      </w:r>
      <w:r w:rsidRPr="00E01239">
        <w:rPr>
          <w:rFonts w:asciiTheme="minorHAnsi" w:hAnsiTheme="minorHAnsi" w:cstheme="minorHAnsi"/>
          <w:color w:val="000000"/>
          <w:spacing w:val="5"/>
          <w:sz w:val="22"/>
          <w:szCs w:val="22"/>
        </w:rPr>
        <w:t xml:space="preserve">nuisance et parallèlement les normes légales ou les pratiques admises dans des cas </w:t>
      </w:r>
      <w:r w:rsidRPr="00E01239">
        <w:rPr>
          <w:rFonts w:asciiTheme="minorHAnsi" w:hAnsiTheme="minorHAnsi" w:cstheme="minorHAnsi"/>
          <w:color w:val="000000"/>
          <w:spacing w:val="-2"/>
          <w:sz w:val="22"/>
          <w:szCs w:val="22"/>
        </w:rPr>
        <w:t>semblables.</w:t>
      </w:r>
    </w:p>
    <w:p w14:paraId="56C2A077" w14:textId="77777777" w:rsidR="00477A61" w:rsidRPr="00E01239" w:rsidRDefault="00477A61" w:rsidP="00477A61">
      <w:pPr>
        <w:shd w:val="clear" w:color="auto" w:fill="FFFFFF"/>
        <w:tabs>
          <w:tab w:val="left" w:pos="9072"/>
        </w:tabs>
        <w:ind w:right="64"/>
        <w:jc w:val="both"/>
        <w:rPr>
          <w:rFonts w:asciiTheme="minorHAnsi" w:hAnsiTheme="minorHAnsi" w:cstheme="minorHAnsi"/>
          <w:color w:val="000000"/>
          <w:spacing w:val="2"/>
          <w:sz w:val="22"/>
          <w:szCs w:val="22"/>
        </w:rPr>
      </w:pPr>
      <w:r w:rsidRPr="00E01239">
        <w:rPr>
          <w:rFonts w:asciiTheme="minorHAnsi" w:hAnsiTheme="minorHAnsi" w:cstheme="minorHAnsi"/>
          <w:color w:val="000000"/>
          <w:spacing w:val="3"/>
          <w:sz w:val="22"/>
          <w:szCs w:val="22"/>
        </w:rPr>
        <w:t xml:space="preserve">Ce Plan de Gestion de l'Environnement doit faire l'objet, annuellement, d'une déclaration de la </w:t>
      </w:r>
      <w:r w:rsidRPr="00E01239">
        <w:rPr>
          <w:rFonts w:asciiTheme="minorHAnsi" w:hAnsiTheme="minorHAnsi" w:cstheme="minorHAnsi"/>
          <w:color w:val="000000"/>
          <w:spacing w:val="2"/>
          <w:sz w:val="22"/>
          <w:szCs w:val="22"/>
        </w:rPr>
        <w:t xml:space="preserve">part du promoteur. Cette déclaration doit porter sur le fonctionnement du Plan, les audits internes </w:t>
      </w:r>
      <w:r w:rsidRPr="00E01239">
        <w:rPr>
          <w:rFonts w:asciiTheme="minorHAnsi" w:hAnsiTheme="minorHAnsi" w:cstheme="minorHAnsi"/>
          <w:color w:val="000000"/>
          <w:sz w:val="22"/>
          <w:szCs w:val="22"/>
        </w:rPr>
        <w:t xml:space="preserve">et les actions correctives entreprises ou qui seront entreprises en vue de parfaire ledit Plan. Cette </w:t>
      </w:r>
      <w:r w:rsidRPr="00E01239">
        <w:rPr>
          <w:rFonts w:asciiTheme="minorHAnsi" w:hAnsiTheme="minorHAnsi" w:cstheme="minorHAnsi"/>
          <w:color w:val="000000"/>
          <w:spacing w:val="1"/>
          <w:sz w:val="22"/>
          <w:szCs w:val="22"/>
        </w:rPr>
        <w:t xml:space="preserve">déclaration est soumise à l'approbation du Ministre chargé de l'Environnement qui fait part des </w:t>
      </w:r>
      <w:r w:rsidRPr="00E01239">
        <w:rPr>
          <w:rFonts w:asciiTheme="minorHAnsi" w:hAnsiTheme="minorHAnsi" w:cstheme="minorHAnsi"/>
          <w:color w:val="000000"/>
          <w:spacing w:val="2"/>
          <w:sz w:val="22"/>
          <w:szCs w:val="22"/>
        </w:rPr>
        <w:t>résultats au Ministre concerné par l'activité.</w:t>
      </w:r>
    </w:p>
    <w:p w14:paraId="0392E913" w14:textId="77777777" w:rsidR="00477A61" w:rsidRPr="00E01239" w:rsidRDefault="00477A61" w:rsidP="00477A61">
      <w:pPr>
        <w:shd w:val="clear" w:color="auto" w:fill="FFFFFF"/>
        <w:tabs>
          <w:tab w:val="left" w:pos="9072"/>
        </w:tabs>
        <w:ind w:right="64"/>
        <w:jc w:val="both"/>
        <w:rPr>
          <w:rFonts w:asciiTheme="minorHAnsi" w:hAnsiTheme="minorHAnsi" w:cstheme="minorHAnsi"/>
          <w:sz w:val="22"/>
          <w:szCs w:val="22"/>
        </w:rPr>
      </w:pPr>
    </w:p>
    <w:p w14:paraId="36042A56" w14:textId="77777777" w:rsidR="00477A61" w:rsidRPr="00E01239" w:rsidRDefault="00477A61" w:rsidP="00477A61">
      <w:pPr>
        <w:shd w:val="clear" w:color="auto" w:fill="FFFFFF"/>
        <w:tabs>
          <w:tab w:val="left" w:pos="9072"/>
        </w:tabs>
        <w:ind w:right="64"/>
        <w:jc w:val="both"/>
        <w:rPr>
          <w:rFonts w:asciiTheme="minorHAnsi" w:hAnsiTheme="minorHAnsi" w:cstheme="minorHAnsi"/>
          <w:color w:val="000000"/>
          <w:sz w:val="22"/>
          <w:szCs w:val="22"/>
        </w:rPr>
      </w:pPr>
      <w:r w:rsidRPr="00E01239">
        <w:rPr>
          <w:rFonts w:asciiTheme="minorHAnsi" w:hAnsiTheme="minorHAnsi" w:cstheme="minorHAnsi"/>
          <w:color w:val="000000"/>
          <w:spacing w:val="1"/>
          <w:sz w:val="22"/>
          <w:szCs w:val="22"/>
        </w:rPr>
        <w:t xml:space="preserve">7°) Un résumé non technique se rapportant aux rubriques précédentes destiné à l'information du </w:t>
      </w:r>
      <w:r w:rsidRPr="00E01239">
        <w:rPr>
          <w:rFonts w:asciiTheme="minorHAnsi" w:hAnsiTheme="minorHAnsi" w:cstheme="minorHAnsi"/>
          <w:color w:val="000000"/>
          <w:sz w:val="22"/>
          <w:szCs w:val="22"/>
        </w:rPr>
        <w:t>public et des décideurs.</w:t>
      </w:r>
    </w:p>
    <w:p w14:paraId="58D8F411" w14:textId="77777777" w:rsidR="00477A61" w:rsidRPr="00E01239" w:rsidRDefault="00477A61" w:rsidP="00477A61">
      <w:pPr>
        <w:shd w:val="clear" w:color="auto" w:fill="FFFFFF"/>
        <w:tabs>
          <w:tab w:val="left" w:pos="9072"/>
        </w:tabs>
        <w:ind w:right="64"/>
        <w:jc w:val="both"/>
        <w:rPr>
          <w:rFonts w:asciiTheme="minorHAnsi" w:hAnsiTheme="minorHAnsi" w:cstheme="minorHAnsi"/>
          <w:sz w:val="22"/>
          <w:szCs w:val="22"/>
        </w:rPr>
      </w:pPr>
    </w:p>
    <w:p w14:paraId="16180D51" w14:textId="77777777" w:rsidR="00477A61" w:rsidRPr="00E01239" w:rsidRDefault="00477A61" w:rsidP="00477A61">
      <w:pPr>
        <w:shd w:val="clear" w:color="auto" w:fill="FFFFFF"/>
        <w:tabs>
          <w:tab w:val="left" w:pos="9072"/>
        </w:tabs>
        <w:ind w:right="64"/>
        <w:jc w:val="both"/>
        <w:rPr>
          <w:rFonts w:asciiTheme="minorHAnsi" w:hAnsiTheme="minorHAnsi" w:cstheme="minorHAnsi"/>
          <w:sz w:val="22"/>
          <w:szCs w:val="22"/>
        </w:rPr>
      </w:pPr>
      <w:r w:rsidRPr="00E01239">
        <w:rPr>
          <w:rFonts w:asciiTheme="minorHAnsi" w:hAnsiTheme="minorHAnsi" w:cstheme="minorHAnsi"/>
          <w:color w:val="000000"/>
          <w:spacing w:val="1"/>
          <w:sz w:val="22"/>
          <w:szCs w:val="22"/>
        </w:rPr>
        <w:t xml:space="preserve">8°) Pour l'autorisation de certaines activités, un Plan de réhabilitation du Site doit être élaboré. Ce </w:t>
      </w:r>
      <w:r w:rsidRPr="00E01239">
        <w:rPr>
          <w:rFonts w:asciiTheme="minorHAnsi" w:hAnsiTheme="minorHAnsi" w:cstheme="minorHAnsi"/>
          <w:color w:val="000000"/>
          <w:spacing w:val="5"/>
          <w:sz w:val="22"/>
          <w:szCs w:val="22"/>
        </w:rPr>
        <w:t xml:space="preserve">Plan doit prévoir, à l'appui d'une garantie financière auprès d'une banque représentée sur le </w:t>
      </w:r>
      <w:r w:rsidRPr="00E01239">
        <w:rPr>
          <w:rFonts w:asciiTheme="minorHAnsi" w:hAnsiTheme="minorHAnsi" w:cstheme="minorHAnsi"/>
          <w:color w:val="000000"/>
          <w:sz w:val="22"/>
          <w:szCs w:val="22"/>
        </w:rPr>
        <w:t xml:space="preserve">territoire comorien, les modalités de la remise en état et les éventuels aménagements spéciaux </w:t>
      </w:r>
      <w:r w:rsidRPr="00E01239">
        <w:rPr>
          <w:rFonts w:asciiTheme="minorHAnsi" w:hAnsiTheme="minorHAnsi" w:cstheme="minorHAnsi"/>
          <w:color w:val="000000"/>
          <w:sz w:val="22"/>
          <w:szCs w:val="22"/>
        </w:rPr>
        <w:lastRenderedPageBreak/>
        <w:t>ultérieurs à l'activité ainsi que les dommages engendrés par un accident environnemental en cas de défaillance technique ou de négligence du promoteur. Cette remise en état peut être envisagée soit au fur et à mesure des travaux soit en fin de projet. Ces activités sont :</w:t>
      </w:r>
    </w:p>
    <w:p w14:paraId="33C38770" w14:textId="77777777" w:rsidR="00477A61" w:rsidRPr="00E01239" w:rsidRDefault="00477A61" w:rsidP="00027669">
      <w:pPr>
        <w:widowControl w:val="0"/>
        <w:numPr>
          <w:ilvl w:val="0"/>
          <w:numId w:val="103"/>
        </w:numPr>
        <w:shd w:val="clear" w:color="auto" w:fill="FFFFFF"/>
        <w:tabs>
          <w:tab w:val="left" w:pos="734"/>
          <w:tab w:val="left" w:pos="9072"/>
        </w:tabs>
        <w:autoSpaceDE w:val="0"/>
        <w:autoSpaceDN w:val="0"/>
        <w:adjustRightInd w:val="0"/>
        <w:ind w:left="360" w:right="64" w:hanging="360"/>
        <w:rPr>
          <w:rFonts w:asciiTheme="minorHAnsi" w:hAnsiTheme="minorHAnsi" w:cstheme="minorHAnsi"/>
          <w:color w:val="000000"/>
          <w:sz w:val="22"/>
          <w:szCs w:val="22"/>
        </w:rPr>
      </w:pPr>
      <w:r w:rsidRPr="00E01239">
        <w:rPr>
          <w:rFonts w:asciiTheme="minorHAnsi" w:hAnsiTheme="minorHAnsi" w:cstheme="minorHAnsi"/>
          <w:color w:val="000000"/>
          <w:spacing w:val="1"/>
          <w:sz w:val="22"/>
          <w:szCs w:val="22"/>
        </w:rPr>
        <w:t>La construction et/ou ouverture d'un Site d'élimination des déchets ménagers.</w:t>
      </w:r>
    </w:p>
    <w:p w14:paraId="6F2F9133" w14:textId="77777777" w:rsidR="00477A61" w:rsidRPr="00E01239" w:rsidRDefault="00477A61" w:rsidP="00027669">
      <w:pPr>
        <w:widowControl w:val="0"/>
        <w:numPr>
          <w:ilvl w:val="0"/>
          <w:numId w:val="103"/>
        </w:numPr>
        <w:shd w:val="clear" w:color="auto" w:fill="FFFFFF"/>
        <w:tabs>
          <w:tab w:val="left" w:pos="734"/>
          <w:tab w:val="left" w:pos="9072"/>
        </w:tabs>
        <w:autoSpaceDE w:val="0"/>
        <w:autoSpaceDN w:val="0"/>
        <w:adjustRightInd w:val="0"/>
        <w:ind w:left="360" w:right="64" w:hanging="360"/>
        <w:rPr>
          <w:rFonts w:asciiTheme="minorHAnsi" w:hAnsiTheme="minorHAnsi" w:cstheme="minorHAnsi"/>
          <w:color w:val="000000"/>
          <w:sz w:val="22"/>
          <w:szCs w:val="22"/>
        </w:rPr>
      </w:pPr>
      <w:r w:rsidRPr="00E01239">
        <w:rPr>
          <w:rFonts w:asciiTheme="minorHAnsi" w:hAnsiTheme="minorHAnsi" w:cstheme="minorHAnsi"/>
          <w:color w:val="000000"/>
          <w:spacing w:val="1"/>
          <w:sz w:val="22"/>
          <w:szCs w:val="22"/>
        </w:rPr>
        <w:t>La construction et/ou ouverture d'un Site d'élimination des déchets dangereux.</w:t>
      </w:r>
    </w:p>
    <w:p w14:paraId="0EE2569A" w14:textId="77777777" w:rsidR="00477A61" w:rsidRPr="00E01239" w:rsidRDefault="00477A61" w:rsidP="00027669">
      <w:pPr>
        <w:widowControl w:val="0"/>
        <w:numPr>
          <w:ilvl w:val="0"/>
          <w:numId w:val="103"/>
        </w:numPr>
        <w:shd w:val="clear" w:color="auto" w:fill="FFFFFF"/>
        <w:tabs>
          <w:tab w:val="left" w:pos="734"/>
          <w:tab w:val="left" w:pos="9072"/>
        </w:tabs>
        <w:autoSpaceDE w:val="0"/>
        <w:autoSpaceDN w:val="0"/>
        <w:adjustRightInd w:val="0"/>
        <w:ind w:left="360" w:right="64" w:hanging="360"/>
        <w:rPr>
          <w:rFonts w:asciiTheme="minorHAnsi" w:hAnsiTheme="minorHAnsi" w:cstheme="minorHAnsi"/>
          <w:color w:val="000000"/>
          <w:sz w:val="22"/>
          <w:szCs w:val="22"/>
        </w:rPr>
      </w:pPr>
      <w:proofErr w:type="gramStart"/>
      <w:r w:rsidRPr="00E01239">
        <w:rPr>
          <w:rFonts w:asciiTheme="minorHAnsi" w:hAnsiTheme="minorHAnsi" w:cstheme="minorHAnsi"/>
          <w:color w:val="000000"/>
          <w:spacing w:val="5"/>
          <w:sz w:val="22"/>
          <w:szCs w:val="22"/>
        </w:rPr>
        <w:t>La  construction</w:t>
      </w:r>
      <w:proofErr w:type="gramEnd"/>
      <w:r w:rsidRPr="00E01239">
        <w:rPr>
          <w:rFonts w:asciiTheme="minorHAnsi" w:hAnsiTheme="minorHAnsi" w:cstheme="minorHAnsi"/>
          <w:color w:val="000000"/>
          <w:spacing w:val="5"/>
          <w:sz w:val="22"/>
          <w:szCs w:val="22"/>
        </w:rPr>
        <w:t xml:space="preserve">  et/ou  ouverture  de  centres  d'enfouissement  technique  des  déchets</w:t>
      </w:r>
      <w:r w:rsidRPr="00E01239">
        <w:rPr>
          <w:rFonts w:asciiTheme="minorHAnsi" w:hAnsiTheme="minorHAnsi" w:cstheme="minorHAnsi"/>
          <w:color w:val="000000"/>
          <w:spacing w:val="5"/>
          <w:sz w:val="22"/>
          <w:szCs w:val="22"/>
        </w:rPr>
        <w:br/>
      </w:r>
      <w:r w:rsidRPr="00E01239">
        <w:rPr>
          <w:rFonts w:asciiTheme="minorHAnsi" w:hAnsiTheme="minorHAnsi" w:cstheme="minorHAnsi"/>
          <w:color w:val="000000"/>
          <w:spacing w:val="-1"/>
          <w:sz w:val="22"/>
          <w:szCs w:val="22"/>
        </w:rPr>
        <w:t>dangereux.</w:t>
      </w:r>
    </w:p>
    <w:p w14:paraId="1C211C34" w14:textId="77777777" w:rsidR="00477A61" w:rsidRPr="00E01239" w:rsidRDefault="00477A61" w:rsidP="00477A61">
      <w:pPr>
        <w:shd w:val="clear" w:color="auto" w:fill="FFFFFF"/>
        <w:tabs>
          <w:tab w:val="left" w:pos="9072"/>
        </w:tabs>
        <w:ind w:right="64"/>
        <w:rPr>
          <w:rFonts w:asciiTheme="minorHAnsi" w:hAnsiTheme="minorHAnsi" w:cstheme="minorHAnsi"/>
          <w:sz w:val="22"/>
          <w:szCs w:val="22"/>
        </w:rPr>
      </w:pPr>
      <w:r w:rsidRPr="00E01239">
        <w:rPr>
          <w:rFonts w:asciiTheme="minorHAnsi" w:hAnsiTheme="minorHAnsi" w:cstheme="minorHAnsi"/>
          <w:color w:val="000000"/>
          <w:sz w:val="22"/>
          <w:szCs w:val="22"/>
        </w:rPr>
        <w:t>La construction et/ou ouverture de Fabrique de produits chimiques.</w:t>
      </w:r>
    </w:p>
    <w:p w14:paraId="3D43AA97" w14:textId="77777777" w:rsidR="00477A61" w:rsidRPr="00E01239" w:rsidRDefault="00477A61" w:rsidP="00027669">
      <w:pPr>
        <w:widowControl w:val="0"/>
        <w:numPr>
          <w:ilvl w:val="0"/>
          <w:numId w:val="103"/>
        </w:numPr>
        <w:shd w:val="clear" w:color="auto" w:fill="FFFFFF"/>
        <w:tabs>
          <w:tab w:val="left" w:pos="734"/>
          <w:tab w:val="left" w:pos="9072"/>
        </w:tabs>
        <w:autoSpaceDE w:val="0"/>
        <w:autoSpaceDN w:val="0"/>
        <w:adjustRightInd w:val="0"/>
        <w:ind w:left="360" w:right="64" w:hanging="360"/>
        <w:rPr>
          <w:rFonts w:asciiTheme="minorHAnsi" w:hAnsiTheme="minorHAnsi" w:cstheme="minorHAnsi"/>
          <w:color w:val="000000"/>
          <w:sz w:val="22"/>
          <w:szCs w:val="22"/>
        </w:rPr>
      </w:pPr>
      <w:r w:rsidRPr="00E01239">
        <w:rPr>
          <w:rFonts w:asciiTheme="minorHAnsi" w:hAnsiTheme="minorHAnsi" w:cstheme="minorHAnsi"/>
          <w:color w:val="000000"/>
          <w:spacing w:val="2"/>
          <w:sz w:val="22"/>
          <w:szCs w:val="22"/>
        </w:rPr>
        <w:t>Exploitation des mines et des carrières à grande échelle et lorsqu'elles sont situées dans la</w:t>
      </w:r>
      <w:r w:rsidRPr="00E01239">
        <w:rPr>
          <w:rFonts w:asciiTheme="minorHAnsi" w:hAnsiTheme="minorHAnsi" w:cstheme="minorHAnsi"/>
          <w:color w:val="000000"/>
          <w:spacing w:val="2"/>
          <w:sz w:val="22"/>
          <w:szCs w:val="22"/>
        </w:rPr>
        <w:br/>
      </w:r>
      <w:r w:rsidRPr="00E01239">
        <w:rPr>
          <w:rFonts w:asciiTheme="minorHAnsi" w:hAnsiTheme="minorHAnsi" w:cstheme="minorHAnsi"/>
          <w:color w:val="000000"/>
          <w:spacing w:val="1"/>
          <w:sz w:val="22"/>
          <w:szCs w:val="22"/>
        </w:rPr>
        <w:t xml:space="preserve">mer territoriale, </w:t>
      </w:r>
      <w:proofErr w:type="gramStart"/>
      <w:r w:rsidRPr="00E01239">
        <w:rPr>
          <w:rFonts w:asciiTheme="minorHAnsi" w:hAnsiTheme="minorHAnsi" w:cstheme="minorHAnsi"/>
          <w:color w:val="000000"/>
          <w:spacing w:val="1"/>
          <w:sz w:val="22"/>
          <w:szCs w:val="22"/>
        </w:rPr>
        <w:t>la plateau continental</w:t>
      </w:r>
      <w:proofErr w:type="gramEnd"/>
      <w:r w:rsidRPr="00E01239">
        <w:rPr>
          <w:rFonts w:asciiTheme="minorHAnsi" w:hAnsiTheme="minorHAnsi" w:cstheme="minorHAnsi"/>
          <w:color w:val="000000"/>
          <w:spacing w:val="1"/>
          <w:sz w:val="22"/>
          <w:szCs w:val="22"/>
        </w:rPr>
        <w:t xml:space="preserve"> ou la zone économique exclusive, l'exploitation des</w:t>
      </w:r>
      <w:r w:rsidRPr="00E01239">
        <w:rPr>
          <w:rFonts w:asciiTheme="minorHAnsi" w:hAnsiTheme="minorHAnsi" w:cstheme="minorHAnsi"/>
          <w:color w:val="000000"/>
          <w:spacing w:val="1"/>
          <w:sz w:val="22"/>
          <w:szCs w:val="22"/>
        </w:rPr>
        <w:br/>
      </w:r>
      <w:r w:rsidRPr="00E01239">
        <w:rPr>
          <w:rFonts w:asciiTheme="minorHAnsi" w:hAnsiTheme="minorHAnsi" w:cstheme="minorHAnsi"/>
          <w:color w:val="000000"/>
          <w:sz w:val="22"/>
          <w:szCs w:val="22"/>
        </w:rPr>
        <w:t>petites mines et des carrières artisanales.</w:t>
      </w:r>
    </w:p>
    <w:p w14:paraId="67F4496E" w14:textId="77777777" w:rsidR="00477A61" w:rsidRPr="00E01239" w:rsidRDefault="00477A61" w:rsidP="00027669">
      <w:pPr>
        <w:widowControl w:val="0"/>
        <w:numPr>
          <w:ilvl w:val="0"/>
          <w:numId w:val="103"/>
        </w:numPr>
        <w:shd w:val="clear" w:color="auto" w:fill="FFFFFF"/>
        <w:tabs>
          <w:tab w:val="left" w:pos="734"/>
          <w:tab w:val="left" w:pos="9072"/>
        </w:tabs>
        <w:autoSpaceDE w:val="0"/>
        <w:autoSpaceDN w:val="0"/>
        <w:adjustRightInd w:val="0"/>
        <w:ind w:left="360" w:right="64" w:hanging="360"/>
        <w:rPr>
          <w:rFonts w:asciiTheme="minorHAnsi" w:hAnsiTheme="minorHAnsi" w:cstheme="minorHAnsi"/>
          <w:color w:val="000000"/>
          <w:sz w:val="22"/>
          <w:szCs w:val="22"/>
        </w:rPr>
      </w:pPr>
      <w:r w:rsidRPr="00E01239">
        <w:rPr>
          <w:rFonts w:asciiTheme="minorHAnsi" w:hAnsiTheme="minorHAnsi" w:cstheme="minorHAnsi"/>
          <w:color w:val="000000"/>
          <w:sz w:val="22"/>
          <w:szCs w:val="22"/>
        </w:rPr>
        <w:t>Pétrole (voir contrat de partage).</w:t>
      </w:r>
    </w:p>
    <w:p w14:paraId="21B1F45A" w14:textId="77777777" w:rsidR="00477A61" w:rsidRPr="00E01239" w:rsidRDefault="00477A61" w:rsidP="00477A61">
      <w:pPr>
        <w:shd w:val="clear" w:color="auto" w:fill="FFFFFF"/>
        <w:tabs>
          <w:tab w:val="left" w:pos="9072"/>
        </w:tabs>
        <w:ind w:right="64"/>
        <w:jc w:val="both"/>
        <w:rPr>
          <w:rFonts w:asciiTheme="minorHAnsi" w:hAnsiTheme="minorHAnsi" w:cstheme="minorHAnsi"/>
          <w:sz w:val="22"/>
          <w:szCs w:val="22"/>
        </w:rPr>
      </w:pPr>
      <w:r w:rsidRPr="00E01239">
        <w:rPr>
          <w:rFonts w:asciiTheme="minorHAnsi" w:hAnsiTheme="minorHAnsi" w:cstheme="minorHAnsi"/>
          <w:color w:val="000000"/>
          <w:sz w:val="22"/>
          <w:szCs w:val="22"/>
        </w:rPr>
        <w:t>La liste de ces activités peut être allongée par arrêté du Ministre chargé de l'Environnement et des Ministres concernés.</w:t>
      </w:r>
    </w:p>
    <w:p w14:paraId="42F7F00B" w14:textId="77777777" w:rsidR="00477A61" w:rsidRPr="00E01239" w:rsidRDefault="00477A61" w:rsidP="00477A61">
      <w:pPr>
        <w:shd w:val="clear" w:color="auto" w:fill="FFFFFF"/>
        <w:tabs>
          <w:tab w:val="left" w:pos="9072"/>
        </w:tabs>
        <w:ind w:right="64"/>
        <w:jc w:val="both"/>
        <w:rPr>
          <w:rFonts w:asciiTheme="minorHAnsi" w:hAnsiTheme="minorHAnsi" w:cstheme="minorHAnsi"/>
          <w:sz w:val="22"/>
          <w:szCs w:val="22"/>
        </w:rPr>
      </w:pPr>
      <w:r w:rsidRPr="00E01239">
        <w:rPr>
          <w:rFonts w:asciiTheme="minorHAnsi" w:hAnsiTheme="minorHAnsi" w:cstheme="minorHAnsi"/>
          <w:color w:val="000000"/>
          <w:spacing w:val="2"/>
          <w:sz w:val="22"/>
          <w:szCs w:val="22"/>
        </w:rPr>
        <w:t xml:space="preserve">Le rapport d'étude d'impact sur l'environnement doit être traduit en français et présenté selon un </w:t>
      </w:r>
      <w:r w:rsidRPr="00E01239">
        <w:rPr>
          <w:rFonts w:asciiTheme="minorHAnsi" w:hAnsiTheme="minorHAnsi" w:cstheme="minorHAnsi"/>
          <w:color w:val="000000"/>
          <w:sz w:val="22"/>
          <w:szCs w:val="22"/>
        </w:rPr>
        <w:t>plan dont le modèle figure en Annexe II au présent décret.</w:t>
      </w:r>
    </w:p>
    <w:p w14:paraId="3CC0BD8C" w14:textId="77777777" w:rsidR="00477A61" w:rsidRPr="00E01239" w:rsidRDefault="00477A61" w:rsidP="00477A61">
      <w:pPr>
        <w:shd w:val="clear" w:color="auto" w:fill="FFFFFF"/>
        <w:tabs>
          <w:tab w:val="left" w:pos="9072"/>
        </w:tabs>
        <w:ind w:right="64"/>
        <w:jc w:val="both"/>
        <w:rPr>
          <w:rFonts w:asciiTheme="minorHAnsi" w:hAnsiTheme="minorHAnsi" w:cstheme="minorHAnsi"/>
          <w:sz w:val="22"/>
          <w:szCs w:val="22"/>
        </w:rPr>
      </w:pPr>
      <w:r w:rsidRPr="00E01239">
        <w:rPr>
          <w:rFonts w:asciiTheme="minorHAnsi" w:hAnsiTheme="minorHAnsi" w:cstheme="minorHAnsi"/>
          <w:color w:val="000000"/>
          <w:spacing w:val="1"/>
          <w:sz w:val="22"/>
          <w:szCs w:val="22"/>
        </w:rPr>
        <w:t xml:space="preserve">Un arrêté conjoint du Ministre chargé de l'Environnement et du Ministre compétent peut instituer </w:t>
      </w:r>
      <w:r w:rsidRPr="00E01239">
        <w:rPr>
          <w:rFonts w:asciiTheme="minorHAnsi" w:hAnsiTheme="minorHAnsi" w:cstheme="minorHAnsi"/>
          <w:color w:val="000000"/>
          <w:sz w:val="22"/>
          <w:szCs w:val="22"/>
        </w:rPr>
        <w:t>un plan spécifique pour certains travaux ou opérations si nécessaire.</w:t>
      </w:r>
    </w:p>
    <w:p w14:paraId="49347EBF" w14:textId="77777777" w:rsidR="00477A61" w:rsidRPr="00E01239" w:rsidRDefault="00477A61" w:rsidP="00477A61">
      <w:pPr>
        <w:jc w:val="both"/>
        <w:rPr>
          <w:rFonts w:asciiTheme="minorHAnsi" w:hAnsiTheme="minorHAnsi" w:cstheme="minorHAnsi"/>
          <w:sz w:val="22"/>
          <w:szCs w:val="22"/>
        </w:rPr>
      </w:pPr>
    </w:p>
    <w:p w14:paraId="7DEF4BE3" w14:textId="77777777" w:rsidR="00477A61" w:rsidRPr="00E01239" w:rsidRDefault="00477A61" w:rsidP="00477A61">
      <w:pPr>
        <w:jc w:val="both"/>
        <w:rPr>
          <w:rFonts w:asciiTheme="minorHAnsi" w:hAnsiTheme="minorHAnsi" w:cstheme="minorHAnsi"/>
          <w:b/>
          <w:sz w:val="22"/>
          <w:szCs w:val="22"/>
        </w:rPr>
      </w:pPr>
      <w:r w:rsidRPr="00E01239">
        <w:rPr>
          <w:rFonts w:asciiTheme="minorHAnsi" w:hAnsiTheme="minorHAnsi" w:cstheme="minorHAnsi"/>
          <w:b/>
          <w:sz w:val="22"/>
          <w:szCs w:val="22"/>
        </w:rPr>
        <w:t>V. Profil du consultant</w:t>
      </w:r>
    </w:p>
    <w:p w14:paraId="603F2FE2"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 xml:space="preserve">Le consultant doit disposer d’une forte expérience en évaluation environnementale de projets.  </w:t>
      </w:r>
    </w:p>
    <w:p w14:paraId="731CEB02" w14:textId="77777777" w:rsidR="00477A61" w:rsidRPr="00E01239" w:rsidRDefault="00477A61" w:rsidP="00477A61">
      <w:pPr>
        <w:jc w:val="both"/>
        <w:rPr>
          <w:rFonts w:asciiTheme="minorHAnsi" w:hAnsiTheme="minorHAnsi" w:cstheme="minorHAnsi"/>
          <w:sz w:val="22"/>
          <w:szCs w:val="22"/>
        </w:rPr>
      </w:pPr>
    </w:p>
    <w:p w14:paraId="377099DF" w14:textId="77777777" w:rsidR="00477A61" w:rsidRPr="00E01239" w:rsidRDefault="00477A61" w:rsidP="00477A61">
      <w:pPr>
        <w:jc w:val="both"/>
        <w:rPr>
          <w:rFonts w:asciiTheme="minorHAnsi" w:hAnsiTheme="minorHAnsi" w:cstheme="minorHAnsi"/>
          <w:b/>
          <w:sz w:val="22"/>
          <w:szCs w:val="22"/>
        </w:rPr>
      </w:pPr>
      <w:r w:rsidRPr="00E01239">
        <w:rPr>
          <w:rFonts w:asciiTheme="minorHAnsi" w:hAnsiTheme="minorHAnsi" w:cstheme="minorHAnsi"/>
          <w:b/>
          <w:sz w:val="22"/>
          <w:szCs w:val="22"/>
        </w:rPr>
        <w:t xml:space="preserve">VI. Durée du travail et spécialisation </w:t>
      </w:r>
    </w:p>
    <w:p w14:paraId="75CBDA72" w14:textId="77777777" w:rsidR="00477A61" w:rsidRPr="00E01239" w:rsidRDefault="00477A61" w:rsidP="00477A61">
      <w:pPr>
        <w:jc w:val="both"/>
        <w:rPr>
          <w:rFonts w:asciiTheme="minorHAnsi" w:hAnsiTheme="minorHAnsi" w:cstheme="minorHAnsi"/>
          <w:sz w:val="22"/>
          <w:szCs w:val="22"/>
        </w:rPr>
      </w:pPr>
      <w:r w:rsidRPr="00E01239">
        <w:rPr>
          <w:rFonts w:asciiTheme="minorHAnsi" w:hAnsiTheme="minorHAnsi" w:cstheme="minorHAnsi"/>
          <w:sz w:val="22"/>
          <w:szCs w:val="22"/>
        </w:rPr>
        <w:t>La durée de l’étude sera déterminée en fonction du type de sous-projet.</w:t>
      </w:r>
    </w:p>
    <w:p w14:paraId="288850D6" w14:textId="77777777" w:rsidR="00477A61" w:rsidRPr="00E01239" w:rsidRDefault="00477A61" w:rsidP="00477A61">
      <w:pPr>
        <w:tabs>
          <w:tab w:val="left" w:pos="1193"/>
        </w:tabs>
        <w:rPr>
          <w:rFonts w:asciiTheme="minorHAnsi" w:hAnsiTheme="minorHAnsi" w:cstheme="minorHAnsi"/>
          <w:sz w:val="22"/>
          <w:szCs w:val="22"/>
        </w:rPr>
        <w:sectPr w:rsidR="00477A61" w:rsidRPr="00E01239" w:rsidSect="00A304E9">
          <w:pgSz w:w="11907" w:h="16840" w:code="9"/>
          <w:pgMar w:top="1418" w:right="1418" w:bottom="1418" w:left="1418" w:header="709" w:footer="709" w:gutter="0"/>
          <w:cols w:space="708"/>
          <w:docGrid w:linePitch="360"/>
        </w:sectPr>
      </w:pPr>
    </w:p>
    <w:p w14:paraId="1091DA51" w14:textId="77777777" w:rsidR="00477A61" w:rsidRPr="00E01239" w:rsidRDefault="00477A61" w:rsidP="00477A61">
      <w:pPr>
        <w:tabs>
          <w:tab w:val="left" w:pos="1193"/>
        </w:tabs>
        <w:rPr>
          <w:rFonts w:asciiTheme="minorHAnsi" w:hAnsiTheme="minorHAnsi" w:cstheme="minorHAnsi"/>
          <w:sz w:val="22"/>
          <w:szCs w:val="22"/>
        </w:rPr>
      </w:pPr>
    </w:p>
    <w:p w14:paraId="46710E39" w14:textId="77777777" w:rsidR="00477A61" w:rsidRPr="00E01239" w:rsidRDefault="00477A61" w:rsidP="00477A61">
      <w:pPr>
        <w:tabs>
          <w:tab w:val="left" w:pos="1193"/>
        </w:tabs>
        <w:rPr>
          <w:rFonts w:asciiTheme="minorHAnsi" w:hAnsiTheme="minorHAnsi" w:cstheme="minorHAnsi"/>
          <w:sz w:val="22"/>
          <w:szCs w:val="22"/>
        </w:rPr>
      </w:pPr>
    </w:p>
    <w:p w14:paraId="7A3B6E68" w14:textId="77777777" w:rsidR="00477A61" w:rsidRPr="00E01239" w:rsidRDefault="00477A61" w:rsidP="00477A61">
      <w:pPr>
        <w:tabs>
          <w:tab w:val="left" w:pos="1193"/>
        </w:tabs>
        <w:rPr>
          <w:rFonts w:asciiTheme="minorHAnsi" w:hAnsiTheme="minorHAnsi" w:cstheme="minorHAnsi"/>
          <w:sz w:val="22"/>
          <w:szCs w:val="22"/>
        </w:rPr>
      </w:pPr>
    </w:p>
    <w:p w14:paraId="5507737B" w14:textId="77777777" w:rsidR="00477A61" w:rsidRPr="00E01239" w:rsidRDefault="00477A61" w:rsidP="00477A61">
      <w:pPr>
        <w:tabs>
          <w:tab w:val="left" w:pos="1193"/>
        </w:tabs>
        <w:rPr>
          <w:rFonts w:asciiTheme="minorHAnsi" w:hAnsiTheme="minorHAnsi" w:cstheme="minorHAnsi"/>
          <w:sz w:val="22"/>
          <w:szCs w:val="22"/>
        </w:rPr>
      </w:pPr>
    </w:p>
    <w:p w14:paraId="19E61E83" w14:textId="77777777" w:rsidR="00477A61" w:rsidRPr="00E01239" w:rsidRDefault="00477A61" w:rsidP="00477A61">
      <w:pPr>
        <w:tabs>
          <w:tab w:val="left" w:pos="1193"/>
        </w:tabs>
        <w:rPr>
          <w:rFonts w:asciiTheme="minorHAnsi" w:hAnsiTheme="minorHAnsi" w:cstheme="minorHAnsi"/>
          <w:sz w:val="22"/>
          <w:szCs w:val="22"/>
        </w:rPr>
      </w:pPr>
    </w:p>
    <w:p w14:paraId="2C2D3F7D" w14:textId="77777777" w:rsidR="00477A61" w:rsidRPr="00E01239" w:rsidRDefault="00477A61" w:rsidP="00477A61">
      <w:pPr>
        <w:tabs>
          <w:tab w:val="left" w:pos="1193"/>
        </w:tabs>
        <w:rPr>
          <w:rFonts w:asciiTheme="minorHAnsi" w:hAnsiTheme="minorHAnsi" w:cstheme="minorHAnsi"/>
          <w:sz w:val="22"/>
          <w:szCs w:val="22"/>
        </w:rPr>
      </w:pPr>
    </w:p>
    <w:p w14:paraId="5EE96537" w14:textId="77777777" w:rsidR="00477A61" w:rsidRPr="00E01239" w:rsidRDefault="00477A61" w:rsidP="00477A61">
      <w:pPr>
        <w:tabs>
          <w:tab w:val="left" w:pos="1193"/>
        </w:tabs>
        <w:rPr>
          <w:rFonts w:asciiTheme="minorHAnsi" w:hAnsiTheme="minorHAnsi" w:cstheme="minorHAnsi"/>
          <w:sz w:val="22"/>
          <w:szCs w:val="22"/>
        </w:rPr>
      </w:pPr>
    </w:p>
    <w:p w14:paraId="3ADCE1C5" w14:textId="77777777" w:rsidR="00477A61" w:rsidRPr="00E01239" w:rsidRDefault="00477A61" w:rsidP="00477A61">
      <w:pPr>
        <w:tabs>
          <w:tab w:val="left" w:pos="1193"/>
        </w:tabs>
        <w:rPr>
          <w:rFonts w:asciiTheme="minorHAnsi" w:hAnsiTheme="minorHAnsi" w:cstheme="minorHAnsi"/>
          <w:sz w:val="22"/>
          <w:szCs w:val="22"/>
        </w:rPr>
      </w:pPr>
    </w:p>
    <w:p w14:paraId="46CE26E5" w14:textId="77777777" w:rsidR="00477A61" w:rsidRPr="00E01239" w:rsidRDefault="00477A61" w:rsidP="00477A61">
      <w:pPr>
        <w:tabs>
          <w:tab w:val="left" w:pos="1193"/>
        </w:tabs>
        <w:rPr>
          <w:rFonts w:asciiTheme="minorHAnsi" w:hAnsiTheme="minorHAnsi" w:cstheme="minorHAnsi"/>
          <w:sz w:val="22"/>
          <w:szCs w:val="22"/>
        </w:rPr>
      </w:pPr>
    </w:p>
    <w:p w14:paraId="6DB70158" w14:textId="77777777" w:rsidR="00477A61" w:rsidRPr="00E01239" w:rsidRDefault="00477A61" w:rsidP="00477A61">
      <w:pPr>
        <w:tabs>
          <w:tab w:val="left" w:pos="1193"/>
        </w:tabs>
        <w:rPr>
          <w:rFonts w:asciiTheme="minorHAnsi" w:hAnsiTheme="minorHAnsi" w:cstheme="minorHAnsi"/>
          <w:sz w:val="22"/>
          <w:szCs w:val="22"/>
        </w:rPr>
      </w:pPr>
    </w:p>
    <w:p w14:paraId="20BB8B3A" w14:textId="77777777" w:rsidR="00477A61" w:rsidRPr="00E01239" w:rsidRDefault="00477A61" w:rsidP="00477A61">
      <w:pPr>
        <w:tabs>
          <w:tab w:val="left" w:pos="1193"/>
        </w:tabs>
        <w:rPr>
          <w:rFonts w:asciiTheme="minorHAnsi" w:hAnsiTheme="minorHAnsi" w:cstheme="minorHAnsi"/>
          <w:sz w:val="22"/>
          <w:szCs w:val="22"/>
        </w:rPr>
      </w:pPr>
    </w:p>
    <w:p w14:paraId="55D8E618" w14:textId="77777777" w:rsidR="00477A61" w:rsidRPr="00E01239" w:rsidRDefault="00477A61" w:rsidP="00477A61">
      <w:pPr>
        <w:tabs>
          <w:tab w:val="left" w:pos="1193"/>
        </w:tabs>
        <w:rPr>
          <w:rFonts w:asciiTheme="minorHAnsi" w:hAnsiTheme="minorHAnsi" w:cstheme="minorHAnsi"/>
          <w:sz w:val="22"/>
          <w:szCs w:val="22"/>
        </w:rPr>
      </w:pPr>
    </w:p>
    <w:p w14:paraId="7CFFFF21" w14:textId="77777777" w:rsidR="00477A61" w:rsidRPr="00E01239" w:rsidRDefault="00477A61" w:rsidP="00477A61">
      <w:pPr>
        <w:tabs>
          <w:tab w:val="left" w:pos="1193"/>
        </w:tabs>
        <w:rPr>
          <w:rFonts w:asciiTheme="minorHAnsi" w:hAnsiTheme="minorHAnsi" w:cstheme="minorHAnsi"/>
          <w:sz w:val="22"/>
          <w:szCs w:val="22"/>
        </w:rPr>
      </w:pPr>
    </w:p>
    <w:p w14:paraId="03EBA215" w14:textId="77777777" w:rsidR="00477A61" w:rsidRPr="00E01239" w:rsidRDefault="00477A61" w:rsidP="00477A61">
      <w:pPr>
        <w:tabs>
          <w:tab w:val="left" w:pos="1193"/>
        </w:tabs>
        <w:rPr>
          <w:rFonts w:asciiTheme="minorHAnsi" w:hAnsiTheme="minorHAnsi" w:cstheme="minorHAnsi"/>
          <w:sz w:val="22"/>
          <w:szCs w:val="22"/>
        </w:rPr>
      </w:pPr>
    </w:p>
    <w:p w14:paraId="01B5B44F" w14:textId="77777777" w:rsidR="00477A61" w:rsidRPr="00E01239" w:rsidRDefault="00477A61" w:rsidP="00477A61">
      <w:pPr>
        <w:tabs>
          <w:tab w:val="left" w:pos="1193"/>
        </w:tabs>
        <w:rPr>
          <w:rFonts w:asciiTheme="minorHAnsi" w:hAnsiTheme="minorHAnsi" w:cstheme="minorHAnsi"/>
          <w:sz w:val="22"/>
          <w:szCs w:val="22"/>
        </w:rPr>
      </w:pPr>
    </w:p>
    <w:p w14:paraId="32D2E26A" w14:textId="77777777" w:rsidR="00477A61" w:rsidRPr="00E01239" w:rsidRDefault="00477A61" w:rsidP="00477A61">
      <w:pPr>
        <w:tabs>
          <w:tab w:val="left" w:pos="1193"/>
        </w:tabs>
        <w:rPr>
          <w:rFonts w:asciiTheme="minorHAnsi" w:hAnsiTheme="minorHAnsi" w:cstheme="minorHAnsi"/>
          <w:sz w:val="22"/>
          <w:szCs w:val="22"/>
        </w:rPr>
      </w:pPr>
    </w:p>
    <w:p w14:paraId="5F44BA53" w14:textId="77777777" w:rsidR="00477A61" w:rsidRPr="00E01239" w:rsidRDefault="00477A61" w:rsidP="00477A61">
      <w:pPr>
        <w:tabs>
          <w:tab w:val="left" w:pos="1193"/>
        </w:tabs>
        <w:rPr>
          <w:rFonts w:asciiTheme="minorHAnsi" w:hAnsiTheme="minorHAnsi" w:cstheme="minorHAnsi"/>
          <w:sz w:val="22"/>
          <w:szCs w:val="22"/>
        </w:rPr>
      </w:pPr>
    </w:p>
    <w:p w14:paraId="6AACED5F" w14:textId="7E301CD1" w:rsidR="00477A61" w:rsidRPr="00E01239" w:rsidRDefault="00477A61" w:rsidP="00477A61">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48"/>
          <w:szCs w:val="48"/>
        </w:rPr>
      </w:pPr>
      <w:bookmarkStart w:id="1481" w:name="_Toc41162039"/>
      <w:bookmarkStart w:id="1482" w:name="_Toc41300934"/>
      <w:bookmarkStart w:id="1483" w:name="_Toc58573714"/>
      <w:bookmarkStart w:id="1484" w:name="_Toc58859470"/>
      <w:bookmarkStart w:id="1485" w:name="_Toc58926900"/>
      <w:bookmarkStart w:id="1486" w:name="_Toc58928962"/>
      <w:bookmarkStart w:id="1487" w:name="_Toc83301700"/>
      <w:bookmarkStart w:id="1488" w:name="_Toc86436647"/>
      <w:bookmarkStart w:id="1489" w:name="_Toc87466826"/>
      <w:bookmarkStart w:id="1490" w:name="_Toc87530532"/>
      <w:bookmarkStart w:id="1491" w:name="_Toc88771508"/>
      <w:bookmarkStart w:id="1492" w:name="_Toc88861273"/>
      <w:bookmarkStart w:id="1493" w:name="_Toc88861311"/>
      <w:bookmarkStart w:id="1494" w:name="_Toc88861490"/>
      <w:bookmarkStart w:id="1495" w:name="_Toc130714115"/>
      <w:bookmarkStart w:id="1496" w:name="_Toc130755169"/>
      <w:bookmarkStart w:id="1497" w:name="_Toc130857880"/>
      <w:bookmarkStart w:id="1498" w:name="_Toc130858017"/>
      <w:bookmarkStart w:id="1499" w:name="_Toc142378226"/>
      <w:bookmarkStart w:id="1500" w:name="_Toc142847796"/>
      <w:bookmarkStart w:id="1501" w:name="_Toc142853998"/>
      <w:bookmarkStart w:id="1502" w:name="_Toc142854050"/>
      <w:bookmarkStart w:id="1503" w:name="_Toc144654178"/>
      <w:r w:rsidRPr="00E01239">
        <w:rPr>
          <w:rFonts w:asciiTheme="minorHAnsi" w:hAnsiTheme="minorHAnsi" w:cstheme="minorHAnsi"/>
          <w:caps/>
          <w:color w:val="5B9BD5"/>
          <w:sz w:val="48"/>
          <w:szCs w:val="48"/>
        </w:rPr>
        <w:t xml:space="preserve">ANNEXE </w:t>
      </w:r>
      <w:r w:rsidRPr="00E01239">
        <w:rPr>
          <w:rFonts w:asciiTheme="minorHAnsi" w:hAnsiTheme="minorHAnsi" w:cstheme="minorHAnsi"/>
          <w:caps/>
          <w:color w:val="5B9BD5"/>
          <w:sz w:val="48"/>
          <w:szCs w:val="48"/>
        </w:rPr>
        <w:fldChar w:fldCharType="begin"/>
      </w:r>
      <w:r w:rsidRPr="00E01239">
        <w:rPr>
          <w:rFonts w:asciiTheme="minorHAnsi" w:hAnsiTheme="minorHAnsi" w:cstheme="minorHAnsi"/>
          <w:caps/>
          <w:color w:val="5B9BD5"/>
          <w:sz w:val="48"/>
          <w:szCs w:val="48"/>
        </w:rPr>
        <w:instrText xml:space="preserve"> SEQ Annexe \* ARABIC </w:instrText>
      </w:r>
      <w:r w:rsidRPr="00E01239">
        <w:rPr>
          <w:rFonts w:asciiTheme="minorHAnsi" w:hAnsiTheme="minorHAnsi" w:cstheme="minorHAnsi"/>
          <w:caps/>
          <w:color w:val="5B9BD5"/>
          <w:sz w:val="48"/>
          <w:szCs w:val="48"/>
        </w:rPr>
        <w:fldChar w:fldCharType="separate"/>
      </w:r>
      <w:r w:rsidR="00202CE9" w:rsidRPr="00E01239">
        <w:rPr>
          <w:rFonts w:asciiTheme="minorHAnsi" w:hAnsiTheme="minorHAnsi" w:cstheme="minorHAnsi"/>
          <w:caps/>
          <w:color w:val="5B9BD5"/>
          <w:sz w:val="48"/>
          <w:szCs w:val="48"/>
        </w:rPr>
        <w:t>5</w:t>
      </w:r>
      <w:r w:rsidRPr="00E01239">
        <w:rPr>
          <w:rFonts w:asciiTheme="minorHAnsi" w:hAnsiTheme="minorHAnsi" w:cstheme="minorHAnsi"/>
          <w:caps/>
          <w:color w:val="5B9BD5"/>
          <w:sz w:val="48"/>
          <w:szCs w:val="48"/>
        </w:rPr>
        <w:fldChar w:fldCharType="end"/>
      </w:r>
      <w:r w:rsidRPr="00E01239">
        <w:rPr>
          <w:rFonts w:asciiTheme="minorHAnsi" w:hAnsiTheme="minorHAnsi" w:cstheme="minorHAnsi"/>
          <w:caps/>
          <w:color w:val="5B9BD5"/>
          <w:sz w:val="48"/>
          <w:szCs w:val="48"/>
        </w:rPr>
        <w:t> : CLAUSES ENVIRONNEMENTALES ET SOCIALES</w:t>
      </w:r>
      <w:bookmarkEnd w:id="1481"/>
      <w:bookmarkEnd w:id="1482"/>
      <w:bookmarkEnd w:id="1483"/>
      <w:bookmarkEnd w:id="1484"/>
      <w:bookmarkEnd w:id="1485"/>
      <w:bookmarkEnd w:id="1486"/>
      <w:r w:rsidRPr="00E01239">
        <w:rPr>
          <w:rFonts w:asciiTheme="minorHAnsi" w:hAnsiTheme="minorHAnsi" w:cstheme="minorHAnsi"/>
          <w:caps/>
          <w:color w:val="5B9BD5"/>
          <w:sz w:val="48"/>
          <w:szCs w:val="48"/>
        </w:rPr>
        <w:t xml:space="preserve"> GENERIQUES</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071B52F2" w14:textId="77777777" w:rsidR="00477A61" w:rsidRPr="00E01239" w:rsidRDefault="00477A61" w:rsidP="00477A61">
      <w:pPr>
        <w:tabs>
          <w:tab w:val="left" w:pos="1193"/>
        </w:tabs>
        <w:rPr>
          <w:rFonts w:asciiTheme="minorHAnsi" w:hAnsiTheme="minorHAnsi" w:cstheme="minorHAnsi"/>
          <w:sz w:val="22"/>
          <w:szCs w:val="22"/>
        </w:rPr>
      </w:pPr>
    </w:p>
    <w:p w14:paraId="3E49C3F0" w14:textId="77777777" w:rsidR="00477A61" w:rsidRPr="00E01239" w:rsidRDefault="00477A61" w:rsidP="00477A61">
      <w:pPr>
        <w:tabs>
          <w:tab w:val="left" w:pos="1193"/>
        </w:tabs>
        <w:rPr>
          <w:rFonts w:asciiTheme="minorHAnsi" w:hAnsiTheme="minorHAnsi" w:cstheme="minorHAnsi"/>
          <w:sz w:val="22"/>
          <w:szCs w:val="22"/>
        </w:rPr>
      </w:pPr>
    </w:p>
    <w:p w14:paraId="2EEEA69B" w14:textId="77777777" w:rsidR="00477A61" w:rsidRPr="00E01239" w:rsidRDefault="00477A61" w:rsidP="00477A61">
      <w:pPr>
        <w:tabs>
          <w:tab w:val="left" w:pos="1193"/>
        </w:tabs>
        <w:rPr>
          <w:rFonts w:asciiTheme="minorHAnsi" w:hAnsiTheme="minorHAnsi" w:cstheme="minorHAnsi"/>
          <w:sz w:val="22"/>
          <w:szCs w:val="22"/>
        </w:rPr>
      </w:pPr>
    </w:p>
    <w:p w14:paraId="147A48AD" w14:textId="77777777" w:rsidR="00477A61" w:rsidRPr="00E01239" w:rsidRDefault="00477A61" w:rsidP="00477A61">
      <w:pPr>
        <w:rPr>
          <w:rFonts w:asciiTheme="minorHAnsi" w:hAnsiTheme="minorHAnsi" w:cstheme="minorHAnsi"/>
          <w:sz w:val="22"/>
          <w:szCs w:val="22"/>
        </w:rPr>
      </w:pPr>
      <w:r w:rsidRPr="00E01239">
        <w:rPr>
          <w:rFonts w:asciiTheme="minorHAnsi" w:hAnsiTheme="minorHAnsi" w:cstheme="minorHAnsi"/>
          <w:sz w:val="22"/>
          <w:szCs w:val="22"/>
        </w:rPr>
        <w:br w:type="page"/>
      </w:r>
    </w:p>
    <w:p w14:paraId="3242C973"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Cette annexe présente les clauses générales d’ordre environnemental, social et santé sécurité. Elles seront complétées par des clauses spécifiques recommandées par les EIES/AEI/NIES.</w:t>
      </w:r>
    </w:p>
    <w:p w14:paraId="473707E2" w14:textId="77777777" w:rsidR="00477A61" w:rsidRPr="00E01239" w:rsidRDefault="00477A61" w:rsidP="00477A61">
      <w:pPr>
        <w:rPr>
          <w:rFonts w:asciiTheme="minorHAnsi" w:hAnsiTheme="minorHAnsi" w:cstheme="minorHAnsi"/>
          <w:b/>
          <w:sz w:val="22"/>
          <w:szCs w:val="22"/>
          <w:u w:val="single"/>
        </w:rPr>
      </w:pPr>
    </w:p>
    <w:p w14:paraId="25365167" w14:textId="77777777" w:rsidR="00477A61" w:rsidRPr="00E01239" w:rsidRDefault="00477A61" w:rsidP="00477A61">
      <w:pPr>
        <w:rPr>
          <w:rFonts w:asciiTheme="minorHAnsi" w:hAnsiTheme="minorHAnsi" w:cstheme="minorHAnsi"/>
          <w:b/>
          <w:sz w:val="22"/>
          <w:szCs w:val="22"/>
          <w:u w:val="single"/>
        </w:rPr>
      </w:pPr>
      <w:r w:rsidRPr="00E01239">
        <w:rPr>
          <w:rFonts w:asciiTheme="minorHAnsi" w:hAnsiTheme="minorHAnsi" w:cstheme="minorHAnsi"/>
          <w:b/>
          <w:sz w:val="22"/>
          <w:szCs w:val="22"/>
          <w:u w:val="single"/>
        </w:rPr>
        <w:t>Personnel et règlement interne</w:t>
      </w:r>
    </w:p>
    <w:p w14:paraId="2FDDB044" w14:textId="77777777" w:rsidR="00477A61" w:rsidRPr="00E01239" w:rsidRDefault="00477A61" w:rsidP="00477A61">
      <w:pPr>
        <w:spacing w:line="360" w:lineRule="exact"/>
        <w:rPr>
          <w:rFonts w:asciiTheme="minorHAnsi" w:hAnsiTheme="minorHAnsi" w:cstheme="minorHAnsi"/>
          <w:strike/>
          <w:sz w:val="22"/>
          <w:szCs w:val="22"/>
        </w:rPr>
      </w:pPr>
      <w:r w:rsidRPr="00E01239">
        <w:rPr>
          <w:rFonts w:asciiTheme="minorHAnsi" w:hAnsiTheme="minorHAnsi" w:cstheme="minorHAnsi"/>
          <w:sz w:val="22"/>
          <w:szCs w:val="22"/>
        </w:rPr>
        <w:t xml:space="preserve">L’Entrepreneur est encouragé à engager, en dehors de son personnel cadre technique ou spécialisé, le maximum de main d’œuvre locale compatible avec ses obligations. </w:t>
      </w:r>
    </w:p>
    <w:p w14:paraId="66BFDDFE"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Un règlement intérieur de l’installation du chantier doit mentionner spécifiquement les règles de sécurité, les comportements à adopter par les personnes présentes ou les intervenants pour le compte du chantier. Ce règlement doit être porté à la connaissance des travailleurs et affiché de façon visible dans les diverses installations. </w:t>
      </w:r>
    </w:p>
    <w:p w14:paraId="69B4497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devra élaborer et mettre en œuvre un programme à l’intention de son personnel dans le but de les sensibiliser sur la protection de l’environnement ; au respect des coutumes des populations et des relations humaines avec les populations riveraines du chantier d’une manière générale.</w:t>
      </w:r>
    </w:p>
    <w:p w14:paraId="44724AAB" w14:textId="77777777" w:rsidR="00477A61" w:rsidRPr="00E01239" w:rsidRDefault="00477A61" w:rsidP="00477A61">
      <w:pPr>
        <w:spacing w:line="360" w:lineRule="exact"/>
        <w:rPr>
          <w:rFonts w:asciiTheme="minorHAnsi" w:hAnsiTheme="minorHAnsi" w:cstheme="minorHAnsi"/>
          <w:sz w:val="22"/>
          <w:szCs w:val="22"/>
        </w:rPr>
      </w:pPr>
    </w:p>
    <w:p w14:paraId="6FA75B0F" w14:textId="77777777" w:rsidR="00477A61" w:rsidRPr="00E01239" w:rsidRDefault="00477A61" w:rsidP="00477A61">
      <w:pPr>
        <w:rPr>
          <w:rFonts w:asciiTheme="minorHAnsi" w:hAnsiTheme="minorHAnsi" w:cstheme="minorHAnsi"/>
          <w:b/>
          <w:sz w:val="22"/>
          <w:szCs w:val="22"/>
          <w:u w:val="single"/>
        </w:rPr>
      </w:pPr>
      <w:r w:rsidRPr="00E01239">
        <w:rPr>
          <w:rFonts w:asciiTheme="minorHAnsi" w:hAnsiTheme="minorHAnsi" w:cstheme="minorHAnsi"/>
          <w:b/>
          <w:sz w:val="22"/>
          <w:szCs w:val="22"/>
          <w:u w:val="single"/>
        </w:rPr>
        <w:t>Cahier de chantier</w:t>
      </w:r>
    </w:p>
    <w:p w14:paraId="025D3F98" w14:textId="77777777" w:rsidR="00477A61" w:rsidRPr="00E01239" w:rsidRDefault="00477A61" w:rsidP="00477A61">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L’Entrepreneur tient sur le chantier un cahier de chantier, sur lequel sont mentionnées au moins les données suivantes : le nombre et la catégorie du personnel employé sur le chantier ; le matériel disponible sur chantier, en distinguant celui utilisé de celui hors service ; les heures de travail ; les approvisionnements livrés et utilisés ; les essais et contrôles effectués avec leurs résultats ; les ordres donnés par le maître d’œuvre ; les interruptions de travaux : jours d’arrêt, motifs d’arrêt ainsi que le ou les ouvrages concernés ; les comptes rendus et les PV des réunions de chantier ; les attachements des travaux effectués ; les avancements journaliers de travaux et tous les évènements affectant le chantier. </w:t>
      </w:r>
    </w:p>
    <w:p w14:paraId="4E5D687C"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L’instruction du cahier de chantier doit être faite au fur et à mesure de l’avancement des travaux. Il est cosigné par les représentants du Maître d’œuvre et de l’entrepreneur, notamment à l’occasion des constats contradictoires. Le Maître d’œuvre peut examiner le cahier à tout moment et peut, sans déplacer le document hors du chantier, faire ou obtenir une copie des mentions qu’il considère nécessaire à son information.</w:t>
      </w:r>
    </w:p>
    <w:p w14:paraId="707E34B6" w14:textId="77777777" w:rsidR="00477A61" w:rsidRPr="00E01239" w:rsidRDefault="00477A61" w:rsidP="00477A61">
      <w:pPr>
        <w:spacing w:line="360" w:lineRule="exact"/>
        <w:rPr>
          <w:rFonts w:asciiTheme="minorHAnsi" w:hAnsiTheme="minorHAnsi" w:cstheme="minorHAnsi"/>
          <w:sz w:val="22"/>
          <w:szCs w:val="22"/>
        </w:rPr>
      </w:pPr>
    </w:p>
    <w:p w14:paraId="34B92EE4" w14:textId="77777777" w:rsidR="00477A61" w:rsidRPr="00E01239" w:rsidRDefault="00477A61" w:rsidP="00477A61">
      <w:pPr>
        <w:rPr>
          <w:rFonts w:asciiTheme="minorHAnsi" w:hAnsiTheme="minorHAnsi" w:cstheme="minorHAnsi"/>
          <w:b/>
          <w:sz w:val="22"/>
          <w:szCs w:val="22"/>
          <w:u w:val="single"/>
        </w:rPr>
      </w:pPr>
      <w:r w:rsidRPr="00E01239">
        <w:rPr>
          <w:rFonts w:asciiTheme="minorHAnsi" w:hAnsiTheme="minorHAnsi" w:cstheme="minorHAnsi"/>
          <w:b/>
          <w:sz w:val="22"/>
          <w:szCs w:val="22"/>
          <w:u w:val="single"/>
        </w:rPr>
        <w:t>Approvisionnement en électricité et en eau</w:t>
      </w:r>
    </w:p>
    <w:p w14:paraId="3F48B593" w14:textId="77777777" w:rsidR="00477A61" w:rsidRPr="00E01239" w:rsidRDefault="00477A61" w:rsidP="00477A61">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L’Entrepreneur assure à sa charge toute l’installation d’alimentation en eau et en électricité de ses chantiers et de ses sites. Si des installations, existantes sur les lieux des travaux, sont mises par le Maître d’ouvrage à la disposition de l’Entrepreneur, les quantités d’eau et/ou d’électricité consommées par ce dernier seront à sa charge quelle que soit la destination qu’il en fera : essais, rinçage, désinfection, etc.</w:t>
      </w:r>
    </w:p>
    <w:p w14:paraId="636A8C96" w14:textId="77777777" w:rsidR="00477A61" w:rsidRPr="00E01239" w:rsidRDefault="00477A61" w:rsidP="00477A61">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lastRenderedPageBreak/>
        <w:t xml:space="preserve">L’alimentation électrique se fera à partir des postes de chantier fournis par l’Entrepreneur, judicieusement placés et alimentés sur sa demande par la SENELEC éventuellement ou par ses propres moyens. Les frais de branchement et les consommations sont à la charge de l’Entrepreneur. </w:t>
      </w:r>
    </w:p>
    <w:p w14:paraId="09A03B93" w14:textId="77777777" w:rsidR="00477A61" w:rsidRPr="00E01239" w:rsidRDefault="00477A61" w:rsidP="00477A61">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 xml:space="preserve">L’Entrepreneur devra pourvoir, par ses propres moyens et à ses frais, à l’alimentation en eau de ses chantiers et de ses sites. Les volumes d’eau fournis par la SDE et utilisés par l’Entrepreneur lui sont facturés au tarif préférentiel. Les frais de branchement et les consommations sont à la charge de l’Entrepreneur. </w:t>
      </w:r>
    </w:p>
    <w:p w14:paraId="631A2B26" w14:textId="77777777" w:rsidR="00477A61" w:rsidRPr="00E01239" w:rsidRDefault="00477A61" w:rsidP="00477A61">
      <w:pPr>
        <w:spacing w:before="120" w:line="360" w:lineRule="exact"/>
        <w:jc w:val="both"/>
        <w:rPr>
          <w:rFonts w:asciiTheme="minorHAnsi" w:hAnsiTheme="minorHAnsi" w:cstheme="minorHAnsi"/>
          <w:sz w:val="22"/>
          <w:szCs w:val="22"/>
        </w:rPr>
      </w:pPr>
      <w:r w:rsidRPr="00E01239">
        <w:rPr>
          <w:rFonts w:asciiTheme="minorHAnsi" w:hAnsiTheme="minorHAnsi" w:cstheme="minorHAnsi"/>
          <w:sz w:val="22"/>
          <w:szCs w:val="22"/>
        </w:rPr>
        <w:t>L’entrepreneur aura à sa charge l’évacuation et des eaux usées provenant des bureaux de chantier.</w:t>
      </w:r>
    </w:p>
    <w:p w14:paraId="7DF64C35" w14:textId="77777777" w:rsidR="00477A61" w:rsidRPr="00E01239" w:rsidRDefault="00477A61" w:rsidP="00477A61">
      <w:pPr>
        <w:spacing w:before="120" w:line="360" w:lineRule="exact"/>
        <w:jc w:val="both"/>
        <w:rPr>
          <w:rFonts w:asciiTheme="minorHAnsi" w:hAnsiTheme="minorHAnsi" w:cstheme="minorHAnsi"/>
          <w:sz w:val="22"/>
          <w:szCs w:val="22"/>
        </w:rPr>
      </w:pPr>
    </w:p>
    <w:p w14:paraId="6CD693AC" w14:textId="77777777" w:rsidR="00477A61" w:rsidRPr="00E01239" w:rsidRDefault="00477A61" w:rsidP="00477A61">
      <w:pPr>
        <w:rPr>
          <w:rFonts w:asciiTheme="minorHAnsi" w:hAnsiTheme="minorHAnsi" w:cstheme="minorHAnsi"/>
          <w:b/>
          <w:sz w:val="22"/>
          <w:szCs w:val="22"/>
          <w:u w:val="single"/>
        </w:rPr>
      </w:pPr>
      <w:bookmarkStart w:id="1504" w:name="_Toc521728119"/>
      <w:r w:rsidRPr="00E01239">
        <w:rPr>
          <w:rFonts w:asciiTheme="minorHAnsi" w:hAnsiTheme="minorHAnsi" w:cstheme="minorHAnsi"/>
          <w:b/>
          <w:sz w:val="22"/>
          <w:szCs w:val="22"/>
          <w:u w:val="single"/>
        </w:rPr>
        <w:t>PROTECTION DE L’ENVIRONNEMENT</w:t>
      </w:r>
      <w:bookmarkEnd w:id="1504"/>
    </w:p>
    <w:p w14:paraId="7EEC2897"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travaux sont soumis à un ensemble de prescriptions environnementales décrites préalablement dans l’évaluation environnementale et sociale du projet et en cohérence les lois et règlements y applicables. L’Entrepreneur est garant de la stricte application du PGES et des termes qui encadrent le certificat de conformité environnementale du projet en phase chantier. En plus des mesures décrites dans le PGES, il devra mettre en œuvre toutes les dispositions susceptibles de permettre une protection efficace des conditions environnementales de base des zones en travaux.  Les présentes spécifications environnementales portent essentiellement sur les rubriques suivantes : les obligations environnementales et sociales de l’Entrepreneur, les exigences du plan environnement, social et hygiène sante-sécurité (PEHS), les prescriptions environnementales à adopter au niveau des installations de chantier, les prescriptions environnementales particulières, les exigences d’information, de communication et de sensibilisation, le dispositif de surveillance environnementale.</w:t>
      </w:r>
    </w:p>
    <w:p w14:paraId="44DE137A" w14:textId="77777777" w:rsidR="00477A61" w:rsidRPr="00E01239" w:rsidRDefault="00477A61" w:rsidP="002A19B3">
      <w:pPr>
        <w:pStyle w:val="Paragraphedeliste"/>
        <w:numPr>
          <w:ilvl w:val="0"/>
          <w:numId w:val="68"/>
        </w:numPr>
        <w:spacing w:before="120" w:line="360" w:lineRule="exact"/>
        <w:contextualSpacing w:val="0"/>
        <w:jc w:val="both"/>
        <w:rPr>
          <w:rFonts w:asciiTheme="minorHAnsi" w:eastAsia="Calibri" w:hAnsiTheme="minorHAnsi" w:cstheme="minorHAnsi"/>
          <w:b/>
          <w:vanish/>
          <w:kern w:val="2"/>
          <w:sz w:val="22"/>
          <w:szCs w:val="22"/>
          <w:lang w:eastAsia="ja-JP"/>
        </w:rPr>
      </w:pPr>
    </w:p>
    <w:p w14:paraId="169E1B72" w14:textId="77777777" w:rsidR="00477A61" w:rsidRPr="00E01239" w:rsidRDefault="00477A61" w:rsidP="002A19B3">
      <w:pPr>
        <w:numPr>
          <w:ilvl w:val="1"/>
          <w:numId w:val="68"/>
        </w:numPr>
        <w:spacing w:line="360" w:lineRule="exact"/>
        <w:ind w:left="1134" w:hanging="567"/>
        <w:rPr>
          <w:rFonts w:asciiTheme="minorHAnsi" w:hAnsiTheme="minorHAnsi" w:cstheme="minorHAnsi"/>
          <w:b/>
          <w:sz w:val="22"/>
          <w:szCs w:val="22"/>
        </w:rPr>
      </w:pPr>
      <w:r w:rsidRPr="00E01239">
        <w:rPr>
          <w:rFonts w:asciiTheme="minorHAnsi" w:hAnsiTheme="minorHAnsi" w:cstheme="minorHAnsi"/>
          <w:b/>
          <w:sz w:val="22"/>
          <w:szCs w:val="22"/>
        </w:rPr>
        <w:t>Obligations Environnementales et Sociales de l’Entrepreneur</w:t>
      </w:r>
    </w:p>
    <w:p w14:paraId="4A8F9C03"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Dans le cadre du présent marché de travaux, l’Entrepreneur est soumis à un certain nombre d’engagements au titre de la réglementation nationale qui encadre la gestion environnementale et sociale des travaux au Sénégal. Ces engagements portent, sans s’y limiter, sur les points suivants :</w:t>
      </w:r>
    </w:p>
    <w:p w14:paraId="0260F064"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L’Entrepreneur devra respecter les dispositions réglementaires environnementales et sociales en vigueur au Sénégal, les dispositions contractuelles du présent marché, ainsi que les conditions fixées par les diverses autorisations ou agréments requis ;</w:t>
      </w:r>
    </w:p>
    <w:p w14:paraId="5BF2E2E0"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L’Entrepreneur mettra en œuvre tous ses moyens pour assurer la qualité environnementale et sociale des opérations objet du présent marché, et pour ne pas entamer la qualité de vie des populations riveraines ;</w:t>
      </w:r>
    </w:p>
    <w:p w14:paraId="0FF68E36"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L’Entrepreneur mettra en place une stratégie environnementale et sociale interne à ses services pour s'acquitter de ses obligations en la matière, stratégie incluant notamment la mobilisation permanente d’une équipe HSE (Hygiène, Sécurité, Environnement</w:t>
      </w:r>
      <w:proofErr w:type="gramStart"/>
      <w:r w:rsidRPr="00E01239">
        <w:rPr>
          <w:rFonts w:asciiTheme="minorHAnsi" w:hAnsiTheme="minorHAnsi" w:cstheme="minorHAnsi"/>
          <w:sz w:val="22"/>
          <w:szCs w:val="22"/>
        </w:rPr>
        <w:t>);</w:t>
      </w:r>
      <w:proofErr w:type="gramEnd"/>
    </w:p>
    <w:p w14:paraId="00BA6824" w14:textId="77777777" w:rsidR="00477A61" w:rsidRPr="00E01239" w:rsidRDefault="00477A61" w:rsidP="00477A61">
      <w:pPr>
        <w:spacing w:before="120"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 xml:space="preserve">L’Entrepreneur soumettra avant le démarrage des travaux un plan environnement, social et hygiène sante-sécurité (PEHS) pour expliquer comment elle compte mettre en œuvre les clauses environnementales et sociales du </w:t>
      </w:r>
      <w:proofErr w:type="gramStart"/>
      <w:r w:rsidRPr="00E01239">
        <w:rPr>
          <w:rFonts w:asciiTheme="minorHAnsi" w:hAnsiTheme="minorHAnsi" w:cstheme="minorHAnsi"/>
          <w:sz w:val="22"/>
          <w:szCs w:val="22"/>
        </w:rPr>
        <w:t>DAO;</w:t>
      </w:r>
      <w:proofErr w:type="gramEnd"/>
      <w:r w:rsidRPr="00E01239">
        <w:rPr>
          <w:rFonts w:asciiTheme="minorHAnsi" w:hAnsiTheme="minorHAnsi" w:cstheme="minorHAnsi"/>
          <w:sz w:val="22"/>
          <w:szCs w:val="22"/>
        </w:rPr>
        <w:t xml:space="preserve"> </w:t>
      </w:r>
    </w:p>
    <w:p w14:paraId="0A39DB3D"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L’Entrepreneur devra, durant la phase préparatoire, s’acquitter de l’ensemble des permis et autorisations nécessaires aux installations de chantier et aux travaux proprement dits ;</w:t>
      </w:r>
    </w:p>
    <w:p w14:paraId="689C6270"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Le contrôle régulier du respect des dispositions environnementales et sociales de toute </w:t>
      </w:r>
      <w:proofErr w:type="gramStart"/>
      <w:r w:rsidRPr="00E01239">
        <w:rPr>
          <w:rFonts w:asciiTheme="minorHAnsi" w:hAnsiTheme="minorHAnsi" w:cstheme="minorHAnsi"/>
          <w:sz w:val="22"/>
          <w:szCs w:val="22"/>
        </w:rPr>
        <w:t>nature prescrites</w:t>
      </w:r>
      <w:proofErr w:type="gramEnd"/>
      <w:r w:rsidRPr="00E01239">
        <w:rPr>
          <w:rFonts w:asciiTheme="minorHAnsi" w:hAnsiTheme="minorHAnsi" w:cstheme="minorHAnsi"/>
          <w:sz w:val="22"/>
          <w:szCs w:val="22"/>
        </w:rPr>
        <w:t>, et le suivi environnemental et social ;</w:t>
      </w:r>
    </w:p>
    <w:p w14:paraId="52795FA1"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L'information systématique de l’Ingénieur pour chaque incident ou accident, dommage, </w:t>
      </w:r>
      <w:proofErr w:type="gramStart"/>
      <w:r w:rsidRPr="00E01239">
        <w:rPr>
          <w:rFonts w:asciiTheme="minorHAnsi" w:hAnsiTheme="minorHAnsi" w:cstheme="minorHAnsi"/>
          <w:sz w:val="22"/>
          <w:szCs w:val="22"/>
        </w:rPr>
        <w:t>dégradation causé</w:t>
      </w:r>
      <w:proofErr w:type="gramEnd"/>
      <w:r w:rsidRPr="00E01239">
        <w:rPr>
          <w:rFonts w:asciiTheme="minorHAnsi" w:hAnsiTheme="minorHAnsi" w:cstheme="minorHAnsi"/>
          <w:sz w:val="22"/>
          <w:szCs w:val="22"/>
        </w:rPr>
        <w:t xml:space="preserve"> à l'environnement ou aux résidents ou à leurs biens physiques dans le cadre des travaux, ainsi que sa consignation dans un répertoire spécifique contresigné par l’Ingénieur et dans le journal de chantier ;</w:t>
      </w:r>
    </w:p>
    <w:p w14:paraId="15568C17"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L’information systématique de l’Ingénieur en cas de découverte fortuite de sites archéologiques dans l’emprise des travaux ;</w:t>
      </w:r>
    </w:p>
    <w:p w14:paraId="344917B6"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L'information et la formation appropriée de ses personnels, cadres compris, en vue de la sécurisation et/ou de la qualité des opérations ;</w:t>
      </w:r>
    </w:p>
    <w:p w14:paraId="731F7449"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La prise de sanctions appropriées contre son personnel ne respectant pas les prescriptions et dispositions applicables aux aspects environnementaux et sociaux.</w:t>
      </w:r>
    </w:p>
    <w:p w14:paraId="18BD0630" w14:textId="77777777" w:rsidR="00477A61" w:rsidRPr="00E01239" w:rsidRDefault="00477A61" w:rsidP="002A19B3">
      <w:pPr>
        <w:numPr>
          <w:ilvl w:val="1"/>
          <w:numId w:val="68"/>
        </w:numPr>
        <w:spacing w:line="360" w:lineRule="exact"/>
        <w:ind w:left="1134" w:hanging="567"/>
        <w:rPr>
          <w:rFonts w:asciiTheme="minorHAnsi" w:hAnsiTheme="minorHAnsi" w:cstheme="minorHAnsi"/>
          <w:b/>
          <w:sz w:val="22"/>
          <w:szCs w:val="22"/>
        </w:rPr>
      </w:pPr>
      <w:r w:rsidRPr="00E01239">
        <w:rPr>
          <w:rFonts w:asciiTheme="minorHAnsi" w:hAnsiTheme="minorHAnsi" w:cstheme="minorHAnsi"/>
          <w:b/>
          <w:sz w:val="22"/>
          <w:szCs w:val="22"/>
        </w:rPr>
        <w:t>Elaboration du Plan Environnement, Social et Hygiène/Sante/sécurité (PEHS)</w:t>
      </w:r>
    </w:p>
    <w:p w14:paraId="26A3280B"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devra établir et soumettre à l'approbation de l’Ingénieur, dans les 30 jours suivant la date d’entrée en vigueur du contrat, un Plan Environnemental, Social, et Hygiène Santé-Sécurité (PEHS) qui prend en compte de manière transversale les préoccupations environnementales, sociales en opérationnalisant le PGES du projet et en tenant compte des différentes réglementations nationales en matière de gestion de l’environnement et notamment de réduction des pollutions.</w:t>
      </w:r>
    </w:p>
    <w:p w14:paraId="5C440835"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Ce plan devra comporter les éléments suivants :</w:t>
      </w:r>
    </w:p>
    <w:p w14:paraId="38FBCDC5" w14:textId="77777777" w:rsidR="00477A61" w:rsidRPr="00E01239" w:rsidRDefault="00477A61" w:rsidP="00477A61">
      <w:p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la</w:t>
      </w:r>
      <w:proofErr w:type="gramEnd"/>
      <w:r w:rsidRPr="00E01239">
        <w:rPr>
          <w:rFonts w:asciiTheme="minorHAnsi" w:hAnsiTheme="minorHAnsi" w:cstheme="minorHAnsi"/>
          <w:sz w:val="22"/>
          <w:szCs w:val="22"/>
        </w:rPr>
        <w:t xml:space="preserve"> consistance détaillées des travaux à réaliser, les matériels et produits qui seront utilisés ;</w:t>
      </w:r>
    </w:p>
    <w:p w14:paraId="2F11C35A" w14:textId="77777777" w:rsidR="00477A61" w:rsidRPr="00E01239" w:rsidRDefault="00477A61" w:rsidP="00477A61">
      <w:p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l’organisation</w:t>
      </w:r>
      <w:proofErr w:type="gramEnd"/>
      <w:r w:rsidRPr="00E01239">
        <w:rPr>
          <w:rFonts w:asciiTheme="minorHAnsi" w:hAnsiTheme="minorHAnsi" w:cstheme="minorHAnsi"/>
          <w:sz w:val="22"/>
          <w:szCs w:val="22"/>
        </w:rPr>
        <w:t xml:space="preserve"> générale du chantier ;</w:t>
      </w:r>
    </w:p>
    <w:p w14:paraId="578023CB" w14:textId="77777777" w:rsidR="00477A61" w:rsidRPr="00E01239" w:rsidRDefault="00477A61" w:rsidP="00477A61">
      <w:p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les</w:t>
      </w:r>
      <w:proofErr w:type="gramEnd"/>
      <w:r w:rsidRPr="00E01239">
        <w:rPr>
          <w:rFonts w:asciiTheme="minorHAnsi" w:hAnsiTheme="minorHAnsi" w:cstheme="minorHAnsi"/>
          <w:sz w:val="22"/>
          <w:szCs w:val="22"/>
        </w:rPr>
        <w:t xml:space="preserve"> politiques de l’entreprise en matière de respect des dispositions environnementales, sociales, d’hygiène, de santé, de sécurité et du genre ;</w:t>
      </w:r>
    </w:p>
    <w:p w14:paraId="69EA0340" w14:textId="77777777" w:rsidR="00477A61" w:rsidRPr="00E01239" w:rsidRDefault="00477A61" w:rsidP="00477A61">
      <w:p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une</w:t>
      </w:r>
      <w:proofErr w:type="gramEnd"/>
      <w:r w:rsidRPr="00E01239">
        <w:rPr>
          <w:rFonts w:asciiTheme="minorHAnsi" w:hAnsiTheme="minorHAnsi" w:cstheme="minorHAnsi"/>
          <w:sz w:val="22"/>
          <w:szCs w:val="22"/>
        </w:rPr>
        <w:t xml:space="preserve"> Analyse détaillées des risques liés à la santé et sécurité sur le chantier ;</w:t>
      </w:r>
    </w:p>
    <w:p w14:paraId="518BACA7" w14:textId="3150747F"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mesures d’hygiène, de santé et sécurité comprenant : Équipements sanitaires, de sécurité et d’hygiène ; Formation et information du personnel de chantier ; Service médical ; Prévention des IST/VIH-SIDA et autres maladies contagieuses; Suivi des accidents de travail et maladies professionnelles ; Organisation des secours et lutte contre l’incendie ; interdiction de la drogue et l’alcool ; Gestion de la circulation et de la sécurité des populations ; Formation, information, communication et gestion des conflits.</w:t>
      </w:r>
    </w:p>
    <w:p w14:paraId="766B6CEA" w14:textId="77777777" w:rsidR="00477A61" w:rsidRPr="00E01239" w:rsidRDefault="00477A61" w:rsidP="00477A61">
      <w:p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un</w:t>
      </w:r>
      <w:proofErr w:type="gramEnd"/>
      <w:r w:rsidRPr="00E01239">
        <w:rPr>
          <w:rFonts w:asciiTheme="minorHAnsi" w:hAnsiTheme="minorHAnsi" w:cstheme="minorHAnsi"/>
          <w:sz w:val="22"/>
          <w:szCs w:val="22"/>
        </w:rPr>
        <w:t xml:space="preserve"> plan succinct d’intervention d’urgence.</w:t>
      </w:r>
    </w:p>
    <w:p w14:paraId="123E3C9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Dans le PEHS, l’Entrepreneur devra élaborer un Plan Santé Sécurité (PSS) qui décrit les méthodes de travail et de préservation de l’environnement, ainsi qu’une procédure de traitement des anomalies susceptibles d’être rencontrées lors de l’exécution des travaux. Il sera évolutif, complété et mis à jour en cas de changement de méthode de travail ou d’organisation de chantier, ayant une incidence sur la maîtrise des impacts environnementaux.</w:t>
      </w:r>
    </w:p>
    <w:p w14:paraId="78A6BF12"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 PSS devra identifier les principaux risques professionnels inhérents aux différentes activités du chantier et spécifiés dans le tableau suivant.</w:t>
      </w:r>
    </w:p>
    <w:p w14:paraId="2FFD166B" w14:textId="77777777" w:rsidR="00477A61" w:rsidRPr="00E01239" w:rsidRDefault="00477A61" w:rsidP="00477A61">
      <w:pPr>
        <w:spacing w:line="360" w:lineRule="exact"/>
        <w:rPr>
          <w:rFonts w:asciiTheme="minorHAnsi" w:hAnsiTheme="minorHAnsi" w:cstheme="minorHAnsi"/>
          <w:b/>
          <w:sz w:val="22"/>
          <w:szCs w:val="22"/>
        </w:rPr>
      </w:pPr>
      <w:r w:rsidRPr="00E01239">
        <w:rPr>
          <w:rFonts w:asciiTheme="minorHAnsi" w:hAnsiTheme="minorHAnsi" w:cstheme="minorHAnsi"/>
          <w:b/>
          <w:sz w:val="22"/>
          <w:szCs w:val="22"/>
        </w:rPr>
        <w:t>Prescriptions environnementales des installations de chantier</w:t>
      </w:r>
    </w:p>
    <w:p w14:paraId="1B51CA8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La base de chantier de l’Entrepreneur devra répondre à un ensemble de prescriptions environnementales et de mesures santé/sécurité/environnement.</w:t>
      </w:r>
    </w:p>
    <w:p w14:paraId="2BD39E12" w14:textId="77777777" w:rsidR="00477A61" w:rsidRPr="00E01239" w:rsidRDefault="00477A61" w:rsidP="00477A61">
      <w:pPr>
        <w:spacing w:line="360" w:lineRule="exact"/>
        <w:rPr>
          <w:rFonts w:asciiTheme="minorHAnsi" w:hAnsiTheme="minorHAnsi" w:cstheme="minorHAnsi"/>
          <w:b/>
          <w:sz w:val="22"/>
          <w:szCs w:val="22"/>
        </w:rPr>
      </w:pPr>
      <w:r w:rsidRPr="00E01239">
        <w:rPr>
          <w:rFonts w:asciiTheme="minorHAnsi" w:hAnsiTheme="minorHAnsi" w:cstheme="minorHAnsi"/>
          <w:b/>
          <w:sz w:val="22"/>
          <w:szCs w:val="22"/>
        </w:rPr>
        <w:t>Autorisations préalables</w:t>
      </w:r>
    </w:p>
    <w:p w14:paraId="7063EA22"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L’Entrepreneur se rapprochera des collectivités locales concernées par le projet pour disposer d’un site pour l’aménagement de ses installations fixes. </w:t>
      </w:r>
    </w:p>
    <w:p w14:paraId="441A1323"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sollicitera l’autorisation d’installation de chantier en proposant à l’Ingénieur le lieu de ses installations de chantier et en lui présentant un plan d’installation de chantier dans le cadre du Plan de Protection de l'Environnement de Site (PPES). Le plan d’installation de chantier ainsi que le dossier d’Installations Classées seront également soumis à la Direction du Contrôle Environnemental pour autorisation.</w:t>
      </w:r>
    </w:p>
    <w:p w14:paraId="375CF81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dispositions préalables suivantes s’appliquent aux aires retenues par l’Entrepreneur pour ses installations.</w:t>
      </w:r>
    </w:p>
    <w:p w14:paraId="04A54932"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Plan de situation à fournir (respect des distances de servitudes)</w:t>
      </w:r>
    </w:p>
    <w:p w14:paraId="53F5AC4C"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Plan des installations à fournir (présentation des unités fonctionnelles et respect de distances de sécurité entre elles)</w:t>
      </w:r>
    </w:p>
    <w:p w14:paraId="12DFD51A"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PV d’état des lieux initial du (des) site d'implantation afin de permettre un comparatif lors de la remise en état du site à la fin des travaux.</w:t>
      </w:r>
    </w:p>
    <w:p w14:paraId="2FFEF2BB"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PV de rencontres et protocoles, au besoin, avec les services techniques décentralisés et nationaux :</w:t>
      </w:r>
    </w:p>
    <w:p w14:paraId="62B2B0D2" w14:textId="77777777" w:rsidR="00477A61" w:rsidRPr="00E01239" w:rsidRDefault="00477A61" w:rsidP="00477A61">
      <w:pPr>
        <w:spacing w:line="360" w:lineRule="exact"/>
        <w:rPr>
          <w:rFonts w:asciiTheme="minorHAnsi" w:hAnsiTheme="minorHAnsi" w:cstheme="minorHAnsi"/>
          <w:b/>
          <w:sz w:val="22"/>
          <w:szCs w:val="22"/>
        </w:rPr>
      </w:pPr>
      <w:r w:rsidRPr="00E01239">
        <w:rPr>
          <w:rFonts w:asciiTheme="minorHAnsi" w:hAnsiTheme="minorHAnsi" w:cstheme="minorHAnsi"/>
          <w:b/>
          <w:sz w:val="22"/>
          <w:szCs w:val="22"/>
        </w:rPr>
        <w:t>Raccordement aux réseaux tiers</w:t>
      </w:r>
    </w:p>
    <w:p w14:paraId="7C364DAA"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Alimentation en eau de la base</w:t>
      </w:r>
    </w:p>
    <w:p w14:paraId="4A4E69BE" w14:textId="77777777" w:rsidR="00477A61" w:rsidRPr="00E01239" w:rsidRDefault="00477A61" w:rsidP="002A19B3">
      <w:pPr>
        <w:numPr>
          <w:ilvl w:val="0"/>
          <w:numId w:val="59"/>
        </w:numPr>
        <w:spacing w:before="120"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Les conduites d'alimentation seront en PVC alimentaire ou en </w:t>
      </w:r>
      <w:proofErr w:type="spellStart"/>
      <w:r w:rsidRPr="00E01239">
        <w:rPr>
          <w:rFonts w:asciiTheme="minorHAnsi" w:hAnsiTheme="minorHAnsi" w:cstheme="minorHAnsi"/>
          <w:sz w:val="22"/>
          <w:szCs w:val="22"/>
        </w:rPr>
        <w:t>Pex</w:t>
      </w:r>
      <w:proofErr w:type="spellEnd"/>
      <w:r w:rsidRPr="00E01239">
        <w:rPr>
          <w:rFonts w:asciiTheme="minorHAnsi" w:hAnsiTheme="minorHAnsi" w:cstheme="minorHAnsi"/>
          <w:sz w:val="22"/>
          <w:szCs w:val="22"/>
        </w:rPr>
        <w:t xml:space="preserve"> ou en cuivre et feront l'objet d'épreuve hydraulique pour s'assurer de leur étanchéité</w:t>
      </w:r>
    </w:p>
    <w:p w14:paraId="3D3B88F2" w14:textId="77777777" w:rsidR="00477A61" w:rsidRPr="00E01239" w:rsidRDefault="00477A61" w:rsidP="002A19B3">
      <w:pPr>
        <w:numPr>
          <w:ilvl w:val="0"/>
          <w:numId w:val="59"/>
        </w:numPr>
        <w:spacing w:before="120" w:line="360" w:lineRule="exact"/>
        <w:rPr>
          <w:rFonts w:asciiTheme="minorHAnsi" w:hAnsiTheme="minorHAnsi" w:cstheme="minorHAnsi"/>
          <w:sz w:val="22"/>
          <w:szCs w:val="22"/>
        </w:rPr>
      </w:pPr>
      <w:r w:rsidRPr="00E01239">
        <w:rPr>
          <w:rFonts w:asciiTheme="minorHAnsi" w:hAnsiTheme="minorHAnsi" w:cstheme="minorHAnsi"/>
          <w:sz w:val="22"/>
          <w:szCs w:val="22"/>
        </w:rPr>
        <w:t xml:space="preserve">Prévoir des bâches à eau de réserve pour les toilettes </w:t>
      </w:r>
    </w:p>
    <w:p w14:paraId="30018D79" w14:textId="77777777" w:rsidR="00477A61" w:rsidRPr="00E01239" w:rsidRDefault="00477A61" w:rsidP="002A19B3">
      <w:pPr>
        <w:numPr>
          <w:ilvl w:val="0"/>
          <w:numId w:val="59"/>
        </w:numPr>
        <w:spacing w:before="120" w:line="360" w:lineRule="exact"/>
        <w:rPr>
          <w:rFonts w:asciiTheme="minorHAnsi" w:hAnsiTheme="minorHAnsi" w:cstheme="minorHAnsi"/>
          <w:sz w:val="22"/>
          <w:szCs w:val="22"/>
        </w:rPr>
      </w:pPr>
      <w:r w:rsidRPr="00E01239">
        <w:rPr>
          <w:rFonts w:asciiTheme="minorHAnsi" w:hAnsiTheme="minorHAnsi" w:cstheme="minorHAnsi"/>
          <w:sz w:val="22"/>
          <w:szCs w:val="22"/>
        </w:rPr>
        <w:t xml:space="preserve">Constituer une réserve en eau incendie au besoin </w:t>
      </w:r>
    </w:p>
    <w:p w14:paraId="469D2177"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Alimentation en électricité</w:t>
      </w:r>
    </w:p>
    <w:p w14:paraId="1519A926" w14:textId="77777777" w:rsidR="00477A61" w:rsidRPr="00E01239" w:rsidRDefault="00477A61" w:rsidP="002A19B3">
      <w:pPr>
        <w:numPr>
          <w:ilvl w:val="0"/>
          <w:numId w:val="59"/>
        </w:numPr>
        <w:spacing w:before="120"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Les installations électriques sont réalisées et installées de façon à prévenir les risques d'incendie ou d'explosion d'origine électrique. Les installations électriques réalisées selon la norme NF C 15-100 sont vérifiées périodiquement par un organisme agrée</w:t>
      </w:r>
    </w:p>
    <w:p w14:paraId="147AE542" w14:textId="77777777" w:rsidR="00477A61" w:rsidRPr="00E01239" w:rsidRDefault="00477A61" w:rsidP="002A19B3">
      <w:pPr>
        <w:numPr>
          <w:ilvl w:val="0"/>
          <w:numId w:val="59"/>
        </w:numPr>
        <w:spacing w:before="120" w:line="360" w:lineRule="exact"/>
        <w:rPr>
          <w:rFonts w:asciiTheme="minorHAnsi" w:hAnsiTheme="minorHAnsi" w:cstheme="minorHAnsi"/>
          <w:sz w:val="22"/>
          <w:szCs w:val="22"/>
        </w:rPr>
      </w:pPr>
      <w:r w:rsidRPr="00E01239">
        <w:rPr>
          <w:rFonts w:asciiTheme="minorHAnsi" w:hAnsiTheme="minorHAnsi" w:cstheme="minorHAnsi"/>
          <w:sz w:val="22"/>
          <w:szCs w:val="22"/>
        </w:rPr>
        <w:t xml:space="preserve">Prévoir une installation extérieure de protection des structures contre la foudre (paratonnerres) conformément à la norme NF EN 62305-3 </w:t>
      </w:r>
    </w:p>
    <w:p w14:paraId="49B9CF45" w14:textId="77777777" w:rsidR="00477A61" w:rsidRPr="00E01239" w:rsidRDefault="00477A61" w:rsidP="002A19B3">
      <w:pPr>
        <w:numPr>
          <w:ilvl w:val="0"/>
          <w:numId w:val="59"/>
        </w:numPr>
        <w:spacing w:before="120" w:line="360" w:lineRule="exact"/>
        <w:rPr>
          <w:rFonts w:asciiTheme="minorHAnsi" w:hAnsiTheme="minorHAnsi" w:cstheme="minorHAnsi"/>
          <w:sz w:val="22"/>
          <w:szCs w:val="22"/>
        </w:rPr>
      </w:pPr>
      <w:r w:rsidRPr="00E01239">
        <w:rPr>
          <w:rFonts w:asciiTheme="minorHAnsi" w:hAnsiTheme="minorHAnsi" w:cstheme="minorHAnsi"/>
          <w:sz w:val="22"/>
          <w:szCs w:val="22"/>
        </w:rPr>
        <w:t xml:space="preserve">Prévoir la mise à la terre de toutes les masses métalliques </w:t>
      </w:r>
    </w:p>
    <w:p w14:paraId="7851700A" w14:textId="77777777" w:rsidR="00477A61" w:rsidRPr="00E01239" w:rsidRDefault="00477A61" w:rsidP="00477A61">
      <w:pPr>
        <w:spacing w:line="360" w:lineRule="exact"/>
        <w:rPr>
          <w:rFonts w:asciiTheme="minorHAnsi" w:hAnsiTheme="minorHAnsi" w:cstheme="minorHAnsi"/>
          <w:b/>
          <w:sz w:val="22"/>
          <w:szCs w:val="22"/>
        </w:rPr>
      </w:pPr>
      <w:r w:rsidRPr="00E01239">
        <w:rPr>
          <w:rFonts w:asciiTheme="minorHAnsi" w:hAnsiTheme="minorHAnsi" w:cstheme="minorHAnsi"/>
          <w:b/>
          <w:sz w:val="22"/>
          <w:szCs w:val="22"/>
        </w:rPr>
        <w:t>Assainissement des eaux usées</w:t>
      </w:r>
    </w:p>
    <w:p w14:paraId="67443800"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Aucun épandage vers la nature n'est admis sur la base</w:t>
      </w:r>
    </w:p>
    <w:p w14:paraId="3F254851"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aménagements pour le drainage des eaux pluviales ne doivent pas modifier les écoulements naturels existants</w:t>
      </w:r>
    </w:p>
    <w:p w14:paraId="14542FFC"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Toutes les fosses septiques seront étanches et vidangeables. </w:t>
      </w:r>
    </w:p>
    <w:p w14:paraId="7CC180E1"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vidanges sont suivies avec des bordereaux et effectuées par des personnes autorisées auprès des autorités compétentes</w:t>
      </w:r>
    </w:p>
    <w:p w14:paraId="267A29A2"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conditions climatiques extrêmes, une nappe phréatique proche de la surface du sol, une base en zone inondable, une pente nulle ou excessive, des limitations d’accès pour les véhicules de terrassement, un puits déclaré pour la consommation humaine, sont autant de critères amenant des restrictions dans le choix du dispositif</w:t>
      </w:r>
    </w:p>
    <w:p w14:paraId="379BE2ED" w14:textId="77777777" w:rsidR="00477A61" w:rsidRPr="00E01239" w:rsidRDefault="00477A61" w:rsidP="00477A61">
      <w:pPr>
        <w:spacing w:line="360" w:lineRule="exact"/>
        <w:rPr>
          <w:rFonts w:asciiTheme="minorHAnsi" w:hAnsiTheme="minorHAnsi" w:cstheme="minorHAnsi"/>
          <w:b/>
          <w:sz w:val="22"/>
          <w:szCs w:val="22"/>
        </w:rPr>
      </w:pPr>
      <w:r w:rsidRPr="00E01239">
        <w:rPr>
          <w:rFonts w:asciiTheme="minorHAnsi" w:hAnsiTheme="minorHAnsi" w:cstheme="minorHAnsi"/>
          <w:b/>
          <w:sz w:val="22"/>
          <w:szCs w:val="22"/>
        </w:rPr>
        <w:t>Moyens de prévention et de lutte contre l'incendie</w:t>
      </w:r>
    </w:p>
    <w:p w14:paraId="725D64FA"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Prévoir des BAES et des blocs autonomes portables d'intervention (BAPI) : bureaux, infirmerie, local GES</w:t>
      </w:r>
    </w:p>
    <w:p w14:paraId="03F7C495"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Prévoir des détecteurs autonomes de fumées et/ou de chaleur dans les locaux à risques incendie : magasins, bureaux, local GES</w:t>
      </w:r>
    </w:p>
    <w:p w14:paraId="533D420C"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Prévoir des extincteurs ABC de 50 kg (P50) dans la zone hydrocarbures, zone déchets dangereux, zone de stockage huiles neuves </w:t>
      </w:r>
    </w:p>
    <w:p w14:paraId="701BAFDB"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Disposer de registre de sécurité</w:t>
      </w:r>
    </w:p>
    <w:p w14:paraId="71365B2B" w14:textId="77777777" w:rsidR="00477A61" w:rsidRPr="00E01239" w:rsidRDefault="00477A61" w:rsidP="00477A61">
      <w:pPr>
        <w:spacing w:line="360" w:lineRule="exact"/>
        <w:rPr>
          <w:rFonts w:asciiTheme="minorHAnsi" w:hAnsiTheme="minorHAnsi" w:cstheme="minorHAnsi"/>
          <w:b/>
          <w:sz w:val="22"/>
          <w:szCs w:val="22"/>
        </w:rPr>
      </w:pPr>
      <w:bookmarkStart w:id="1505" w:name="_Toc365198066"/>
      <w:bookmarkStart w:id="1506" w:name="_Toc304471286"/>
      <w:bookmarkStart w:id="1507" w:name="_Toc315711325"/>
      <w:r w:rsidRPr="00E01239">
        <w:rPr>
          <w:rFonts w:asciiTheme="minorHAnsi" w:hAnsiTheme="minorHAnsi" w:cstheme="minorHAnsi"/>
          <w:b/>
          <w:sz w:val="22"/>
          <w:szCs w:val="22"/>
        </w:rPr>
        <w:t>Les moyens de Prévention et de lutte contre les pollutions et nuisances au niveau du stockage du carburant et de lubrifiants</w:t>
      </w:r>
    </w:p>
    <w:p w14:paraId="4D546F2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Sur le chantier, les carburants et autres matériaux dangereux devront être stockés dans des réservoirs surélevés et équipés de cuvette de rétention et selon les consignes de sécurité (fiche de données de sécurité etc.). </w:t>
      </w:r>
    </w:p>
    <w:p w14:paraId="3B388EEC" w14:textId="77777777" w:rsidR="00477A61" w:rsidRPr="00E01239" w:rsidRDefault="00477A61" w:rsidP="00477A61">
      <w:pPr>
        <w:spacing w:line="360" w:lineRule="exact"/>
        <w:rPr>
          <w:rFonts w:asciiTheme="minorHAnsi" w:hAnsiTheme="minorHAnsi" w:cstheme="minorHAnsi"/>
          <w:b/>
          <w:sz w:val="22"/>
          <w:szCs w:val="22"/>
        </w:rPr>
      </w:pPr>
      <w:bookmarkStart w:id="1508" w:name="_Toc365198078"/>
      <w:bookmarkStart w:id="1509" w:name="_Toc304471290"/>
      <w:bookmarkStart w:id="1510" w:name="_Toc315711329"/>
      <w:bookmarkEnd w:id="1505"/>
      <w:bookmarkEnd w:id="1506"/>
      <w:bookmarkEnd w:id="1507"/>
      <w:r w:rsidRPr="00E01239">
        <w:rPr>
          <w:rFonts w:asciiTheme="minorHAnsi" w:hAnsiTheme="minorHAnsi" w:cstheme="minorHAnsi"/>
          <w:b/>
          <w:sz w:val="22"/>
          <w:szCs w:val="22"/>
        </w:rPr>
        <w:t>Gestion ordinaire des eaux de ruissellement et des effluents de toute nature</w:t>
      </w:r>
      <w:bookmarkEnd w:id="1508"/>
    </w:p>
    <w:p w14:paraId="03CFBB38"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La phase travaux implique la présence d’installations de chantier, de zones de parking et d’entretien des camions et engins de chantier, de trafic d’engins de chantiers, de dépôts de matériaux et produits nécessaires à la construction et la réhabilitation des ouvrages, de mise en œuvre de ces matériaux et produits. </w:t>
      </w:r>
    </w:p>
    <w:p w14:paraId="534E11C2"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L’Entrepreneur s’assurera de la bonne gestion des effluents de nature diverse et prendra les mesures nécessaires à la limitation du transport des charges particulaires et des huiles, graisses et hydrocarbures, des contaminants et produits nocifs par les eaux de ruissellement et/ou leur récupération et traitement en cas de présence dans les eaux de ruissellement.</w:t>
      </w:r>
    </w:p>
    <w:p w14:paraId="750C2514" w14:textId="77777777" w:rsidR="00477A61" w:rsidRPr="00E01239" w:rsidRDefault="00477A61" w:rsidP="00477A61">
      <w:pPr>
        <w:spacing w:line="360" w:lineRule="exact"/>
        <w:rPr>
          <w:rFonts w:asciiTheme="minorHAnsi" w:hAnsiTheme="minorHAnsi" w:cstheme="minorHAnsi"/>
          <w:b/>
          <w:sz w:val="22"/>
          <w:szCs w:val="22"/>
        </w:rPr>
      </w:pPr>
      <w:bookmarkStart w:id="1511" w:name="_Toc365198079"/>
      <w:r w:rsidRPr="00E01239">
        <w:rPr>
          <w:rFonts w:asciiTheme="minorHAnsi" w:hAnsiTheme="minorHAnsi" w:cstheme="minorHAnsi"/>
          <w:b/>
          <w:sz w:val="22"/>
          <w:szCs w:val="22"/>
        </w:rPr>
        <w:t>Protection des ressources culturelles et archéologiques</w:t>
      </w:r>
      <w:bookmarkEnd w:id="1509"/>
      <w:bookmarkEnd w:id="1510"/>
      <w:bookmarkEnd w:id="1511"/>
    </w:p>
    <w:p w14:paraId="6DF755C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En cas de découvertes fortuites de ressources cultuelles non visibles ou de vestiges archéologiques, l’Entrepreneur sera tenu d’arrêter toute activité susceptible d’endommager ces objets, de les surveiller afin qu’ils ne soient pas dérobés ou abîmés par les employés du chantier ou les populations, et de prévenir sans tarder l’Ingénieur, Maître d’œuvre du projet. Ce dernier prendra alors en charge la protection de ces objets et leur déclaration aux autorités compétentes en matière de conservation du Patrimoine National. </w:t>
      </w:r>
    </w:p>
    <w:p w14:paraId="44A32B61"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On devra faire appel à un expert afin de déterminer quelles mesures doivent être prises avant de pouvoir poursuivre le travail. Les zones qui seront désignées comme à exclure seront clairement identifiables grâce à un ruban, une clôture ou des piquets. Bien que la probabilité de trouver des vestiges archéologiques sur les chantiers soit très faible, la présence d’un archéologue pourrait être requise pour identifier les vestiges et en prendre soin.</w:t>
      </w:r>
    </w:p>
    <w:p w14:paraId="42C411F6"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A la fin des travaux, l’Entrepreneur réalisera tous les travaux nécessaires à la remise en état des lieux, y compris le démantèlement et l’évacuation des installations, la récupération de tout son matériel, engins et matériaux. </w:t>
      </w:r>
    </w:p>
    <w:p w14:paraId="76F1EF84" w14:textId="77777777" w:rsidR="00477A61" w:rsidRPr="00E01239" w:rsidRDefault="00477A61" w:rsidP="00477A61">
      <w:pPr>
        <w:spacing w:line="360" w:lineRule="exact"/>
        <w:rPr>
          <w:rFonts w:asciiTheme="minorHAnsi" w:hAnsiTheme="minorHAnsi" w:cstheme="minorHAnsi"/>
          <w:sz w:val="22"/>
          <w:szCs w:val="22"/>
        </w:rPr>
      </w:pPr>
    </w:p>
    <w:p w14:paraId="3A7EA366" w14:textId="77777777" w:rsidR="00477A61" w:rsidRPr="00E01239" w:rsidRDefault="00477A61" w:rsidP="00477A61">
      <w:pPr>
        <w:spacing w:line="360" w:lineRule="exact"/>
        <w:rPr>
          <w:rFonts w:asciiTheme="minorHAnsi" w:hAnsiTheme="minorHAnsi" w:cstheme="minorHAnsi"/>
          <w:sz w:val="22"/>
          <w:szCs w:val="22"/>
        </w:rPr>
      </w:pPr>
    </w:p>
    <w:p w14:paraId="274F510E" w14:textId="77777777" w:rsidR="00477A61" w:rsidRPr="00E01239" w:rsidRDefault="00477A61" w:rsidP="00477A61">
      <w:pPr>
        <w:spacing w:line="360" w:lineRule="exact"/>
        <w:rPr>
          <w:rFonts w:asciiTheme="minorHAnsi" w:hAnsiTheme="minorHAnsi" w:cstheme="minorHAnsi"/>
          <w:b/>
          <w:sz w:val="22"/>
          <w:szCs w:val="22"/>
        </w:rPr>
      </w:pPr>
      <w:r w:rsidRPr="00E01239">
        <w:rPr>
          <w:rFonts w:asciiTheme="minorHAnsi" w:hAnsiTheme="minorHAnsi" w:cstheme="minorHAnsi"/>
          <w:b/>
          <w:sz w:val="22"/>
          <w:szCs w:val="22"/>
        </w:rPr>
        <w:t>Prescriptions environnementales particulières</w:t>
      </w:r>
    </w:p>
    <w:p w14:paraId="28E5472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Dans le cadre de la gestion environnementale et sociale du chantier, l’entrepreneur devra adopter un ensemble de prescriptions environnementales particulières allant dans le sens de limiter les nuisances, pollutions, gênes, accidents et incidents de chantier.</w:t>
      </w:r>
    </w:p>
    <w:p w14:paraId="7EE66393" w14:textId="77777777" w:rsidR="00477A61" w:rsidRPr="00E01239" w:rsidRDefault="00477A61" w:rsidP="002A19B3">
      <w:pPr>
        <w:numPr>
          <w:ilvl w:val="3"/>
          <w:numId w:val="68"/>
        </w:numPr>
        <w:spacing w:line="360" w:lineRule="exact"/>
        <w:ind w:left="1843"/>
        <w:rPr>
          <w:rFonts w:asciiTheme="minorHAnsi" w:hAnsiTheme="minorHAnsi" w:cstheme="minorHAnsi"/>
          <w:b/>
          <w:sz w:val="22"/>
          <w:szCs w:val="22"/>
        </w:rPr>
      </w:pPr>
      <w:r w:rsidRPr="00E01239">
        <w:rPr>
          <w:rFonts w:asciiTheme="minorHAnsi" w:hAnsiTheme="minorHAnsi" w:cstheme="minorHAnsi"/>
          <w:b/>
          <w:sz w:val="22"/>
          <w:szCs w:val="22"/>
        </w:rPr>
        <w:t>Gestion des déchets de chantier</w:t>
      </w:r>
    </w:p>
    <w:p w14:paraId="6786ED25"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est responsable des déchets générés par son activité sur le chantier. Il doit prendre les dispositions nécessaires au traitement par valorisation ou élimination des déchets en conformité avec la réglementation et le Code de l’Environnement.</w:t>
      </w:r>
    </w:p>
    <w:p w14:paraId="3E449043" w14:textId="77777777" w:rsidR="00477A61" w:rsidRPr="00E01239" w:rsidRDefault="00477A61" w:rsidP="00477A61">
      <w:pPr>
        <w:spacing w:line="360" w:lineRule="exact"/>
        <w:rPr>
          <w:rFonts w:asciiTheme="minorHAnsi" w:hAnsiTheme="minorHAnsi" w:cstheme="minorHAnsi"/>
          <w:b/>
          <w:sz w:val="22"/>
          <w:szCs w:val="22"/>
          <w:u w:val="single"/>
        </w:rPr>
      </w:pPr>
      <w:bookmarkStart w:id="1512" w:name="_Toc365198075"/>
      <w:r w:rsidRPr="00E01239">
        <w:rPr>
          <w:rFonts w:asciiTheme="minorHAnsi" w:hAnsiTheme="minorHAnsi" w:cstheme="minorHAnsi"/>
          <w:b/>
          <w:sz w:val="22"/>
          <w:szCs w:val="22"/>
          <w:u w:val="single"/>
        </w:rPr>
        <w:t>Gestion des déchets Banals</w:t>
      </w:r>
      <w:bookmarkEnd w:id="1512"/>
    </w:p>
    <w:p w14:paraId="675F42C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Les déchets banals (papiers, emballages carton ou plastique, verre, pièces mécaniques endommagées, débris de bois, ...) seront collectés dans des conteneurs formels disposés par l’Entrepreneur en divers endroits des installations fixes. Ces conteneurs seront vidés régulièrement pour éviter leur débordement et la dispersion des déchets par le vent. </w:t>
      </w:r>
    </w:p>
    <w:p w14:paraId="4C92212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L’Entrepreneur assurera lui-même l’évacuation et le dépôt des déchets banals résiduels sur le site agrée. Les déchets déposés seront recouverts d’une couche de terre suffisante pour éviter leur dispersion et les nuisances y afférentes. </w:t>
      </w:r>
    </w:p>
    <w:p w14:paraId="1D0F23AC"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L'ensemble des dispositions prévues par l'Entrepreneur dans le cadre de la gestion des déchets banals doivent être consignées dans le PEHS à présenter à l’Ingénieur pour validation avant le démarrage des travaux.</w:t>
      </w:r>
    </w:p>
    <w:p w14:paraId="68D8480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déblais issus des opérations de fouilles sont considérés dans cette rubrique s’ils ne sont pas mis en remblais.</w:t>
      </w:r>
    </w:p>
    <w:p w14:paraId="4C507735"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règles d'implantation et distances de servitude</w:t>
      </w:r>
    </w:p>
    <w:p w14:paraId="45FA0259" w14:textId="77777777" w:rsidR="00477A61" w:rsidRPr="00E01239" w:rsidRDefault="00477A61" w:rsidP="00477A61">
      <w:p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les</w:t>
      </w:r>
      <w:proofErr w:type="gramEnd"/>
      <w:r w:rsidRPr="00E01239">
        <w:rPr>
          <w:rFonts w:asciiTheme="minorHAnsi" w:hAnsiTheme="minorHAnsi" w:cstheme="minorHAnsi"/>
          <w:sz w:val="22"/>
          <w:szCs w:val="22"/>
        </w:rPr>
        <w:t xml:space="preserve"> locaux de déchets banals doivent être aérés, couverts et protégés contre les intempéries et les envolements</w:t>
      </w:r>
    </w:p>
    <w:p w14:paraId="2338DEDC" w14:textId="77777777" w:rsidR="00477A61" w:rsidRPr="00E01239" w:rsidRDefault="00477A61" w:rsidP="00477A61">
      <w:p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autour</w:t>
      </w:r>
      <w:proofErr w:type="gramEnd"/>
      <w:r w:rsidRPr="00E01239">
        <w:rPr>
          <w:rFonts w:asciiTheme="minorHAnsi" w:hAnsiTheme="minorHAnsi" w:cstheme="minorHAnsi"/>
          <w:sz w:val="22"/>
          <w:szCs w:val="22"/>
        </w:rPr>
        <w:t xml:space="preserve"> des locaux de déchets : il ne doit y avoir aucune source d'ignition et/ou de matières comburantes pouvant causer ou favoriser un incendie </w:t>
      </w:r>
    </w:p>
    <w:p w14:paraId="57CA5F2F" w14:textId="77777777" w:rsidR="00477A61" w:rsidRPr="00E01239" w:rsidRDefault="00477A61" w:rsidP="00477A61">
      <w:p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établir</w:t>
      </w:r>
      <w:proofErr w:type="gramEnd"/>
      <w:r w:rsidRPr="00E01239">
        <w:rPr>
          <w:rFonts w:asciiTheme="minorHAnsi" w:hAnsiTheme="minorHAnsi" w:cstheme="minorHAnsi"/>
          <w:sz w:val="22"/>
          <w:szCs w:val="22"/>
        </w:rPr>
        <w:t xml:space="preserve"> et documenter un bordereau de suivi des déchets</w:t>
      </w:r>
    </w:p>
    <w:p w14:paraId="09B26FEF"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moyens de Prévention et de lutte contre les pollutions et nuisances dans les zones de stockage des déchets :</w:t>
      </w:r>
    </w:p>
    <w:p w14:paraId="1D7CDFD8"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locaux déchets doivent être compartimentés selon les typologies de déchets</w:t>
      </w:r>
    </w:p>
    <w:p w14:paraId="5AA427E6"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Trier, retirer, dans la mesure du possible, tout déchet pouvant faire l'objet d'une filière de recyclage spécifique et notamment les déchets alimentaires biodégradables dans le cas de quantités importantes</w:t>
      </w:r>
    </w:p>
    <w:p w14:paraId="669B98DD"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Prévoir des poubelles par typologie de déchets et faciles à déplacer pour faciliter les manutentions</w:t>
      </w:r>
    </w:p>
    <w:p w14:paraId="7A444F37"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Définition des lieux de stockage facilement accessibles aux bennes pour éviter toute manutention délicate </w:t>
      </w:r>
    </w:p>
    <w:p w14:paraId="299FF7A1"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Limiter la durée du stockage</w:t>
      </w:r>
    </w:p>
    <w:p w14:paraId="78EB9EB2"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moyens de Prévention et de lutte contre l'incendie dans les zones de stockage des déchets :</w:t>
      </w:r>
    </w:p>
    <w:p w14:paraId="0234103F"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Prévoir une arrivée d'eau autour des locaux comme éventuels moyens de lutte contre l'incendie</w:t>
      </w:r>
    </w:p>
    <w:p w14:paraId="226004D9"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Prévoir 01 extincteur ABC de 9 kg</w:t>
      </w:r>
    </w:p>
    <w:p w14:paraId="58A6C902"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conditions d'exploitation dans les zones de stockage des déchets :</w:t>
      </w:r>
    </w:p>
    <w:p w14:paraId="117A29D8"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Aucun brûlage de déchets n'est toléré !</w:t>
      </w:r>
    </w:p>
    <w:p w14:paraId="16A40E53"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Tous les déchets doivent aller à la décharge autorisée ou tolérée et en cas d'absence de décharge dans la localité, l'entreprise devra concevoir un dispositif interne de stockage de déchets (genre casier d'enfouissement) en collaboration avec les services compétents (environnement, service d'hygiène, collectivité locale, etc.).</w:t>
      </w:r>
    </w:p>
    <w:p w14:paraId="2EC64B3D"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Mettre les affiches, consignes et panneaux de sécurité, d'interdiction, d'hygiène à respecter en ces lieux</w:t>
      </w:r>
    </w:p>
    <w:p w14:paraId="084128C6" w14:textId="77777777" w:rsidR="00477A61" w:rsidRPr="00E01239" w:rsidRDefault="00477A61" w:rsidP="00477A61">
      <w:pPr>
        <w:spacing w:line="360" w:lineRule="exact"/>
        <w:rPr>
          <w:rFonts w:asciiTheme="minorHAnsi" w:hAnsiTheme="minorHAnsi" w:cstheme="minorHAnsi"/>
          <w:b/>
          <w:sz w:val="22"/>
          <w:szCs w:val="22"/>
          <w:u w:val="single"/>
        </w:rPr>
      </w:pPr>
      <w:bookmarkStart w:id="1513" w:name="_Toc365198076"/>
      <w:r w:rsidRPr="00E01239">
        <w:rPr>
          <w:rFonts w:asciiTheme="minorHAnsi" w:hAnsiTheme="minorHAnsi" w:cstheme="minorHAnsi"/>
          <w:b/>
          <w:sz w:val="22"/>
          <w:szCs w:val="22"/>
          <w:u w:val="single"/>
        </w:rPr>
        <w:t>Gestion des déchets spéciaux</w:t>
      </w:r>
      <w:bookmarkEnd w:id="1513"/>
    </w:p>
    <w:p w14:paraId="46C5DD97"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Sont considérés comme déchets dangereux : les huiles usagées, les piles, les batteries, les filtres (huile, gasoil), graisses usées, chiffons souillés et absorbants, matières chimiques liquides ou semi liquides (peintures, solvants, etc.), sol souillé, cartouches d’imprimante, les pneus usagés, etc.</w:t>
      </w:r>
    </w:p>
    <w:p w14:paraId="2FD2C365"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L’Entrepreneur est tenu de manipuler avec précaution, de collecter dans des récipients étanches et si possible de recycler les déchets de chantier tant au niveau des installations fixes qu'au niveau des ateliers mobiles. </w:t>
      </w:r>
    </w:p>
    <w:p w14:paraId="439ED5D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Ces déchets spéciaux seront d’abord stockés au niveau des installations fixes dans des conteneurs métalliques étanches colorés et marqués selon la nature des déchets. Ces conteneurs seront placés dans une aire inaccessible au public et protégée de la pluie par un toit de tôle ou autres matériau dur et étanche. Le sol sera imperméabilisé par une couche par une couche de béton ou autre matériau adéquat et entourée par un système de drainage étanche aboutissant à une fosse avec séparateur d’huile. Les conteneurs devront être vidés avec une fréquence suffisante pour éviter tout débordement.</w:t>
      </w:r>
    </w:p>
    <w:p w14:paraId="3F7EF612"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En aucun cas les déchets spéciaux ne devront être abandonnés à la fermeture du chantier, ni déversés dans le milieu naturel ou enfouis, ni distribués aux populations. Ils devront être, soit repris par le fournisseur, soit réexpédié vers un site spécial équipé à des fins de recyclage ou de stockage sécurisé. La destination et le devenir de ces déchets devra être clairement spécifié par l’Entrepreneur dans son PEHS pour validation avant le démarrage des travaux. </w:t>
      </w:r>
    </w:p>
    <w:p w14:paraId="04B2DD45"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moyens de Prévention et de lutte contre les pollutions et nuisances inhérents aux déchets spéciaux</w:t>
      </w:r>
    </w:p>
    <w:p w14:paraId="5CDF538A"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locaux déchets dangereux doivent avoir une dalle étanche et une rétention égale au volume susceptible d'être stocké</w:t>
      </w:r>
    </w:p>
    <w:p w14:paraId="7E94CD2A"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filtres à huile et/ou à gasoil seront égouttés, éventrés au besoin afin de séparer le métal de la matière filtrante. Ces filtres seront stockés dans des barils</w:t>
      </w:r>
    </w:p>
    <w:p w14:paraId="2D8FC403"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Une cuve de récupération des huiles usagées d'au moins 2 m</w:t>
      </w:r>
      <w:r w:rsidRPr="00E01239">
        <w:rPr>
          <w:rFonts w:asciiTheme="minorHAnsi" w:hAnsiTheme="minorHAnsi" w:cstheme="minorHAnsi"/>
          <w:sz w:val="22"/>
          <w:szCs w:val="22"/>
          <w:vertAlign w:val="superscript"/>
        </w:rPr>
        <w:t>3</w:t>
      </w:r>
      <w:r w:rsidRPr="00E01239">
        <w:rPr>
          <w:rFonts w:asciiTheme="minorHAnsi" w:hAnsiTheme="minorHAnsi" w:cstheme="minorHAnsi"/>
          <w:sz w:val="22"/>
          <w:szCs w:val="22"/>
        </w:rPr>
        <w:t xml:space="preserve"> doit être installée ou utiliser des fûts munis de bouchons </w:t>
      </w:r>
    </w:p>
    <w:p w14:paraId="7F5F7563"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Les kits absorbants utilisés seront stockés dans des barils ou des fûts en plastiques </w:t>
      </w:r>
    </w:p>
    <w:p w14:paraId="0C27500D"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sols souillés seront stockés dans sur une aire dallée et étanche à l'abri des envolements et des intempéries en attendant leur traitement</w:t>
      </w:r>
    </w:p>
    <w:p w14:paraId="5B36CA9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moyens de Prévention et de lutte contre l'incendie dans les zones de stockage des déchets spéciaux</w:t>
      </w:r>
    </w:p>
    <w:p w14:paraId="60067105"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Prévoir 02 extincteurs ABC ou CO2 de 50 kg au moins</w:t>
      </w:r>
    </w:p>
    <w:p w14:paraId="722AC42D"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Prévoir une plateforme (étanche avec rétention) pour le tri </w:t>
      </w:r>
    </w:p>
    <w:p w14:paraId="6DB4D9BF" w14:textId="77777777" w:rsidR="00477A61" w:rsidRPr="00E01239" w:rsidRDefault="00477A61" w:rsidP="00477A61">
      <w:p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un</w:t>
      </w:r>
      <w:proofErr w:type="gramEnd"/>
      <w:r w:rsidRPr="00E01239">
        <w:rPr>
          <w:rFonts w:asciiTheme="minorHAnsi" w:hAnsiTheme="minorHAnsi" w:cstheme="minorHAnsi"/>
          <w:sz w:val="22"/>
          <w:szCs w:val="22"/>
        </w:rPr>
        <w:t xml:space="preserve"> local spécial sera prévu pour les déchets électroniques, les encres des imprimantes, les piles et accumulateurs</w:t>
      </w:r>
    </w:p>
    <w:p w14:paraId="4E1267B3"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Mettre les affiches, consignes et panneaux de sécurité, d'interdiction, d'hygiène à respecter en ces lieux</w:t>
      </w:r>
    </w:p>
    <w:p w14:paraId="33212CD9"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lastRenderedPageBreak/>
        <w:t>Disposer et afficher les fiches de sécurité (FDS) des produits dangereux</w:t>
      </w:r>
    </w:p>
    <w:p w14:paraId="1AC24D1D"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 PEHS doit préciser les mesures prises pour le transport, le stockage et la manipulation des produits potentiellement polluants ou dangereux qui seront utilisés durant les phases de construction : carburants, huile de moteur, lubrifiants, fluides hydrauliques, explosifs, acétylène, peintures, additifs au béton, nettoyants et solvants, etc. </w:t>
      </w:r>
    </w:p>
    <w:p w14:paraId="2B150191"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 transport des matériaux polluants ou dangereux sera exécuté en conformité avec les normes nationales et internationales. En particulier :</w:t>
      </w:r>
    </w:p>
    <w:p w14:paraId="5FE9DBB6"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Inspection des marchandises entrant sur les chantiers (immatriculation, étiquetage, conformité des emballages non modifiés) ;</w:t>
      </w:r>
    </w:p>
    <w:p w14:paraId="299EAC43"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Assurer le transport sécuritaire des produits (jusqu’au moment où le matériau sera utilisé ou stocké) ;</w:t>
      </w:r>
    </w:p>
    <w:p w14:paraId="47434355"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Détention obligatoire d’un certificat de formation pour les personnes employées chargées du transport ou de la manutention des produits dangereux ;</w:t>
      </w:r>
    </w:p>
    <w:p w14:paraId="7A7AE82C"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 trajet des camions sera étudié pour éviter les zones habitées ou cultivées et les aires naturelles protégées ;</w:t>
      </w:r>
    </w:p>
    <w:p w14:paraId="5829C716"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routes ou pistes affectées au transport de carburant seront clairement indiquées et préservées du reste de la circulation lorsque cela est possible ;</w:t>
      </w:r>
    </w:p>
    <w:p w14:paraId="55C76E6F" w14:textId="77777777" w:rsidR="00477A61" w:rsidRPr="00E01239" w:rsidRDefault="00477A61" w:rsidP="00477A61">
      <w:p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Les données relatives à la sécurité et aux risques afférents à tous les produits dangereux doivent être mises à disposition des employés concernés ainsi que des moyens appropriés pour la prévention des incendies. </w:t>
      </w:r>
    </w:p>
    <w:p w14:paraId="5EE4713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Sur tous les chantiers, les carburants et autres produits polluants ou dangereux doivent être stockés dans des réservoirs étanches (béton) surélevés (hors d’eau) et équipés de cuvette de rétention en béton.</w:t>
      </w:r>
    </w:p>
    <w:p w14:paraId="7CD7289C"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Tout sol contaminé par des fuites de carburant, huile ou graisse devra être confiné dans des contenants ou déplacé dans une zone abritée (du vent, de la pluie ou de l’érosion causé par l’eau). Les méthodes pour collecter et traiter les sols contaminés doivent faire l’objet d’un suivi. La terre perméable et contaminée sera déplacée dans des récipients spécialement destinés à cet usage et transportée vers le lieu de traitement en conformité avec les normes en vigueur.</w:t>
      </w:r>
    </w:p>
    <w:p w14:paraId="653DD145" w14:textId="77777777" w:rsidR="00477A61" w:rsidRPr="00E01239" w:rsidRDefault="00477A61" w:rsidP="002A19B3">
      <w:pPr>
        <w:numPr>
          <w:ilvl w:val="3"/>
          <w:numId w:val="68"/>
        </w:numPr>
        <w:spacing w:line="360" w:lineRule="exact"/>
        <w:ind w:left="1843"/>
        <w:rPr>
          <w:rFonts w:asciiTheme="minorHAnsi" w:hAnsiTheme="minorHAnsi" w:cstheme="minorHAnsi"/>
          <w:b/>
          <w:sz w:val="22"/>
          <w:szCs w:val="22"/>
        </w:rPr>
      </w:pPr>
      <w:r w:rsidRPr="00E01239">
        <w:rPr>
          <w:rFonts w:asciiTheme="minorHAnsi" w:hAnsiTheme="minorHAnsi" w:cstheme="minorHAnsi"/>
          <w:b/>
          <w:sz w:val="22"/>
          <w:szCs w:val="22"/>
        </w:rPr>
        <w:t>Gestion des eaux usées</w:t>
      </w:r>
    </w:p>
    <w:p w14:paraId="0F9233C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La base de chantier doit être pourvue d'installations sanitaires en nombre suffisant (latrines, fosses septiques, lavabos et douches). L’Entrepreneur doit respecter les règlements sanitaires en vigueur. Les installations sanitaires sont établies en accord avec le Maître d’œuvre. </w:t>
      </w:r>
    </w:p>
    <w:p w14:paraId="76D9793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w:t>
      </w:r>
    </w:p>
    <w:p w14:paraId="100B181B"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L’Entrepreneur devra éviter tout déversement ou rejet d’eaux usées, d’eaux de vidange des fosses, de boues, hydrocarbures, et polluants de toute natures, dans les eaux superficielles ou souterraines, dans les égouts, fossés de drainage. Les points de rejet et de vidange seront indiqués à l’Entrepreneur par le Maître d’œuvre. Les boues de vidange devront être acheminées vers une déposante ou station de traitement des boues de vidange (STBV) la plus proche du site par un camion hydrocureur.</w:t>
      </w:r>
    </w:p>
    <w:p w14:paraId="14A88C6B" w14:textId="77777777" w:rsidR="00477A61" w:rsidRPr="00E01239" w:rsidRDefault="00477A61" w:rsidP="00477A61">
      <w:pPr>
        <w:spacing w:line="360" w:lineRule="exact"/>
        <w:rPr>
          <w:rFonts w:asciiTheme="minorHAnsi" w:hAnsiTheme="minorHAnsi" w:cstheme="minorHAnsi"/>
          <w:sz w:val="22"/>
          <w:szCs w:val="22"/>
        </w:rPr>
      </w:pPr>
    </w:p>
    <w:p w14:paraId="211F98B9" w14:textId="77777777" w:rsidR="00477A61" w:rsidRPr="00E01239" w:rsidRDefault="00477A61" w:rsidP="002A19B3">
      <w:pPr>
        <w:numPr>
          <w:ilvl w:val="3"/>
          <w:numId w:val="68"/>
        </w:numPr>
        <w:spacing w:line="360" w:lineRule="exact"/>
        <w:ind w:left="1843"/>
        <w:rPr>
          <w:rFonts w:asciiTheme="minorHAnsi" w:hAnsiTheme="minorHAnsi" w:cstheme="minorHAnsi"/>
          <w:b/>
          <w:sz w:val="22"/>
          <w:szCs w:val="22"/>
        </w:rPr>
      </w:pPr>
      <w:r w:rsidRPr="00E01239">
        <w:rPr>
          <w:rFonts w:asciiTheme="minorHAnsi" w:hAnsiTheme="minorHAnsi" w:cstheme="minorHAnsi"/>
          <w:b/>
          <w:sz w:val="22"/>
          <w:szCs w:val="22"/>
        </w:rPr>
        <w:t>Protection du Milieu biophysique</w:t>
      </w:r>
    </w:p>
    <w:p w14:paraId="5432BF5B"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En vue de réduire ou de supprimer les incidences négatives des travaux sur l’environnement physique, biologique et socio-économique, L’Entrepreneur sera tenu de mettre en œuvre les mesures suivantes : </w:t>
      </w:r>
    </w:p>
    <w:p w14:paraId="39E3F135" w14:textId="77777777" w:rsidR="00477A61" w:rsidRPr="00E01239" w:rsidRDefault="00477A61" w:rsidP="00477A61">
      <w:pPr>
        <w:spacing w:line="360" w:lineRule="exact"/>
        <w:rPr>
          <w:rFonts w:asciiTheme="minorHAnsi" w:hAnsiTheme="minorHAnsi" w:cstheme="minorHAnsi"/>
          <w:b/>
          <w:sz w:val="22"/>
          <w:szCs w:val="22"/>
          <w:u w:val="single"/>
        </w:rPr>
      </w:pPr>
      <w:bookmarkStart w:id="1514" w:name="_Toc304471263"/>
      <w:bookmarkStart w:id="1515" w:name="_Toc315711299"/>
      <w:bookmarkStart w:id="1516" w:name="_Toc365198040"/>
      <w:bookmarkStart w:id="1517" w:name="_Toc196038052"/>
      <w:bookmarkStart w:id="1518" w:name="_Toc204502979"/>
      <w:r w:rsidRPr="00E01239">
        <w:rPr>
          <w:rFonts w:asciiTheme="minorHAnsi" w:hAnsiTheme="minorHAnsi" w:cstheme="minorHAnsi"/>
          <w:b/>
          <w:sz w:val="22"/>
          <w:szCs w:val="22"/>
          <w:u w:val="single"/>
        </w:rPr>
        <w:t>Limitation de la pollution de l’air par les polluants gazeux</w:t>
      </w:r>
      <w:bookmarkEnd w:id="1514"/>
      <w:bookmarkEnd w:id="1515"/>
      <w:bookmarkEnd w:id="1516"/>
      <w:r w:rsidRPr="00E01239">
        <w:rPr>
          <w:rFonts w:asciiTheme="minorHAnsi" w:hAnsiTheme="minorHAnsi" w:cstheme="minorHAnsi"/>
          <w:b/>
          <w:sz w:val="22"/>
          <w:szCs w:val="22"/>
          <w:u w:val="single"/>
        </w:rPr>
        <w:t xml:space="preserve"> : </w:t>
      </w:r>
    </w:p>
    <w:p w14:paraId="78A94E5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Afin de limiter les fortes émissions de gaz d’échappement, le parc de véhicules et engins lourds de l’Entrepreneur et de ses sous-traitants devront être entretenus de manière régulière en conformité avec les recommandations des constructeurs.</w:t>
      </w:r>
      <w:bookmarkStart w:id="1519" w:name="_Toc304471264"/>
      <w:bookmarkStart w:id="1520" w:name="_Toc315711300"/>
      <w:bookmarkStart w:id="1521" w:name="_Toc365198041"/>
    </w:p>
    <w:p w14:paraId="122FB335" w14:textId="77777777" w:rsidR="00477A61" w:rsidRPr="00E01239" w:rsidRDefault="00477A61" w:rsidP="00477A61">
      <w:pPr>
        <w:spacing w:line="360" w:lineRule="exact"/>
        <w:rPr>
          <w:rFonts w:asciiTheme="minorHAnsi" w:hAnsiTheme="minorHAnsi" w:cstheme="minorHAnsi"/>
          <w:b/>
          <w:sz w:val="22"/>
          <w:szCs w:val="22"/>
          <w:u w:val="single"/>
        </w:rPr>
      </w:pPr>
      <w:r w:rsidRPr="00E01239">
        <w:rPr>
          <w:rFonts w:asciiTheme="minorHAnsi" w:hAnsiTheme="minorHAnsi" w:cstheme="minorHAnsi"/>
          <w:b/>
          <w:sz w:val="22"/>
          <w:szCs w:val="22"/>
          <w:u w:val="single"/>
        </w:rPr>
        <w:t>Limitation de l’érosion</w:t>
      </w:r>
      <w:bookmarkEnd w:id="1517"/>
      <w:r w:rsidRPr="00E01239">
        <w:rPr>
          <w:rFonts w:asciiTheme="minorHAnsi" w:hAnsiTheme="minorHAnsi" w:cstheme="minorHAnsi"/>
          <w:b/>
          <w:sz w:val="22"/>
          <w:szCs w:val="22"/>
          <w:u w:val="single"/>
        </w:rPr>
        <w:t xml:space="preserve"> des sol</w:t>
      </w:r>
      <w:bookmarkEnd w:id="1518"/>
      <w:r w:rsidRPr="00E01239">
        <w:rPr>
          <w:rFonts w:asciiTheme="minorHAnsi" w:hAnsiTheme="minorHAnsi" w:cstheme="minorHAnsi"/>
          <w:b/>
          <w:sz w:val="22"/>
          <w:szCs w:val="22"/>
          <w:u w:val="single"/>
        </w:rPr>
        <w:t>s</w:t>
      </w:r>
      <w:bookmarkEnd w:id="1519"/>
      <w:bookmarkEnd w:id="1520"/>
      <w:bookmarkEnd w:id="1521"/>
      <w:r w:rsidRPr="00E01239">
        <w:rPr>
          <w:rFonts w:asciiTheme="minorHAnsi" w:hAnsiTheme="minorHAnsi" w:cstheme="minorHAnsi"/>
          <w:b/>
          <w:sz w:val="22"/>
          <w:szCs w:val="22"/>
          <w:u w:val="single"/>
        </w:rPr>
        <w:t xml:space="preserve"> : </w:t>
      </w:r>
    </w:p>
    <w:p w14:paraId="4AFAA9EE"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doit prendre toutes les précautions nécessaires afin de prévenir l’érosion du sol, suite à l’utilisation ou à l’occupation qu’il fait d’une terre donnée.</w:t>
      </w:r>
    </w:p>
    <w:p w14:paraId="0D55F9B6" w14:textId="77777777" w:rsidR="00477A61" w:rsidRPr="00E01239" w:rsidRDefault="00477A61" w:rsidP="00477A61">
      <w:pPr>
        <w:spacing w:line="360" w:lineRule="exact"/>
        <w:rPr>
          <w:rFonts w:asciiTheme="minorHAnsi" w:hAnsiTheme="minorHAnsi" w:cstheme="minorHAnsi"/>
          <w:b/>
          <w:sz w:val="22"/>
          <w:szCs w:val="22"/>
          <w:u w:val="single"/>
        </w:rPr>
      </w:pPr>
      <w:bookmarkStart w:id="1522" w:name="_Toc204502980"/>
      <w:bookmarkStart w:id="1523" w:name="_Toc304471265"/>
      <w:bookmarkStart w:id="1524" w:name="_Toc315711301"/>
      <w:bookmarkStart w:id="1525" w:name="_Toc365198042"/>
      <w:r w:rsidRPr="00E01239">
        <w:rPr>
          <w:rFonts w:asciiTheme="minorHAnsi" w:hAnsiTheme="minorHAnsi" w:cstheme="minorHAnsi"/>
          <w:b/>
          <w:sz w:val="22"/>
          <w:szCs w:val="22"/>
          <w:u w:val="single"/>
        </w:rPr>
        <w:t>Protection des eaux de surface et des nappes aquifères</w:t>
      </w:r>
      <w:bookmarkEnd w:id="1522"/>
      <w:bookmarkEnd w:id="1523"/>
      <w:bookmarkEnd w:id="1524"/>
      <w:bookmarkEnd w:id="1525"/>
    </w:p>
    <w:p w14:paraId="36598453"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devra prendre les dispositions nécessaires pour éviter tout déversement ou rejet d’eaux usées, boue, coulis, hydrocarbures, polluants de toute nature etc.… dans le fleuve</w:t>
      </w:r>
    </w:p>
    <w:p w14:paraId="23362963" w14:textId="77777777" w:rsidR="00477A61" w:rsidRPr="00E01239" w:rsidRDefault="00477A61" w:rsidP="00477A61">
      <w:pPr>
        <w:spacing w:line="360" w:lineRule="exact"/>
        <w:rPr>
          <w:rFonts w:asciiTheme="minorHAnsi" w:hAnsiTheme="minorHAnsi" w:cstheme="minorHAnsi"/>
          <w:b/>
          <w:sz w:val="22"/>
          <w:szCs w:val="22"/>
          <w:u w:val="single"/>
        </w:rPr>
      </w:pPr>
      <w:bookmarkStart w:id="1526" w:name="_Toc204502981"/>
      <w:bookmarkStart w:id="1527" w:name="_Toc304471266"/>
      <w:bookmarkStart w:id="1528" w:name="_Toc315711302"/>
      <w:bookmarkStart w:id="1529" w:name="_Toc365198045"/>
      <w:r w:rsidRPr="00E01239">
        <w:rPr>
          <w:rFonts w:asciiTheme="minorHAnsi" w:hAnsiTheme="minorHAnsi" w:cstheme="minorHAnsi"/>
          <w:b/>
          <w:sz w:val="22"/>
          <w:szCs w:val="22"/>
          <w:u w:val="single"/>
        </w:rPr>
        <w:t>Protection de la flore</w:t>
      </w:r>
      <w:bookmarkEnd w:id="1526"/>
      <w:bookmarkEnd w:id="1527"/>
      <w:bookmarkEnd w:id="1528"/>
      <w:bookmarkEnd w:id="1529"/>
    </w:p>
    <w:p w14:paraId="6FDE8E82"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L’exécution du présent Contrat exigeant que l’on enlève des spécimens d’espèces arborées et arbustives, L’Entrepreneur doit informer les représentants locaux de l’administration forestière du nombre et du lieu d’implantation de ces végétaux ligneux afin d’obtenir les autorisations nécessaires.</w:t>
      </w:r>
    </w:p>
    <w:p w14:paraId="480DFF5F" w14:textId="77777777" w:rsidR="00477A61" w:rsidRPr="00E01239" w:rsidRDefault="00477A61" w:rsidP="00477A61">
      <w:pPr>
        <w:spacing w:line="360" w:lineRule="exact"/>
        <w:rPr>
          <w:rFonts w:asciiTheme="minorHAnsi" w:hAnsiTheme="minorHAnsi" w:cstheme="minorHAnsi"/>
          <w:b/>
          <w:sz w:val="22"/>
          <w:szCs w:val="22"/>
          <w:u w:val="single"/>
        </w:rPr>
      </w:pPr>
      <w:bookmarkStart w:id="1530" w:name="_Toc304471270"/>
      <w:bookmarkStart w:id="1531" w:name="_Toc315711307"/>
      <w:bookmarkStart w:id="1532" w:name="_Toc365198049"/>
      <w:r w:rsidRPr="00E01239">
        <w:rPr>
          <w:rFonts w:asciiTheme="minorHAnsi" w:hAnsiTheme="minorHAnsi" w:cstheme="minorHAnsi"/>
          <w:b/>
          <w:sz w:val="22"/>
          <w:szCs w:val="22"/>
          <w:u w:val="single"/>
        </w:rPr>
        <w:br w:type="page"/>
      </w:r>
      <w:r w:rsidRPr="00E01239">
        <w:rPr>
          <w:rFonts w:asciiTheme="minorHAnsi" w:hAnsiTheme="minorHAnsi" w:cstheme="minorHAnsi"/>
          <w:b/>
          <w:sz w:val="22"/>
          <w:szCs w:val="22"/>
          <w:u w:val="single"/>
        </w:rPr>
        <w:lastRenderedPageBreak/>
        <w:t>Protection de la population contre les émissions atmosphériques de polluants</w:t>
      </w:r>
      <w:bookmarkEnd w:id="1530"/>
      <w:bookmarkEnd w:id="1531"/>
      <w:bookmarkEnd w:id="1532"/>
    </w:p>
    <w:p w14:paraId="5C0AB9F3" w14:textId="77777777" w:rsidR="00477A61" w:rsidRPr="00E01239" w:rsidRDefault="00477A61" w:rsidP="00477A61">
      <w:pPr>
        <w:spacing w:line="360" w:lineRule="exact"/>
        <w:rPr>
          <w:rFonts w:asciiTheme="minorHAnsi" w:hAnsiTheme="minorHAnsi" w:cstheme="minorHAnsi"/>
          <w:sz w:val="22"/>
          <w:szCs w:val="22"/>
        </w:rPr>
      </w:pPr>
      <w:bookmarkStart w:id="1533" w:name="_Toc204502978"/>
      <w:r w:rsidRPr="00E01239">
        <w:rPr>
          <w:rFonts w:asciiTheme="minorHAnsi" w:hAnsiTheme="minorHAnsi" w:cstheme="minorHAnsi"/>
          <w:sz w:val="22"/>
          <w:szCs w:val="22"/>
        </w:rPr>
        <w:t>La limitation des émissions de gaz d’échappement du parc de véhicules et engins lourds de l’Entrepreneur en service dans le cadre du présent marché permettra de limiter les polluants atmosphériques (gaz et particules) respirés par les populations riveraines des sites de chantier et des pistes les reliant.</w:t>
      </w:r>
    </w:p>
    <w:p w14:paraId="228C8256"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Les émissions atmosphériques devront être conformes aux normes mauritaniennes en matière de rejet atmosphériques et </w:t>
      </w:r>
      <w:bookmarkEnd w:id="1533"/>
      <w:r w:rsidRPr="00E01239">
        <w:rPr>
          <w:rFonts w:asciiTheme="minorHAnsi" w:hAnsiTheme="minorHAnsi" w:cstheme="minorHAnsi"/>
          <w:sz w:val="22"/>
          <w:szCs w:val="22"/>
        </w:rPr>
        <w:t>hydriques.</w:t>
      </w:r>
    </w:p>
    <w:p w14:paraId="0370D5AB"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méthodes de l’Entrepreneur pour la lutte contre la poussière doivent être appliquées sur :</w:t>
      </w:r>
    </w:p>
    <w:p w14:paraId="1AC1ABFC" w14:textId="77777777" w:rsidR="00477A61" w:rsidRPr="00E01239" w:rsidRDefault="00477A61" w:rsidP="002A19B3">
      <w:pPr>
        <w:numPr>
          <w:ilvl w:val="0"/>
          <w:numId w:val="60"/>
        </w:num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toutes</w:t>
      </w:r>
      <w:proofErr w:type="gramEnd"/>
      <w:r w:rsidRPr="00E01239">
        <w:rPr>
          <w:rFonts w:asciiTheme="minorHAnsi" w:hAnsiTheme="minorHAnsi" w:cstheme="minorHAnsi"/>
          <w:sz w:val="22"/>
          <w:szCs w:val="22"/>
        </w:rPr>
        <w:t xml:space="preserve"> les routes non revêtues qui supportent le trafic lié aux travaux de construction, et notamment la circulation des camions transportant les déblais vers leurs lieux de stockage final ; </w:t>
      </w:r>
    </w:p>
    <w:p w14:paraId="12EF9221" w14:textId="77777777" w:rsidR="00477A61" w:rsidRPr="00E01239" w:rsidRDefault="00477A61" w:rsidP="002A19B3">
      <w:pPr>
        <w:numPr>
          <w:ilvl w:val="0"/>
          <w:numId w:val="60"/>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zones de dépôt et leurs routes d’accès ;</w:t>
      </w:r>
    </w:p>
    <w:p w14:paraId="0BC5BC94" w14:textId="77777777" w:rsidR="00477A61" w:rsidRPr="00E01239" w:rsidRDefault="00477A61" w:rsidP="002A19B3">
      <w:pPr>
        <w:numPr>
          <w:ilvl w:val="0"/>
          <w:numId w:val="60"/>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voies d’accès aux emprises du chantier d’aménagement.</w:t>
      </w:r>
    </w:p>
    <w:p w14:paraId="3BE04345" w14:textId="77777777" w:rsidR="00477A61" w:rsidRPr="00E01239" w:rsidRDefault="00477A61" w:rsidP="00477A61">
      <w:pPr>
        <w:spacing w:line="360" w:lineRule="exact"/>
        <w:rPr>
          <w:rFonts w:asciiTheme="minorHAnsi" w:hAnsiTheme="minorHAnsi" w:cstheme="minorHAnsi"/>
          <w:sz w:val="22"/>
          <w:szCs w:val="22"/>
        </w:rPr>
      </w:pPr>
      <w:bookmarkStart w:id="1534" w:name="_Toc204502976"/>
      <w:bookmarkStart w:id="1535" w:name="_Toc304471272"/>
      <w:bookmarkStart w:id="1536" w:name="_Toc315711309"/>
      <w:r w:rsidRPr="00E01239">
        <w:rPr>
          <w:rFonts w:asciiTheme="minorHAnsi" w:hAnsiTheme="minorHAnsi" w:cstheme="minorHAnsi"/>
          <w:sz w:val="22"/>
          <w:szCs w:val="22"/>
        </w:rPr>
        <w:t>L’objectif est de minimiser l’émission des poussières et des pollutions atmosphériques produites par le chantier et les transports sur les voies publiques et réduire les gaz d’échappement des engins de chantier et camions.</w:t>
      </w:r>
    </w:p>
    <w:p w14:paraId="25818F2D"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Mesures de réduction des poussières : Lors du transport des matériaux fins et pulvérulents sur les voies publiques, les bennes devront être bâchées.</w:t>
      </w:r>
    </w:p>
    <w:p w14:paraId="765E7468"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L’envol de poussières depuis la zone de travaux sera limité par l’arrosage des pistes et des surfaces nivelées par temps sec, en particulier au voisinage des habitations.</w:t>
      </w:r>
    </w:p>
    <w:p w14:paraId="20A4A96D"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Mesures de réduction des gaz d’échappement : Les entreprises devront justifier du contrôle technique des véhicules utilisés afin de garantir le respect des normes d’émissions gazeuses en vigueur. Les vitesses dans l’enceinte du chantier seront limitées à 30 km/h et 10 km/h aux abords des travaux en cours (présence du personnel). </w:t>
      </w:r>
    </w:p>
    <w:p w14:paraId="680486F3"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L’ensemble du matériel évoluant sur le chantier sera entretenu selon les prescriptions du fabricant (dégagement de gaz polluants). A chaque fois que cela sera possible, le matériel électrique sera préféré au matériel thermique (pas d’émission de gaz polluant ou de gaz à effet de serre). </w:t>
      </w:r>
    </w:p>
    <w:p w14:paraId="10B9F5A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Interdiction de combustion des déchets : l’incinération des déchets solides est prohibée au même titre que les autres formes de déchets ; en particulier les huiles usées, les pneus et emballages plastiques ne seront pas brulés ni dans l’emprise du chantier ni aux alentours.</w:t>
      </w:r>
    </w:p>
    <w:p w14:paraId="4911547E" w14:textId="77777777" w:rsidR="00477A61" w:rsidRPr="00E01239" w:rsidRDefault="00477A61" w:rsidP="00477A61">
      <w:pPr>
        <w:spacing w:line="360" w:lineRule="exact"/>
        <w:rPr>
          <w:rFonts w:asciiTheme="minorHAnsi" w:hAnsiTheme="minorHAnsi" w:cstheme="minorHAnsi"/>
          <w:sz w:val="22"/>
          <w:szCs w:val="22"/>
        </w:rPr>
      </w:pPr>
    </w:p>
    <w:p w14:paraId="38E33D4A" w14:textId="77777777" w:rsidR="00477A61" w:rsidRPr="00E01239" w:rsidRDefault="00477A61" w:rsidP="002A19B3">
      <w:pPr>
        <w:numPr>
          <w:ilvl w:val="3"/>
          <w:numId w:val="68"/>
        </w:numPr>
        <w:spacing w:line="360" w:lineRule="exact"/>
        <w:ind w:left="1843"/>
        <w:rPr>
          <w:rFonts w:asciiTheme="minorHAnsi" w:hAnsiTheme="minorHAnsi" w:cstheme="minorHAnsi"/>
          <w:b/>
          <w:sz w:val="22"/>
          <w:szCs w:val="22"/>
        </w:rPr>
      </w:pPr>
      <w:bookmarkStart w:id="1537" w:name="_Toc365198051"/>
      <w:r w:rsidRPr="00E01239">
        <w:rPr>
          <w:rFonts w:asciiTheme="minorHAnsi" w:hAnsiTheme="minorHAnsi" w:cstheme="minorHAnsi"/>
          <w:b/>
          <w:sz w:val="22"/>
          <w:szCs w:val="22"/>
        </w:rPr>
        <w:t>Protection de la population contre le bruit</w:t>
      </w:r>
      <w:bookmarkEnd w:id="1534"/>
      <w:bookmarkEnd w:id="1535"/>
      <w:bookmarkEnd w:id="1536"/>
      <w:bookmarkEnd w:id="1537"/>
    </w:p>
    <w:p w14:paraId="00B31FB8"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L’attention de l’Entrepreneur est spécialement attirée sur l’obligation de limiter les bruits de chantier susceptibles d’importuner gravement les riverains, soit par une durée exagérément longue, soit par leur prolongation en dehors des heures normales de travail, soit par plusieurs de ces causes simultanément. Toute émission de bruit non indispensable sera formellement interdite.</w:t>
      </w:r>
    </w:p>
    <w:p w14:paraId="72D49588"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Les itinéraires et les heures dédiées au transport seront choisis avec soin afin de réduire au maximum l’impact du bruit sur les résidents. </w:t>
      </w:r>
    </w:p>
    <w:p w14:paraId="60796B61"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L’Entrepreneur utilisera du matériel conforme aux réglementations en vigueur dans le domaine du bruit et de sa prévention.</w:t>
      </w:r>
    </w:p>
    <w:p w14:paraId="2D19600D"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groupes électrogènes utilisés en phase de travaux devront être dotées de système de capotage.</w:t>
      </w:r>
    </w:p>
    <w:p w14:paraId="41869735"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L’entretien et la maintenance devront permettre de faire fonctionner les engins de façon conforme (capots d’insonorisation présents et fixés en place, silencieux en bon état, etc.).</w:t>
      </w:r>
    </w:p>
    <w:p w14:paraId="6363A6D7"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Les autorités concernées seront informées des travaux bruyants. </w:t>
      </w:r>
    </w:p>
    <w:p w14:paraId="0104771A" w14:textId="77777777" w:rsidR="00477A61" w:rsidRPr="00E01239" w:rsidRDefault="00477A61" w:rsidP="002A19B3">
      <w:pPr>
        <w:numPr>
          <w:ilvl w:val="3"/>
          <w:numId w:val="68"/>
        </w:numPr>
        <w:spacing w:line="360" w:lineRule="exact"/>
        <w:ind w:left="1843"/>
        <w:rPr>
          <w:rFonts w:asciiTheme="minorHAnsi" w:hAnsiTheme="minorHAnsi" w:cstheme="minorHAnsi"/>
          <w:b/>
          <w:sz w:val="22"/>
          <w:szCs w:val="22"/>
        </w:rPr>
      </w:pPr>
      <w:bookmarkStart w:id="1538" w:name="_Toc304471274"/>
      <w:bookmarkStart w:id="1539" w:name="_Toc315711310"/>
      <w:bookmarkStart w:id="1540" w:name="_Toc365198052"/>
      <w:r w:rsidRPr="00E01239">
        <w:rPr>
          <w:rFonts w:asciiTheme="minorHAnsi" w:hAnsiTheme="minorHAnsi" w:cstheme="minorHAnsi"/>
          <w:b/>
          <w:sz w:val="22"/>
          <w:szCs w:val="22"/>
        </w:rPr>
        <w:t>Limitation des préjudices causés aux propriétés</w:t>
      </w:r>
      <w:bookmarkEnd w:id="1538"/>
      <w:bookmarkEnd w:id="1539"/>
      <w:bookmarkEnd w:id="1540"/>
    </w:p>
    <w:p w14:paraId="2359D0A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est responsable pour tout préjudice qu’il peut causer à toute terre ou autre propriété située au-delà des emprises du chantier. L’indemnisation au titre des préjudices causés à ces terres ou propriétés par l’Entrepreneur doit être évaluée par l’Ingénieur, de concert avec les autorités locales, aux fins de règlement par l’Entrepreneur par le biais du Maitre d’Ouvrage.</w:t>
      </w:r>
    </w:p>
    <w:p w14:paraId="47A55C1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 Maitre d’Ouvrage a le droit de retenir sur tous paiements dus à l’Entrepreneur des montants suffisants qu’il jugerait nécessaires pour faire face à la responsabilité civile de l’Entrepreneur, jusqu’à ce que l’Entrepreneur donne la preuve à l’Ingénieur que sa responsabilité, à cet égard, a été définitivement assumée.</w:t>
      </w:r>
    </w:p>
    <w:p w14:paraId="2DCB057C" w14:textId="77777777" w:rsidR="00477A61" w:rsidRPr="00E01239" w:rsidRDefault="00477A61" w:rsidP="002A19B3">
      <w:pPr>
        <w:numPr>
          <w:ilvl w:val="3"/>
          <w:numId w:val="68"/>
        </w:numPr>
        <w:spacing w:line="360" w:lineRule="exact"/>
        <w:ind w:left="1843"/>
        <w:rPr>
          <w:rFonts w:asciiTheme="minorHAnsi" w:hAnsiTheme="minorHAnsi" w:cstheme="minorHAnsi"/>
          <w:b/>
          <w:sz w:val="22"/>
          <w:szCs w:val="22"/>
        </w:rPr>
      </w:pPr>
      <w:bookmarkStart w:id="1541" w:name="_Toc204502994"/>
      <w:bookmarkStart w:id="1542" w:name="_Toc304471276"/>
      <w:bookmarkStart w:id="1543" w:name="_Toc315711312"/>
      <w:bookmarkStart w:id="1544" w:name="_Toc365198053"/>
      <w:r w:rsidRPr="00E01239">
        <w:rPr>
          <w:rFonts w:asciiTheme="minorHAnsi" w:hAnsiTheme="minorHAnsi" w:cstheme="minorHAnsi"/>
          <w:b/>
          <w:sz w:val="22"/>
          <w:szCs w:val="22"/>
        </w:rPr>
        <w:t>Coutumes religieuses</w:t>
      </w:r>
      <w:bookmarkEnd w:id="1541"/>
      <w:bookmarkEnd w:id="1542"/>
      <w:bookmarkEnd w:id="1543"/>
      <w:bookmarkEnd w:id="1544"/>
    </w:p>
    <w:p w14:paraId="609E327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Dans toutes ses interactions avec son personnel et la main-d’œuvre, l’Entrepreneur doit tenir dûment compte de toutes les journées de repos et coutumes religieuses et autres coutumes reconnues. L’Entrepreneur doit veiller également à ce que son personnel respecte les coutumes locales et ne les viole pas par ses actions. L’Entrepreneur devra aménager à l’intérieur de la base de chantier une pièce pour les séances de prières des employés.</w:t>
      </w:r>
    </w:p>
    <w:p w14:paraId="3003304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éventuelles plaintes des riverains en ce qui concerne les nuisances apportées par le chantier seront reçues et enregistrées par l’entrepreneur afin qu’il prenne les mesures correctives nécessaires en concertation avec l’Ingénieur-Conseil et le Maitre d’Ouvrage. Un dispositif d’enregistrement des plaintes et des griefs devra être mis en place par l’Entrepreneur dans le chantier et au niveau des collectivités locales concernées par le projet.</w:t>
      </w:r>
    </w:p>
    <w:p w14:paraId="056042AE" w14:textId="77777777" w:rsidR="00477A61" w:rsidRPr="00E01239" w:rsidRDefault="00477A61" w:rsidP="002A19B3">
      <w:pPr>
        <w:numPr>
          <w:ilvl w:val="3"/>
          <w:numId w:val="68"/>
        </w:numPr>
        <w:spacing w:line="360" w:lineRule="exact"/>
        <w:ind w:left="1843"/>
        <w:rPr>
          <w:rFonts w:asciiTheme="minorHAnsi" w:hAnsiTheme="minorHAnsi" w:cstheme="minorHAnsi"/>
          <w:b/>
          <w:sz w:val="22"/>
          <w:szCs w:val="22"/>
        </w:rPr>
      </w:pPr>
      <w:bookmarkStart w:id="1545" w:name="_Toc304471277"/>
      <w:bookmarkStart w:id="1546" w:name="_Toc315711315"/>
      <w:bookmarkStart w:id="1547" w:name="_Toc365198056"/>
      <w:r w:rsidRPr="00E01239">
        <w:rPr>
          <w:rFonts w:asciiTheme="minorHAnsi" w:hAnsiTheme="minorHAnsi" w:cstheme="minorHAnsi"/>
          <w:b/>
          <w:sz w:val="22"/>
          <w:szCs w:val="22"/>
        </w:rPr>
        <w:t>Sécurité, santé et accidents</w:t>
      </w:r>
      <w:bookmarkEnd w:id="1545"/>
      <w:bookmarkEnd w:id="1546"/>
      <w:bookmarkEnd w:id="1547"/>
    </w:p>
    <w:p w14:paraId="58EABEBD" w14:textId="77777777" w:rsidR="00477A61" w:rsidRPr="00E01239" w:rsidRDefault="00477A61" w:rsidP="00477A61">
      <w:pPr>
        <w:spacing w:line="360" w:lineRule="exact"/>
        <w:rPr>
          <w:rFonts w:asciiTheme="minorHAnsi" w:hAnsiTheme="minorHAnsi" w:cstheme="minorHAnsi"/>
          <w:sz w:val="22"/>
          <w:szCs w:val="22"/>
        </w:rPr>
      </w:pPr>
      <w:bookmarkStart w:id="1548" w:name="_Toc196038072"/>
      <w:r w:rsidRPr="00E01239">
        <w:rPr>
          <w:rFonts w:asciiTheme="minorHAnsi" w:hAnsiTheme="minorHAnsi" w:cstheme="minorHAnsi"/>
          <w:sz w:val="22"/>
          <w:szCs w:val="22"/>
        </w:rPr>
        <w:t xml:space="preserve">L’Entrepreneur doit veiller, dans la mesure du possible, à la santé, à la sécurité et au bien-être professionnel de son personnel et de toute personne de passage sur les sites de ses chantiers. L’aménagement des sites de construction et des espaces de travail doivent être intégrés dans son </w:t>
      </w:r>
      <w:bookmarkStart w:id="1549" w:name="_Toc304471279"/>
      <w:bookmarkStart w:id="1550" w:name="_Toc315711317"/>
      <w:bookmarkEnd w:id="1548"/>
      <w:r w:rsidRPr="00E01239">
        <w:rPr>
          <w:rFonts w:asciiTheme="minorHAnsi" w:hAnsiTheme="minorHAnsi" w:cstheme="minorHAnsi"/>
          <w:sz w:val="22"/>
          <w:szCs w:val="22"/>
        </w:rPr>
        <w:t>plan santé et sécurité</w:t>
      </w:r>
    </w:p>
    <w:p w14:paraId="40A434F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 plan santé et sécurité devra inclure des consignes d’intervention d’urgence à déployer en cas d’accidents ainsi que les modalités de leurs applications. Lesquelles consignes doivent être tenues à jour et portées à la connaissance des intervenants à travers des sessions d’informations et de sensibilisation. De façon plus spécifique, le responsable du chantier doit prévoir un plan d’intervention de premiers secours qui permettrait de réagir efficacement en cas d’accidents. Ce plan devra indiquer :</w:t>
      </w:r>
    </w:p>
    <w:p w14:paraId="769105E7" w14:textId="77777777" w:rsidR="00477A61" w:rsidRPr="00E01239" w:rsidRDefault="00477A61" w:rsidP="002A19B3">
      <w:pPr>
        <w:numPr>
          <w:ilvl w:val="0"/>
          <w:numId w:val="61"/>
        </w:numPr>
        <w:spacing w:line="360" w:lineRule="exact"/>
        <w:rPr>
          <w:rFonts w:asciiTheme="minorHAnsi" w:hAnsiTheme="minorHAnsi" w:cstheme="minorHAnsi"/>
          <w:sz w:val="22"/>
          <w:szCs w:val="22"/>
        </w:rPr>
      </w:pPr>
      <w:proofErr w:type="gramStart"/>
      <w:r w:rsidRPr="00E01239">
        <w:rPr>
          <w:rFonts w:asciiTheme="minorHAnsi" w:hAnsiTheme="minorHAnsi" w:cstheme="minorHAnsi"/>
          <w:sz w:val="22"/>
          <w:szCs w:val="22"/>
        </w:rPr>
        <w:lastRenderedPageBreak/>
        <w:t>les</w:t>
      </w:r>
      <w:proofErr w:type="gramEnd"/>
      <w:r w:rsidRPr="00E01239">
        <w:rPr>
          <w:rFonts w:asciiTheme="minorHAnsi" w:hAnsiTheme="minorHAnsi" w:cstheme="minorHAnsi"/>
          <w:sz w:val="22"/>
          <w:szCs w:val="22"/>
        </w:rPr>
        <w:t xml:space="preserve"> moyens nécessaires (équipe de premiers secours, trousse ou boite de pharmacie ; brancard ; couverture ; moyens d’extinction ; etc.) pour secourir rapidement et dans des conditions satisfaisantes les blessés en cas d’accident, </w:t>
      </w:r>
    </w:p>
    <w:p w14:paraId="349C59C4" w14:textId="77777777" w:rsidR="00477A61" w:rsidRPr="00E01239" w:rsidRDefault="00477A61" w:rsidP="002A19B3">
      <w:pPr>
        <w:numPr>
          <w:ilvl w:val="0"/>
          <w:numId w:val="61"/>
        </w:numPr>
        <w:spacing w:line="360" w:lineRule="exact"/>
        <w:rPr>
          <w:rFonts w:asciiTheme="minorHAnsi" w:hAnsiTheme="minorHAnsi" w:cstheme="minorHAnsi"/>
          <w:sz w:val="22"/>
          <w:szCs w:val="22"/>
        </w:rPr>
      </w:pPr>
      <w:proofErr w:type="gramStart"/>
      <w:r w:rsidRPr="00E01239">
        <w:rPr>
          <w:rFonts w:asciiTheme="minorHAnsi" w:hAnsiTheme="minorHAnsi" w:cstheme="minorHAnsi"/>
          <w:sz w:val="22"/>
          <w:szCs w:val="22"/>
        </w:rPr>
        <w:t>et</w:t>
      </w:r>
      <w:proofErr w:type="gramEnd"/>
      <w:r w:rsidRPr="00E01239">
        <w:rPr>
          <w:rFonts w:asciiTheme="minorHAnsi" w:hAnsiTheme="minorHAnsi" w:cstheme="minorHAnsi"/>
          <w:sz w:val="22"/>
          <w:szCs w:val="22"/>
        </w:rPr>
        <w:t xml:space="preserve"> le système d’alerte, l’organisation des actions de premiers secours, incluant la conduite de l’évacuation des lieux,  en attendant l’arrivée de secours publics.</w:t>
      </w:r>
    </w:p>
    <w:bookmarkEnd w:id="1549"/>
    <w:bookmarkEnd w:id="1550"/>
    <w:p w14:paraId="6D2C8EF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doit se conformer à toute instruction donnée par l’Ingénieur-Conseil en matière de sécurité. Pendant l’exécution des travaux, l’Entrepreneur doit prendre toutes les précautions raisonnables pour éviter tout préjudice aux personnes et aux biens. A cet égard, il doit mettre en place et assurer l’entretien de tous les équipements de sécurité nécessaires temporairement (clôtures, barricades, barrières, signaux et lumières), des services de prévention et d’extinction d’incendie adaptés à des points stratégiques du chantier. Il incombe également à l’Entrepreneur de mettre en place et d’assurer l’entretien des structures appropriées pour le stockage et le confinement des matériaux et liquides dangereux. L’Entrepreneur doit adopter et appliquer les règles et règlements nécessaires, souhaitables ou appropriées pour protéger les populations et toutes les personnes participant aux travaux et à leur supervision.</w:t>
      </w:r>
    </w:p>
    <w:p w14:paraId="61748C1D"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doit donner à ses employés et à ceux de ses sous-traitants, ainsi qu’au personnel de l’Ingénieur, des instructions de sécurité imprimées à ses propres frais en français et dans toutes autres langues utilisées par ses employés sur le chantier.</w:t>
      </w:r>
    </w:p>
    <w:p w14:paraId="4F30295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doit mettre en place toutes les procédures sécuritaires nécessaires pour éviter les accidents (balisages, etc.).</w:t>
      </w:r>
    </w:p>
    <w:p w14:paraId="05AF1BFE"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Une initiation aux premiers secours sera dispensée aux ouvriers, aux conducteurs d’engins de chantier et aux chauffeurs de camions de transport.</w:t>
      </w:r>
    </w:p>
    <w:p w14:paraId="29D19EE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visiteurs de tout site seront équipés des équipements de sécurité et seront informés des mesures de sécurité en vigueur. </w:t>
      </w:r>
    </w:p>
    <w:p w14:paraId="69C94C78" w14:textId="77777777" w:rsidR="00477A61" w:rsidRPr="00E01239" w:rsidRDefault="00477A61" w:rsidP="00477A61">
      <w:pPr>
        <w:spacing w:line="360" w:lineRule="exact"/>
        <w:rPr>
          <w:rFonts w:asciiTheme="minorHAnsi" w:hAnsiTheme="minorHAnsi" w:cstheme="minorHAnsi"/>
          <w:sz w:val="22"/>
          <w:szCs w:val="22"/>
        </w:rPr>
      </w:pPr>
      <w:bookmarkStart w:id="1551" w:name="_Toc196038082"/>
      <w:r w:rsidRPr="00E01239">
        <w:rPr>
          <w:rFonts w:asciiTheme="minorHAnsi" w:hAnsiTheme="minorHAnsi" w:cstheme="minorHAnsi"/>
          <w:sz w:val="22"/>
          <w:szCs w:val="22"/>
        </w:rPr>
        <w:t>L’Entrepreneur doit fournir aux travailleurs des vêtements et équipements de protection qui soient appropriés pour l’exécution de leurs activités. Ceux-ci comprennent, cette liste n’étant pas exhaustive :</w:t>
      </w:r>
    </w:p>
    <w:p w14:paraId="6A8787E9" w14:textId="77777777" w:rsidR="00477A61" w:rsidRPr="00E01239" w:rsidRDefault="00477A61" w:rsidP="002A19B3">
      <w:pPr>
        <w:numPr>
          <w:ilvl w:val="0"/>
          <w:numId w:val="62"/>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bottes Wellington ;</w:t>
      </w:r>
    </w:p>
    <w:p w14:paraId="6C75DA32" w14:textId="77777777" w:rsidR="00477A61" w:rsidRPr="00E01239" w:rsidRDefault="00477A61" w:rsidP="002A19B3">
      <w:pPr>
        <w:numPr>
          <w:ilvl w:val="0"/>
          <w:numId w:val="62"/>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bottes de chantier, les bottes à embout d'acier ou des bottes similaires ;</w:t>
      </w:r>
    </w:p>
    <w:p w14:paraId="0040A73B" w14:textId="77777777" w:rsidR="00477A61" w:rsidRPr="00E01239" w:rsidRDefault="00477A61" w:rsidP="002A19B3">
      <w:pPr>
        <w:numPr>
          <w:ilvl w:val="0"/>
          <w:numId w:val="62"/>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gants de travail ;</w:t>
      </w:r>
    </w:p>
    <w:p w14:paraId="4B5C27AC" w14:textId="77777777" w:rsidR="00477A61" w:rsidRPr="00E01239" w:rsidRDefault="00477A61" w:rsidP="002A19B3">
      <w:pPr>
        <w:numPr>
          <w:ilvl w:val="0"/>
          <w:numId w:val="62"/>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casques de protection</w:t>
      </w:r>
    </w:p>
    <w:p w14:paraId="296AD5E4" w14:textId="77777777" w:rsidR="00477A61" w:rsidRPr="00E01239" w:rsidRDefault="00477A61" w:rsidP="002A19B3">
      <w:pPr>
        <w:numPr>
          <w:ilvl w:val="0"/>
          <w:numId w:val="62"/>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lunettes de protection ;</w:t>
      </w:r>
    </w:p>
    <w:p w14:paraId="029C5CFB" w14:textId="77777777" w:rsidR="00477A61" w:rsidRPr="00E01239" w:rsidRDefault="00477A61" w:rsidP="002A19B3">
      <w:pPr>
        <w:numPr>
          <w:ilvl w:val="0"/>
          <w:numId w:val="62"/>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protège-oreilles ;</w:t>
      </w:r>
    </w:p>
    <w:p w14:paraId="43A7B1CB" w14:textId="77777777" w:rsidR="00477A61" w:rsidRPr="00E01239" w:rsidRDefault="00477A61" w:rsidP="002A19B3">
      <w:pPr>
        <w:numPr>
          <w:ilvl w:val="0"/>
          <w:numId w:val="62"/>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Les masques pour éviter l’inhalation de la poussière.</w:t>
      </w:r>
    </w:p>
    <w:p w14:paraId="135CA3D3"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 tableau ci-après rappelle les travaux nécessitant une protection individuelle.</w:t>
      </w:r>
    </w:p>
    <w:p w14:paraId="64058F6C" w14:textId="77777777" w:rsidR="00477A61" w:rsidRPr="00E01239" w:rsidRDefault="00477A61" w:rsidP="00477A61">
      <w:pPr>
        <w:spacing w:after="160" w:line="259" w:lineRule="auto"/>
        <w:rPr>
          <w:rFonts w:asciiTheme="minorHAnsi" w:hAnsiTheme="minorHAnsi"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66"/>
      </w:tblGrid>
      <w:tr w:rsidR="00477A61" w:rsidRPr="00E01239" w14:paraId="1824539A" w14:textId="77777777" w:rsidTr="00A304E9">
        <w:trPr>
          <w:trHeight w:val="250"/>
          <w:jc w:val="center"/>
        </w:trPr>
        <w:tc>
          <w:tcPr>
            <w:tcW w:w="5000" w:type="pct"/>
            <w:gridSpan w:val="2"/>
            <w:shd w:val="clear" w:color="auto" w:fill="002060"/>
            <w:vAlign w:val="center"/>
          </w:tcPr>
          <w:p w14:paraId="445BFDCC" w14:textId="77777777" w:rsidR="00477A61" w:rsidRPr="00E01239" w:rsidRDefault="00477A61" w:rsidP="00A304E9">
            <w:pPr>
              <w:tabs>
                <w:tab w:val="left" w:pos="1815"/>
              </w:tabs>
              <w:jc w:val="center"/>
              <w:rPr>
                <w:rFonts w:asciiTheme="minorHAnsi" w:hAnsiTheme="minorHAnsi" w:cstheme="minorHAnsi"/>
                <w:b/>
                <w:sz w:val="22"/>
                <w:szCs w:val="22"/>
              </w:rPr>
            </w:pPr>
            <w:r w:rsidRPr="00E01239">
              <w:rPr>
                <w:rFonts w:asciiTheme="minorHAnsi" w:hAnsiTheme="minorHAnsi" w:cstheme="minorHAnsi"/>
                <w:b/>
                <w:sz w:val="22"/>
                <w:szCs w:val="22"/>
              </w:rPr>
              <w:t>Liste indicative des travaux nécessitant le port d’une protection individuelle</w:t>
            </w:r>
          </w:p>
        </w:tc>
      </w:tr>
      <w:tr w:rsidR="00477A61" w:rsidRPr="00E01239" w14:paraId="5E2C18B2" w14:textId="77777777" w:rsidTr="00A304E9">
        <w:trPr>
          <w:trHeight w:val="268"/>
          <w:jc w:val="center"/>
        </w:trPr>
        <w:tc>
          <w:tcPr>
            <w:tcW w:w="936" w:type="pct"/>
            <w:shd w:val="clear" w:color="auto" w:fill="auto"/>
            <w:vAlign w:val="center"/>
          </w:tcPr>
          <w:p w14:paraId="44A80247"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lastRenderedPageBreak/>
              <w:t>Casques</w:t>
            </w:r>
          </w:p>
        </w:tc>
        <w:tc>
          <w:tcPr>
            <w:tcW w:w="4064" w:type="pct"/>
            <w:shd w:val="clear" w:color="auto" w:fill="auto"/>
            <w:vAlign w:val="center"/>
          </w:tcPr>
          <w:p w14:paraId="7C6C34A2"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Tous travaux présentant le risque de chute d’objets à partir d’un niveau supérieur</w:t>
            </w:r>
          </w:p>
        </w:tc>
      </w:tr>
      <w:tr w:rsidR="00477A61" w:rsidRPr="00E01239" w14:paraId="07BB14FB" w14:textId="77777777" w:rsidTr="00A304E9">
        <w:trPr>
          <w:trHeight w:val="414"/>
          <w:jc w:val="center"/>
        </w:trPr>
        <w:tc>
          <w:tcPr>
            <w:tcW w:w="936" w:type="pct"/>
            <w:shd w:val="clear" w:color="auto" w:fill="auto"/>
            <w:vAlign w:val="center"/>
          </w:tcPr>
          <w:p w14:paraId="5CBC4997"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Harnais</w:t>
            </w:r>
          </w:p>
        </w:tc>
        <w:tc>
          <w:tcPr>
            <w:tcW w:w="4064" w:type="pct"/>
            <w:shd w:val="clear" w:color="auto" w:fill="auto"/>
            <w:vAlign w:val="center"/>
          </w:tcPr>
          <w:p w14:paraId="3E601965"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Tous travaux exceptionnels non répétitifs et de courte durée exposant à un risque de chute de hauteur</w:t>
            </w:r>
          </w:p>
        </w:tc>
      </w:tr>
      <w:tr w:rsidR="00477A61" w:rsidRPr="00E01239" w14:paraId="0D553C96" w14:textId="77777777" w:rsidTr="00A304E9">
        <w:trPr>
          <w:trHeight w:val="378"/>
          <w:jc w:val="center"/>
        </w:trPr>
        <w:tc>
          <w:tcPr>
            <w:tcW w:w="936" w:type="pct"/>
            <w:shd w:val="clear" w:color="auto" w:fill="auto"/>
            <w:vAlign w:val="center"/>
          </w:tcPr>
          <w:p w14:paraId="2F209A21"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Chaussures, bottes</w:t>
            </w:r>
          </w:p>
        </w:tc>
        <w:tc>
          <w:tcPr>
            <w:tcW w:w="4064" w:type="pct"/>
            <w:shd w:val="clear" w:color="auto" w:fill="auto"/>
            <w:vAlign w:val="center"/>
          </w:tcPr>
          <w:p w14:paraId="10C5BFA1"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Tous travaux présentant le risque de chute d’objets manutentionnés sur les pieds ou d’écrasement ou de perforation de la semelle par objets pointus</w:t>
            </w:r>
          </w:p>
        </w:tc>
      </w:tr>
      <w:tr w:rsidR="00477A61" w:rsidRPr="00E01239" w14:paraId="04B8C5A3" w14:textId="77777777" w:rsidTr="00A304E9">
        <w:trPr>
          <w:trHeight w:val="612"/>
          <w:jc w:val="center"/>
        </w:trPr>
        <w:tc>
          <w:tcPr>
            <w:tcW w:w="936" w:type="pct"/>
            <w:shd w:val="clear" w:color="auto" w:fill="auto"/>
            <w:vAlign w:val="center"/>
          </w:tcPr>
          <w:p w14:paraId="1A0209B5"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Lunettes, masques</w:t>
            </w:r>
          </w:p>
        </w:tc>
        <w:tc>
          <w:tcPr>
            <w:tcW w:w="4064" w:type="pct"/>
            <w:shd w:val="clear" w:color="auto" w:fill="auto"/>
            <w:vAlign w:val="center"/>
          </w:tcPr>
          <w:p w14:paraId="5B3B159B"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Tous travaux présentant le risque de projection dans les yeux (burinage, meulage, manipulation de produits acides ou caustiques…) ou exposant à des sources lumineuses de forte puissance (soudage…)</w:t>
            </w:r>
          </w:p>
        </w:tc>
      </w:tr>
      <w:tr w:rsidR="00477A61" w:rsidRPr="00E01239" w14:paraId="273561F4" w14:textId="77777777" w:rsidTr="00A304E9">
        <w:trPr>
          <w:trHeight w:val="338"/>
          <w:jc w:val="center"/>
        </w:trPr>
        <w:tc>
          <w:tcPr>
            <w:tcW w:w="936" w:type="pct"/>
            <w:shd w:val="clear" w:color="auto" w:fill="auto"/>
            <w:vAlign w:val="center"/>
          </w:tcPr>
          <w:p w14:paraId="3F82A806"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Masques, cagoules</w:t>
            </w:r>
          </w:p>
        </w:tc>
        <w:tc>
          <w:tcPr>
            <w:tcW w:w="4064" w:type="pct"/>
            <w:shd w:val="clear" w:color="auto" w:fill="auto"/>
            <w:vAlign w:val="center"/>
          </w:tcPr>
          <w:p w14:paraId="1274D5A9"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Tous travaux effectués dans les milieux pollués (poussières, gaz toxiques…)</w:t>
            </w:r>
          </w:p>
        </w:tc>
      </w:tr>
      <w:tr w:rsidR="00477A61" w:rsidRPr="00E01239" w14:paraId="5F9EBAEF" w14:textId="77777777" w:rsidTr="00A304E9">
        <w:trPr>
          <w:trHeight w:val="288"/>
          <w:jc w:val="center"/>
        </w:trPr>
        <w:tc>
          <w:tcPr>
            <w:tcW w:w="936" w:type="pct"/>
            <w:shd w:val="clear" w:color="auto" w:fill="auto"/>
            <w:vAlign w:val="center"/>
          </w:tcPr>
          <w:p w14:paraId="45FB91E6"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Tabliers</w:t>
            </w:r>
          </w:p>
        </w:tc>
        <w:tc>
          <w:tcPr>
            <w:tcW w:w="4064" w:type="pct"/>
            <w:shd w:val="clear" w:color="auto" w:fill="auto"/>
            <w:vAlign w:val="center"/>
          </w:tcPr>
          <w:p w14:paraId="5F19109A"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Tous travaux présentant des risques de projection sur le corps (soudage, manipulation de produits dangereux…)</w:t>
            </w:r>
          </w:p>
        </w:tc>
      </w:tr>
      <w:tr w:rsidR="00477A61" w:rsidRPr="00E01239" w14:paraId="13E310D3" w14:textId="77777777" w:rsidTr="00A304E9">
        <w:trPr>
          <w:trHeight w:val="269"/>
          <w:jc w:val="center"/>
        </w:trPr>
        <w:tc>
          <w:tcPr>
            <w:tcW w:w="936" w:type="pct"/>
            <w:shd w:val="clear" w:color="auto" w:fill="auto"/>
            <w:vAlign w:val="center"/>
          </w:tcPr>
          <w:p w14:paraId="67765E9B"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Casques antibruit, bouchons</w:t>
            </w:r>
          </w:p>
        </w:tc>
        <w:tc>
          <w:tcPr>
            <w:tcW w:w="4064" w:type="pct"/>
            <w:shd w:val="clear" w:color="auto" w:fill="auto"/>
            <w:vAlign w:val="center"/>
          </w:tcPr>
          <w:p w14:paraId="43183CD8" w14:textId="77777777" w:rsidR="00477A61" w:rsidRPr="00E01239" w:rsidRDefault="00477A61" w:rsidP="00A304E9">
            <w:pPr>
              <w:tabs>
                <w:tab w:val="left" w:pos="1815"/>
              </w:tabs>
              <w:rPr>
                <w:rFonts w:asciiTheme="minorHAnsi" w:hAnsiTheme="minorHAnsi" w:cstheme="minorHAnsi"/>
                <w:sz w:val="22"/>
                <w:szCs w:val="22"/>
              </w:rPr>
            </w:pPr>
            <w:r w:rsidRPr="00E01239">
              <w:rPr>
                <w:rFonts w:asciiTheme="minorHAnsi" w:hAnsiTheme="minorHAnsi" w:cstheme="minorHAnsi"/>
                <w:sz w:val="22"/>
                <w:szCs w:val="22"/>
              </w:rPr>
              <w:t xml:space="preserve">Tous travaux exposant à des niveaux sonores supérieurs à 80 </w:t>
            </w:r>
            <w:proofErr w:type="spellStart"/>
            <w:r w:rsidRPr="00E01239">
              <w:rPr>
                <w:rFonts w:asciiTheme="minorHAnsi" w:hAnsiTheme="minorHAnsi" w:cstheme="minorHAnsi"/>
                <w:sz w:val="22"/>
                <w:szCs w:val="22"/>
              </w:rPr>
              <w:t>dBA</w:t>
            </w:r>
            <w:proofErr w:type="spellEnd"/>
            <w:r w:rsidRPr="00E01239">
              <w:rPr>
                <w:rFonts w:asciiTheme="minorHAnsi" w:hAnsiTheme="minorHAnsi" w:cstheme="minorHAnsi"/>
                <w:sz w:val="22"/>
                <w:szCs w:val="22"/>
              </w:rPr>
              <w:t xml:space="preserve"> (marteaux-piqueurs, battage palplanches, conduite d’engins, meulage…)</w:t>
            </w:r>
          </w:p>
        </w:tc>
      </w:tr>
    </w:tbl>
    <w:bookmarkEnd w:id="1551"/>
    <w:p w14:paraId="090926C7"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Il incombe à l’Entrepreneur de prendre toutes les mesures de prévention de l’incendie, de protection contre l’incendie et de lutte contre l’incendie sur le chantier, pendant la durée du Contrat. A cet égard, il doit se conformer aux recommandations et aux textes réglementaires en vigueur.</w:t>
      </w:r>
    </w:p>
    <w:p w14:paraId="3F2155A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doit fournir, entretenir régulièrement et exploiter tous les équipements de lutte contre l’incendie appropriés pour assurer la protection de tous les bâtiments et les ouvrages en construction.</w:t>
      </w:r>
    </w:p>
    <w:p w14:paraId="7CDF5B0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a l’obligation de réaliser à l’attention de tous ses personnels et de ceux de ses sous-traitants :</w:t>
      </w:r>
    </w:p>
    <w:p w14:paraId="1FB31AD2" w14:textId="77777777" w:rsidR="00477A61" w:rsidRPr="00E01239" w:rsidRDefault="00477A61" w:rsidP="002A19B3">
      <w:pPr>
        <w:numPr>
          <w:ilvl w:val="0"/>
          <w:numId w:val="63"/>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Des démonstrations périodiques de l’utilisation des équipements de lutte contre l’incendie, </w:t>
      </w:r>
      <w:proofErr w:type="gramStart"/>
      <w:r w:rsidRPr="00E01239">
        <w:rPr>
          <w:rFonts w:asciiTheme="minorHAnsi" w:hAnsiTheme="minorHAnsi" w:cstheme="minorHAnsi"/>
          <w:sz w:val="22"/>
          <w:szCs w:val="22"/>
        </w:rPr>
        <w:t>ou</w:t>
      </w:r>
      <w:proofErr w:type="gramEnd"/>
    </w:p>
    <w:p w14:paraId="35189BAB" w14:textId="77777777" w:rsidR="00477A61" w:rsidRPr="00E01239" w:rsidRDefault="00477A61" w:rsidP="002A19B3">
      <w:pPr>
        <w:numPr>
          <w:ilvl w:val="0"/>
          <w:numId w:val="63"/>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Des simulations périodiques de sinistre.</w:t>
      </w:r>
    </w:p>
    <w:p w14:paraId="0C18BD8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L’Entrepreneur doit fournir, gérer et conserver des stocks de médicaments et d’équipements médicaux dont la couverture, la quantité et les normes sont jugées satisfaisantes par un médecin pour assurer les premiers secours. </w:t>
      </w:r>
    </w:p>
    <w:p w14:paraId="2C2A8AD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Il est nécessaire qu’une partie des employés de l’Entrepreneur, en principe une personne par groupe, soit initiée aux rudiments des premiers secours. La base-chantier doit être équipée d’une trousse de premiers secours.</w:t>
      </w:r>
    </w:p>
    <w:p w14:paraId="771CAABF"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Un règlement interne de l’installation du chantier doit mentionner spécifiquement les règles de sécurité, interdire la consommation d’alcool pendant les heures de travail, sensibiliser le personnel à la protection de l'environnement, au danger des IST et du VIH-SIDA, au respect des us et coutumes des populations et des relations humaines d’une manière générale. L’Entrepreneur devra assurer périodiquement (tous les trimestres) un bilan santé pour tous les employés. Un stock de préservatifs devra être disponible sur le chantier et accessible au personnel de chantier. A l’approche de l’hivernage, une campagne de vaccination du personnel contre le paludisme sera réalisée par l’Entrepreneur.</w:t>
      </w:r>
    </w:p>
    <w:p w14:paraId="21CF6962" w14:textId="77777777" w:rsidR="00477A61" w:rsidRPr="00E01239" w:rsidRDefault="00477A61" w:rsidP="002A19B3">
      <w:pPr>
        <w:numPr>
          <w:ilvl w:val="3"/>
          <w:numId w:val="68"/>
        </w:numPr>
        <w:spacing w:line="360" w:lineRule="exact"/>
        <w:ind w:left="1843"/>
        <w:rPr>
          <w:rFonts w:asciiTheme="minorHAnsi" w:hAnsiTheme="minorHAnsi" w:cstheme="minorHAnsi"/>
          <w:b/>
          <w:sz w:val="22"/>
          <w:szCs w:val="22"/>
        </w:rPr>
      </w:pPr>
      <w:bookmarkStart w:id="1552" w:name="_Toc304471302"/>
      <w:bookmarkStart w:id="1553" w:name="_Toc315711341"/>
      <w:bookmarkStart w:id="1554" w:name="_Toc365198090"/>
      <w:r w:rsidRPr="00E01239">
        <w:rPr>
          <w:rFonts w:asciiTheme="minorHAnsi" w:hAnsiTheme="minorHAnsi" w:cstheme="minorHAnsi"/>
          <w:b/>
          <w:sz w:val="22"/>
          <w:szCs w:val="22"/>
        </w:rPr>
        <w:t xml:space="preserve">Opérations de formation et sensibilisation </w:t>
      </w:r>
      <w:bookmarkEnd w:id="1552"/>
      <w:bookmarkEnd w:id="1553"/>
      <w:bookmarkEnd w:id="1554"/>
      <w:r w:rsidRPr="00E01239">
        <w:rPr>
          <w:rFonts w:asciiTheme="minorHAnsi" w:hAnsiTheme="minorHAnsi" w:cstheme="minorHAnsi"/>
          <w:b/>
          <w:sz w:val="22"/>
          <w:szCs w:val="22"/>
        </w:rPr>
        <w:t>du personnel</w:t>
      </w:r>
    </w:p>
    <w:p w14:paraId="2D0AA227"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 xml:space="preserve">Plusieurs opérations de sensibilisation du personnel de l’Entrepreneur et de ses sous-traitants devront être réalisées à la charge de l’Entrepreneur dès leur installation et avant le démarrage de toute activité. </w:t>
      </w:r>
    </w:p>
    <w:p w14:paraId="0BFB8BF0"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devra dérouler au moins trois types de formation au personnel de chantier (ce nombre n’est pas limitatif) :</w:t>
      </w:r>
    </w:p>
    <w:p w14:paraId="4C341A87" w14:textId="77777777" w:rsidR="00477A61" w:rsidRPr="00E01239" w:rsidRDefault="00477A61" w:rsidP="002A19B3">
      <w:pPr>
        <w:numPr>
          <w:ilvl w:val="0"/>
          <w:numId w:val="65"/>
        </w:numPr>
        <w:spacing w:line="360" w:lineRule="exact"/>
        <w:rPr>
          <w:rFonts w:asciiTheme="minorHAnsi" w:hAnsiTheme="minorHAnsi" w:cstheme="minorHAnsi"/>
          <w:sz w:val="22"/>
          <w:szCs w:val="22"/>
          <w:u w:val="single"/>
        </w:rPr>
      </w:pPr>
      <w:bookmarkStart w:id="1555" w:name="_Toc365198091"/>
      <w:r w:rsidRPr="00E01239">
        <w:rPr>
          <w:rFonts w:asciiTheme="minorHAnsi" w:hAnsiTheme="minorHAnsi" w:cstheme="minorHAnsi"/>
          <w:sz w:val="22"/>
          <w:szCs w:val="22"/>
          <w:u w:val="single"/>
        </w:rPr>
        <w:t>Sensibilisation du personnel à la protection de l'environnement</w:t>
      </w:r>
      <w:bookmarkEnd w:id="1555"/>
    </w:p>
    <w:p w14:paraId="05EA8A8F"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 personnel de l’Entrepreneur et de ses sous-traitants devra être sensibilisé par voie d'affichage et de réunions de sensibilisation à la protection de l'environnement.</w:t>
      </w:r>
    </w:p>
    <w:p w14:paraId="11D23771"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Au cours de ces réunions seront rappelées les précautions simples permettant d'éviter de nuire à l'environnement et aux populations riveraines, en évitant notamment tout rejet direct de substances et déchets polluants dans la nature ou tout comportement dangereux dans la conduite des véhicules et engins de chantier.</w:t>
      </w:r>
    </w:p>
    <w:p w14:paraId="48A592F6" w14:textId="77777777" w:rsidR="00477A61" w:rsidRPr="00E01239" w:rsidRDefault="00477A61" w:rsidP="002A19B3">
      <w:pPr>
        <w:numPr>
          <w:ilvl w:val="0"/>
          <w:numId w:val="65"/>
        </w:numPr>
        <w:spacing w:line="360" w:lineRule="exact"/>
        <w:rPr>
          <w:rFonts w:asciiTheme="minorHAnsi" w:hAnsiTheme="minorHAnsi" w:cstheme="minorHAnsi"/>
          <w:sz w:val="22"/>
          <w:szCs w:val="22"/>
          <w:u w:val="single"/>
        </w:rPr>
      </w:pPr>
      <w:r w:rsidRPr="00E01239">
        <w:rPr>
          <w:rFonts w:asciiTheme="minorHAnsi" w:hAnsiTheme="minorHAnsi" w:cstheme="minorHAnsi"/>
          <w:sz w:val="22"/>
          <w:szCs w:val="22"/>
          <w:u w:val="single"/>
        </w:rPr>
        <w:t>Formations santé sécurité</w:t>
      </w:r>
    </w:p>
    <w:p w14:paraId="1303C7F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L’Entrepreneur doit s’engager sur la conduite des bonnes pratiques en matière de santé et de sécurité au travail. Pour ce faire, il devra prévoir une formation courte sur ces bonnes pratiques et conforme aux directives de la plus récente norme ISO relative au « </w:t>
      </w:r>
      <w:r w:rsidRPr="00E01239">
        <w:rPr>
          <w:rFonts w:asciiTheme="minorHAnsi" w:hAnsiTheme="minorHAnsi" w:cstheme="minorHAnsi"/>
          <w:sz w:val="22"/>
          <w:szCs w:val="22"/>
          <w:u w:val="single"/>
        </w:rPr>
        <w:t>Système de management de la santé et de la sécurité au travail</w:t>
      </w:r>
      <w:r w:rsidRPr="00E01239">
        <w:rPr>
          <w:rFonts w:asciiTheme="minorHAnsi" w:hAnsiTheme="minorHAnsi" w:cstheme="minorHAnsi"/>
          <w:sz w:val="22"/>
          <w:szCs w:val="22"/>
        </w:rPr>
        <w:t xml:space="preserve"> ».</w:t>
      </w:r>
    </w:p>
    <w:p w14:paraId="131A944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 responsable HSE devra dispenser cette formation « santé sécurité » au travail auprès des cadres et des ouvriers (incluant les sous-traitants). La formation portera sur le port des équipements de protection individuelle, la prise en compte de la sécurité des riverains, un apprentissage aux premiers secours et sur la gestion des risques techniques professionnels.</w:t>
      </w:r>
    </w:p>
    <w:p w14:paraId="7DB79AA5"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Cette formation sera adaptée aux analphabètes avec notamment des supports imagés et des cas pratiques. </w:t>
      </w:r>
    </w:p>
    <w:p w14:paraId="07B49BE3"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Si l’entreprise de construction n’offre pas la possibilité de telles formations en interne, plusieurs organisations délivrent des formations sur la santé et la sécurité au travail en Mauritanie. </w:t>
      </w:r>
    </w:p>
    <w:p w14:paraId="36CD155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L’information des riverains des voies concernées par les travaux et des rues adjacentes sera réalisée par l'Entrepreneur, à ses frais.</w:t>
      </w:r>
    </w:p>
    <w:p w14:paraId="74B80464"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Elle consistera en une affiche d’information placardée sur les lieux publics et une séance d’informations avec les représentants des différentes zones (conseillers communaux, maires, chefs de village, etc.) La méthodologie d’information du public sera élaborée en concertation avec le Maître d’œuvre et soumis pour son approbation au démarrage des Travaux.</w:t>
      </w:r>
    </w:p>
    <w:p w14:paraId="528D581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Pour prévenir des conflits avec les populations riveraines du chantier et assurer ainsi une cohabitation pacifique avec elles, l’Entrepreneur devra s’investir dans l’information et la sensibilisation des personnes qui occupent ou s’activent dans le voisinage du site du chantier. Les actions à entreprendre dans cette démarche complètent et renforcent celles du promoteur du projet et consisteront essentiellement à : </w:t>
      </w:r>
    </w:p>
    <w:p w14:paraId="1379CD51" w14:textId="77777777" w:rsidR="00477A61" w:rsidRPr="00E01239" w:rsidRDefault="00477A61" w:rsidP="002A19B3">
      <w:pPr>
        <w:numPr>
          <w:ilvl w:val="0"/>
          <w:numId w:val="64"/>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Expliquer les Travaux et leur potentiel à générer des nuisances ; </w:t>
      </w:r>
    </w:p>
    <w:p w14:paraId="42C6572B" w14:textId="77777777" w:rsidR="00477A61" w:rsidRPr="00E01239" w:rsidRDefault="00477A61" w:rsidP="002A19B3">
      <w:pPr>
        <w:numPr>
          <w:ilvl w:val="0"/>
          <w:numId w:val="64"/>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lastRenderedPageBreak/>
        <w:t xml:space="preserve">Rencontrer périodiquement ces personnes pour s’enquérir d’éventuelles préoccupations les concernant ; </w:t>
      </w:r>
    </w:p>
    <w:p w14:paraId="4E0AF60B" w14:textId="77777777" w:rsidR="00477A61" w:rsidRPr="00E01239" w:rsidRDefault="00477A61" w:rsidP="002A19B3">
      <w:pPr>
        <w:numPr>
          <w:ilvl w:val="0"/>
          <w:numId w:val="64"/>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Leur offrir la possibilité d’accéder, au besoin, à un responsable du chantier à qui elles peuvent exprimer leurs préoccupations par rapport à leur cohabitation avec le chantier ;</w:t>
      </w:r>
    </w:p>
    <w:p w14:paraId="158DF3A4" w14:textId="77777777" w:rsidR="00477A61" w:rsidRPr="00E01239" w:rsidRDefault="00477A61" w:rsidP="002A19B3">
      <w:pPr>
        <w:numPr>
          <w:ilvl w:val="0"/>
          <w:numId w:val="64"/>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En plus de la prévention de conflits, l’Entrepreneur devra, chaque fois que possible, faire de la discrimination positive en faveur des populations riveraines dans l’octroi des emplois non qualifiés surtout.  </w:t>
      </w:r>
    </w:p>
    <w:p w14:paraId="01C8A6C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Pour atténuer les impacts liés aux bruits et aux vibrations des engins et camions, il sera nécessaire de communiquer régulièrement avec tous les riverains pour s’enquérir des agréments qu’ils subissent du fait de la présence du chantier afin de les éviter ou les limiter. En outre, il est nécessaire au niveau du chantier de réduire au minimum possible les travaux qui génèrent des bruits excessifs aux heures de forte fréquentation des structures qui existent aux alentours du chantier et de les avertir avant de débuter certains travaux qui génèrent beaucoup de bruits. Il faudra aussi envisager de réparer tous les préjudices (fissures des bâtiments) causés par la proximité du chantier. </w:t>
      </w:r>
    </w:p>
    <w:p w14:paraId="09B31615"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Pour atténuer les désagréments liés aux envols de poussière, il est nécessaire de prévoir un système d’abattage par arrosage régulier sur le site du chantier et sur les voies d’accès.</w:t>
      </w:r>
    </w:p>
    <w:p w14:paraId="3662EBCA"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Toutes dispositions utiles seront prises pour protéger les habitations voisines. Le Maître d'ouvrage se réserve la possibilité, en début de travaux, de faire procéder à un constat de l'état initial par huissier.</w:t>
      </w:r>
    </w:p>
    <w:p w14:paraId="0BFC6BC9" w14:textId="77777777" w:rsidR="00477A61" w:rsidRPr="00E01239" w:rsidRDefault="00477A61" w:rsidP="00477A61">
      <w:pPr>
        <w:spacing w:line="360" w:lineRule="exact"/>
        <w:rPr>
          <w:rFonts w:asciiTheme="minorHAnsi" w:hAnsiTheme="minorHAnsi" w:cstheme="minorHAnsi"/>
          <w:sz w:val="22"/>
          <w:szCs w:val="22"/>
        </w:rPr>
      </w:pPr>
    </w:p>
    <w:p w14:paraId="6DBFA62E" w14:textId="77777777" w:rsidR="00477A61" w:rsidRPr="00E01239" w:rsidRDefault="00477A61" w:rsidP="00477A61">
      <w:pPr>
        <w:rPr>
          <w:rFonts w:asciiTheme="minorHAnsi" w:hAnsiTheme="minorHAnsi" w:cstheme="minorHAnsi"/>
          <w:b/>
          <w:sz w:val="22"/>
          <w:szCs w:val="22"/>
        </w:rPr>
      </w:pPr>
      <w:r w:rsidRPr="00E01239">
        <w:rPr>
          <w:rFonts w:asciiTheme="minorHAnsi" w:hAnsiTheme="minorHAnsi" w:cstheme="minorHAnsi"/>
          <w:b/>
          <w:sz w:val="22"/>
          <w:szCs w:val="22"/>
        </w:rPr>
        <w:t>Dispositif de surveillance environnementale.</w:t>
      </w:r>
    </w:p>
    <w:p w14:paraId="6C571A56" w14:textId="77777777" w:rsidR="00477A61" w:rsidRPr="00E01239" w:rsidRDefault="00477A61" w:rsidP="00477A61">
      <w:pPr>
        <w:spacing w:line="360" w:lineRule="exact"/>
        <w:rPr>
          <w:rFonts w:asciiTheme="minorHAnsi" w:hAnsiTheme="minorHAnsi" w:cstheme="minorHAnsi"/>
          <w:b/>
          <w:sz w:val="22"/>
          <w:szCs w:val="22"/>
          <w:u w:val="single"/>
        </w:rPr>
      </w:pPr>
      <w:bookmarkStart w:id="1556" w:name="_Toc303072294"/>
      <w:bookmarkStart w:id="1557" w:name="_Toc315711343"/>
      <w:bookmarkStart w:id="1558" w:name="_Toc365198094"/>
      <w:bookmarkStart w:id="1559" w:name="_Toc506366816"/>
      <w:r w:rsidRPr="00E01239">
        <w:rPr>
          <w:rFonts w:asciiTheme="minorHAnsi" w:hAnsiTheme="minorHAnsi" w:cstheme="minorHAnsi"/>
          <w:b/>
          <w:sz w:val="22"/>
          <w:szCs w:val="22"/>
          <w:u w:val="single"/>
        </w:rPr>
        <w:t>Activités de surveillance environnementale</w:t>
      </w:r>
      <w:bookmarkEnd w:id="1556"/>
      <w:bookmarkEnd w:id="1557"/>
      <w:bookmarkEnd w:id="1558"/>
      <w:r w:rsidRPr="00E01239">
        <w:rPr>
          <w:rFonts w:asciiTheme="minorHAnsi" w:hAnsiTheme="minorHAnsi" w:cstheme="minorHAnsi"/>
          <w:b/>
          <w:sz w:val="22"/>
          <w:szCs w:val="22"/>
          <w:u w:val="single"/>
        </w:rPr>
        <w:t xml:space="preserve"> et sociale</w:t>
      </w:r>
      <w:bookmarkEnd w:id="1559"/>
    </w:p>
    <w:p w14:paraId="649A372C"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La responsabilité première de la surveillance environnementale est confiée à l’Entrepreneur. Il devra vérifier au quotidien à la mise en œuvre adéquate des prescriptions environnementales et établir un bilan environnemental mensuel. Les mesures mises en œuvre qui ne permettent pas d’éviter ou de minimiser certains impacts devront être réajustés pour une meilleure efficacité.</w:t>
      </w:r>
    </w:p>
    <w:p w14:paraId="0B437C6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L’équipe de l’Ingénieur-Conseil s’assurera de la mise en œuvre adéquate des mesures spécifiés dans le présent dossier et dans le PEHS validé de l’Entrepreneur par :</w:t>
      </w:r>
    </w:p>
    <w:p w14:paraId="3708916D" w14:textId="77777777" w:rsidR="00477A61" w:rsidRPr="00E01239" w:rsidRDefault="00477A61" w:rsidP="002A19B3">
      <w:pPr>
        <w:numPr>
          <w:ilvl w:val="0"/>
          <w:numId w:val="66"/>
        </w:num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des</w:t>
      </w:r>
      <w:proofErr w:type="gramEnd"/>
      <w:r w:rsidRPr="00E01239">
        <w:rPr>
          <w:rFonts w:asciiTheme="minorHAnsi" w:hAnsiTheme="minorHAnsi" w:cstheme="minorHAnsi"/>
          <w:sz w:val="22"/>
          <w:szCs w:val="22"/>
        </w:rPr>
        <w:t xml:space="preserve"> visites d’inspection régulière des chantiers ;</w:t>
      </w:r>
    </w:p>
    <w:p w14:paraId="5EBFCECC" w14:textId="77777777" w:rsidR="00477A61" w:rsidRPr="00E01239" w:rsidRDefault="00477A61" w:rsidP="002A19B3">
      <w:pPr>
        <w:numPr>
          <w:ilvl w:val="0"/>
          <w:numId w:val="66"/>
        </w:num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une</w:t>
      </w:r>
      <w:proofErr w:type="gramEnd"/>
      <w:r w:rsidRPr="00E01239">
        <w:rPr>
          <w:rFonts w:asciiTheme="minorHAnsi" w:hAnsiTheme="minorHAnsi" w:cstheme="minorHAnsi"/>
          <w:sz w:val="22"/>
          <w:szCs w:val="22"/>
        </w:rPr>
        <w:t xml:space="preserve"> revue et approbation du PEHS ;</w:t>
      </w:r>
    </w:p>
    <w:p w14:paraId="7F6D5DE5" w14:textId="77777777" w:rsidR="00477A61" w:rsidRPr="00E01239" w:rsidRDefault="00477A61" w:rsidP="002A19B3">
      <w:pPr>
        <w:numPr>
          <w:ilvl w:val="0"/>
          <w:numId w:val="66"/>
        </w:num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une</w:t>
      </w:r>
      <w:proofErr w:type="gramEnd"/>
      <w:r w:rsidRPr="00E01239">
        <w:rPr>
          <w:rFonts w:asciiTheme="minorHAnsi" w:hAnsiTheme="minorHAnsi" w:cstheme="minorHAnsi"/>
          <w:sz w:val="22"/>
          <w:szCs w:val="22"/>
        </w:rPr>
        <w:t xml:space="preserve"> évaluation et approbation des opérateurs sous-traitants de l’Entrepreneur pour les mesures d’accompagnement ;</w:t>
      </w:r>
    </w:p>
    <w:p w14:paraId="21B808B6" w14:textId="77777777" w:rsidR="00477A61" w:rsidRPr="00E01239" w:rsidRDefault="00477A61" w:rsidP="002A19B3">
      <w:pPr>
        <w:numPr>
          <w:ilvl w:val="0"/>
          <w:numId w:val="66"/>
        </w:num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une</w:t>
      </w:r>
      <w:proofErr w:type="gramEnd"/>
      <w:r w:rsidRPr="00E01239">
        <w:rPr>
          <w:rFonts w:asciiTheme="minorHAnsi" w:hAnsiTheme="minorHAnsi" w:cstheme="minorHAnsi"/>
          <w:sz w:val="22"/>
          <w:szCs w:val="22"/>
        </w:rPr>
        <w:t xml:space="preserve"> documentation des fiches de surveillance de base-chantier, de chantiers et travaux;</w:t>
      </w:r>
    </w:p>
    <w:p w14:paraId="2C3304F6" w14:textId="77777777" w:rsidR="00477A61" w:rsidRPr="00E01239" w:rsidRDefault="00477A61" w:rsidP="002A19B3">
      <w:pPr>
        <w:numPr>
          <w:ilvl w:val="0"/>
          <w:numId w:val="66"/>
        </w:num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une</w:t>
      </w:r>
      <w:proofErr w:type="gramEnd"/>
      <w:r w:rsidRPr="00E01239">
        <w:rPr>
          <w:rFonts w:asciiTheme="minorHAnsi" w:hAnsiTheme="minorHAnsi" w:cstheme="minorHAnsi"/>
          <w:sz w:val="22"/>
          <w:szCs w:val="22"/>
        </w:rPr>
        <w:t xml:space="preserve"> rédaction du chapitre Environnement, Social, Hygiène, Santé et Sécurité dans les rapports périodiques de chantier ;</w:t>
      </w:r>
    </w:p>
    <w:p w14:paraId="3C5218D9" w14:textId="77777777" w:rsidR="00477A61" w:rsidRPr="00E01239" w:rsidRDefault="00477A61" w:rsidP="002A19B3">
      <w:pPr>
        <w:numPr>
          <w:ilvl w:val="0"/>
          <w:numId w:val="66"/>
        </w:numPr>
        <w:spacing w:before="60" w:line="360" w:lineRule="exact"/>
        <w:ind w:left="714" w:hanging="357"/>
        <w:rPr>
          <w:rFonts w:asciiTheme="minorHAnsi" w:hAnsiTheme="minorHAnsi" w:cstheme="minorHAnsi"/>
          <w:sz w:val="22"/>
          <w:szCs w:val="22"/>
        </w:rPr>
      </w:pPr>
      <w:proofErr w:type="gramStart"/>
      <w:r w:rsidRPr="00E01239">
        <w:rPr>
          <w:rFonts w:asciiTheme="minorHAnsi" w:hAnsiTheme="minorHAnsi" w:cstheme="minorHAnsi"/>
          <w:sz w:val="22"/>
          <w:szCs w:val="22"/>
        </w:rPr>
        <w:t>un</w:t>
      </w:r>
      <w:proofErr w:type="gramEnd"/>
      <w:r w:rsidRPr="00E01239">
        <w:rPr>
          <w:rFonts w:asciiTheme="minorHAnsi" w:hAnsiTheme="minorHAnsi" w:cstheme="minorHAnsi"/>
          <w:sz w:val="22"/>
          <w:szCs w:val="22"/>
        </w:rPr>
        <w:t xml:space="preserve"> audit de conformité environnementale et sociale de fin de chantier et réception environnementale et sociale (finale) des travaux.</w:t>
      </w:r>
    </w:p>
    <w:p w14:paraId="3490219D" w14:textId="77777777" w:rsidR="00477A61" w:rsidRPr="00E01239" w:rsidRDefault="00477A61" w:rsidP="00477A61">
      <w:pPr>
        <w:spacing w:line="360" w:lineRule="exact"/>
        <w:rPr>
          <w:rFonts w:asciiTheme="minorHAnsi" w:hAnsiTheme="minorHAnsi" w:cstheme="minorHAnsi"/>
          <w:b/>
          <w:sz w:val="22"/>
          <w:szCs w:val="22"/>
          <w:u w:val="single"/>
        </w:rPr>
      </w:pPr>
      <w:bookmarkStart w:id="1560" w:name="_Toc303072295"/>
      <w:bookmarkStart w:id="1561" w:name="_Toc315711344"/>
      <w:bookmarkStart w:id="1562" w:name="_Toc365198095"/>
      <w:bookmarkStart w:id="1563" w:name="_Toc506366817"/>
      <w:r w:rsidRPr="00E01239">
        <w:rPr>
          <w:rFonts w:asciiTheme="minorHAnsi" w:hAnsiTheme="minorHAnsi" w:cstheme="minorHAnsi"/>
          <w:b/>
          <w:sz w:val="22"/>
          <w:szCs w:val="22"/>
          <w:u w:val="single"/>
        </w:rPr>
        <w:t>Rapports de surveillance environnementale</w:t>
      </w:r>
      <w:bookmarkEnd w:id="1560"/>
      <w:bookmarkEnd w:id="1561"/>
      <w:bookmarkEnd w:id="1562"/>
      <w:r w:rsidRPr="00E01239">
        <w:rPr>
          <w:rFonts w:asciiTheme="minorHAnsi" w:hAnsiTheme="minorHAnsi" w:cstheme="minorHAnsi"/>
          <w:b/>
          <w:sz w:val="22"/>
          <w:szCs w:val="22"/>
          <w:u w:val="single"/>
        </w:rPr>
        <w:t xml:space="preserve"> et sociale</w:t>
      </w:r>
      <w:bookmarkEnd w:id="1563"/>
    </w:p>
    <w:p w14:paraId="18664347"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lastRenderedPageBreak/>
        <w:t>Les indicateurs de surveillance renseigneront sur la mise en œuvre des mesures préconisées par le Plan Environnement, Social, Hygiène, Santé et Sécurité et le PGES.</w:t>
      </w:r>
    </w:p>
    <w:p w14:paraId="262FB9F6"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L’Expert Environnement et le responsable HSE seront chargés d’élaborer le chapitre « Environnement, Social, Hygiène, Santé et Sécurité » du rapport de chantier sur la base d’observation de terrains et de discussions avec les parties prenantes.</w:t>
      </w:r>
    </w:p>
    <w:p w14:paraId="0FFDCA91"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En ce qui concerne la surveillance environnementale et sociale des travaux, la documentation environnementale et sociale comprendra une série de fiches d’inspection regroupées en trois registres : registre installations fixes, registre des chantiers qui seront préparées en fonction des réalités de terrain. La partie environnementale et sociale du rapport de chantier sera présentée selon le canevas suivant :</w:t>
      </w:r>
    </w:p>
    <w:p w14:paraId="1650D8FF" w14:textId="77777777" w:rsidR="00477A61" w:rsidRPr="00E01239" w:rsidRDefault="00477A61" w:rsidP="002A19B3">
      <w:pPr>
        <w:numPr>
          <w:ilvl w:val="0"/>
          <w:numId w:val="67"/>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Bilan de la surveillance environnementale : énumération des sites surveillés et présentation des fiches d’inspections ;</w:t>
      </w:r>
    </w:p>
    <w:p w14:paraId="36A16A95" w14:textId="77777777" w:rsidR="00477A61" w:rsidRPr="00E01239" w:rsidRDefault="00477A61" w:rsidP="002A19B3">
      <w:pPr>
        <w:numPr>
          <w:ilvl w:val="0"/>
          <w:numId w:val="67"/>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 xml:space="preserve">Bilan de l’avancement des actions prévues dans le Plan Environnement, Social, Hygiène, Santé et </w:t>
      </w:r>
      <w:proofErr w:type="gramStart"/>
      <w:r w:rsidRPr="00E01239">
        <w:rPr>
          <w:rFonts w:asciiTheme="minorHAnsi" w:hAnsiTheme="minorHAnsi" w:cstheme="minorHAnsi"/>
          <w:sz w:val="22"/>
          <w:szCs w:val="22"/>
        </w:rPr>
        <w:t>Sécurité;</w:t>
      </w:r>
      <w:proofErr w:type="gramEnd"/>
    </w:p>
    <w:p w14:paraId="69829597" w14:textId="77777777" w:rsidR="00477A61" w:rsidRPr="00E01239" w:rsidRDefault="00477A61" w:rsidP="002A19B3">
      <w:pPr>
        <w:numPr>
          <w:ilvl w:val="0"/>
          <w:numId w:val="67"/>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Bilan des non-conformités par thème : bruit, poussières, gestion des carburants, gestion des lubrifiants, gestion des déchets solides, etc. ;</w:t>
      </w:r>
    </w:p>
    <w:p w14:paraId="51B1BC4A" w14:textId="77777777" w:rsidR="00477A61" w:rsidRPr="00E01239" w:rsidRDefault="00477A61" w:rsidP="002A19B3">
      <w:pPr>
        <w:numPr>
          <w:ilvl w:val="0"/>
          <w:numId w:val="67"/>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Bilan de la correspondance environnementale et sociale adressée à l’Entrepreneur et des réponses de celui-ci ;</w:t>
      </w:r>
    </w:p>
    <w:p w14:paraId="2A913515" w14:textId="77777777" w:rsidR="00477A61" w:rsidRPr="00E01239" w:rsidRDefault="00477A61" w:rsidP="002A19B3">
      <w:pPr>
        <w:numPr>
          <w:ilvl w:val="0"/>
          <w:numId w:val="67"/>
        </w:numPr>
        <w:spacing w:before="60" w:line="360" w:lineRule="exact"/>
        <w:ind w:left="714" w:hanging="357"/>
        <w:rPr>
          <w:rFonts w:asciiTheme="minorHAnsi" w:hAnsiTheme="minorHAnsi" w:cstheme="minorHAnsi"/>
          <w:sz w:val="22"/>
          <w:szCs w:val="22"/>
        </w:rPr>
      </w:pPr>
      <w:r w:rsidRPr="00E01239">
        <w:rPr>
          <w:rFonts w:asciiTheme="minorHAnsi" w:hAnsiTheme="minorHAnsi" w:cstheme="minorHAnsi"/>
          <w:sz w:val="22"/>
          <w:szCs w:val="22"/>
        </w:rPr>
        <w:t>Conclusions et actions prévues.</w:t>
      </w:r>
    </w:p>
    <w:p w14:paraId="1FAE2413" w14:textId="77777777" w:rsidR="00477A61" w:rsidRPr="00E01239" w:rsidRDefault="00477A61" w:rsidP="00477A61">
      <w:pPr>
        <w:spacing w:line="360" w:lineRule="exact"/>
        <w:rPr>
          <w:rFonts w:asciiTheme="minorHAnsi" w:hAnsiTheme="minorHAnsi" w:cstheme="minorHAnsi"/>
          <w:b/>
          <w:sz w:val="22"/>
          <w:szCs w:val="22"/>
          <w:u w:val="single"/>
        </w:rPr>
      </w:pPr>
      <w:bookmarkStart w:id="1564" w:name="_Toc315711345"/>
      <w:bookmarkStart w:id="1565" w:name="_Toc365198096"/>
      <w:bookmarkStart w:id="1566" w:name="_Toc506366818"/>
      <w:r w:rsidRPr="00E01239">
        <w:rPr>
          <w:rFonts w:asciiTheme="minorHAnsi" w:hAnsiTheme="minorHAnsi" w:cstheme="minorHAnsi"/>
          <w:b/>
          <w:sz w:val="22"/>
          <w:szCs w:val="22"/>
          <w:u w:val="single"/>
        </w:rPr>
        <w:t>Réunions de suivi du PEH</w:t>
      </w:r>
      <w:bookmarkEnd w:id="1564"/>
      <w:bookmarkEnd w:id="1565"/>
      <w:r w:rsidRPr="00E01239">
        <w:rPr>
          <w:rFonts w:asciiTheme="minorHAnsi" w:hAnsiTheme="minorHAnsi" w:cstheme="minorHAnsi"/>
          <w:b/>
          <w:sz w:val="22"/>
          <w:szCs w:val="22"/>
          <w:u w:val="single"/>
        </w:rPr>
        <w:t>S</w:t>
      </w:r>
      <w:bookmarkEnd w:id="1566"/>
    </w:p>
    <w:p w14:paraId="76AA9E47"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Des réunions (à priori mensuelles) avec l’entrepreneur concernant la mise en œuvre seront tenues régulièrement en présence des spécialistes de l’Ingénieur et de l’Entrepreneur.</w:t>
      </w:r>
    </w:p>
    <w:p w14:paraId="0A86FE8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Les décisions prises durant ces réunions seront mises par écrit et envoyées aux concernés. Si nécessaire, l’Ingénieur peut solliciter à n’importe quel moment une réunion avec l’entrepreneur. Les ordres du jour et les documents connexes seront conservés par l’Ingénieur.</w:t>
      </w:r>
    </w:p>
    <w:p w14:paraId="77DF813E"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organisera avec son personnel des réunions relatives à la santé et à la sécurité dans le but de suivre régulièrement les problèmes liés à la sécurité au travail. Les réunions auront lieu régulièrement, en présence du Maitre d’Ouvrage ou de son représentant.</w:t>
      </w:r>
    </w:p>
    <w:p w14:paraId="546E1F8F"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L’Entrepreneur participera à des réunions d’examen environnemental et social qui seront convoquées par l’Ingénieur pour débattre de la conformité environnementale et sociale des activités du Projet. Ces réunions seront aussi l’occasion d’échanger sur les points de vue et de résoudre les éventuels problèmes environnementaux et sociaux en suspens et/ou de régler les questions concernant des actions correctives.</w:t>
      </w:r>
    </w:p>
    <w:p w14:paraId="1FBD8A7E" w14:textId="77777777" w:rsidR="00477A61" w:rsidRPr="00E01239" w:rsidRDefault="00477A61" w:rsidP="00477A61">
      <w:pPr>
        <w:spacing w:line="360" w:lineRule="exact"/>
        <w:rPr>
          <w:rFonts w:asciiTheme="minorHAnsi" w:hAnsiTheme="minorHAnsi" w:cstheme="minorHAnsi"/>
          <w:b/>
          <w:sz w:val="22"/>
          <w:szCs w:val="22"/>
          <w:u w:val="single"/>
        </w:rPr>
      </w:pPr>
      <w:bookmarkStart w:id="1567" w:name="_Toc315711347"/>
      <w:bookmarkStart w:id="1568" w:name="_Toc365198099"/>
      <w:bookmarkStart w:id="1569" w:name="_Toc506366821"/>
    </w:p>
    <w:p w14:paraId="4576B992" w14:textId="77777777" w:rsidR="00477A61" w:rsidRPr="00E01239" w:rsidRDefault="00477A61" w:rsidP="00477A61">
      <w:pPr>
        <w:spacing w:line="360" w:lineRule="exact"/>
        <w:rPr>
          <w:rFonts w:asciiTheme="minorHAnsi" w:hAnsiTheme="minorHAnsi" w:cstheme="minorHAnsi"/>
          <w:b/>
          <w:sz w:val="22"/>
          <w:szCs w:val="22"/>
          <w:u w:val="single"/>
        </w:rPr>
      </w:pPr>
      <w:r w:rsidRPr="00E01239">
        <w:rPr>
          <w:rFonts w:asciiTheme="minorHAnsi" w:hAnsiTheme="minorHAnsi" w:cstheme="minorHAnsi"/>
          <w:b/>
          <w:sz w:val="22"/>
          <w:szCs w:val="22"/>
          <w:u w:val="single"/>
        </w:rPr>
        <w:t xml:space="preserve">Amélioration des </w:t>
      </w:r>
      <w:bookmarkEnd w:id="1567"/>
      <w:r w:rsidRPr="00E01239">
        <w:rPr>
          <w:rFonts w:asciiTheme="minorHAnsi" w:hAnsiTheme="minorHAnsi" w:cstheme="minorHAnsi"/>
          <w:b/>
          <w:sz w:val="22"/>
          <w:szCs w:val="22"/>
          <w:u w:val="single"/>
        </w:rPr>
        <w:t>procédures</w:t>
      </w:r>
      <w:bookmarkEnd w:id="1568"/>
      <w:bookmarkEnd w:id="1569"/>
    </w:p>
    <w:p w14:paraId="76B9FFE9"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Sur la base des constats faits lors du suivi de l’application du PEHSS, l’Entrepreneur fera toute suggestion de nature à améliorer les procédures pour une mise en œuvre efficiente du PEHS. Ces </w:t>
      </w:r>
      <w:r w:rsidRPr="00E01239">
        <w:rPr>
          <w:rFonts w:asciiTheme="minorHAnsi" w:hAnsiTheme="minorHAnsi" w:cstheme="minorHAnsi"/>
          <w:sz w:val="22"/>
          <w:szCs w:val="22"/>
        </w:rPr>
        <w:lastRenderedPageBreak/>
        <w:t>suggestions seront examinées et approuvées par l’Ingénieur sur la base de documents écrits garantissant la traçabilité.</w:t>
      </w:r>
    </w:p>
    <w:p w14:paraId="589B80BC" w14:textId="77777777" w:rsidR="00477A61" w:rsidRPr="00E01239" w:rsidRDefault="00477A61" w:rsidP="00477A61">
      <w:pPr>
        <w:spacing w:line="360" w:lineRule="exact"/>
        <w:rPr>
          <w:rFonts w:asciiTheme="minorHAnsi" w:hAnsiTheme="minorHAnsi" w:cstheme="minorHAnsi"/>
          <w:b/>
          <w:sz w:val="22"/>
          <w:szCs w:val="22"/>
          <w:u w:val="single"/>
        </w:rPr>
      </w:pPr>
      <w:r w:rsidRPr="00E01239">
        <w:rPr>
          <w:rFonts w:asciiTheme="minorHAnsi" w:hAnsiTheme="minorHAnsi" w:cstheme="minorHAnsi"/>
          <w:b/>
          <w:sz w:val="22"/>
          <w:szCs w:val="22"/>
          <w:u w:val="single"/>
        </w:rPr>
        <w:t>Gestion des non-conformités</w:t>
      </w:r>
    </w:p>
    <w:p w14:paraId="60A68622" w14:textId="77777777" w:rsidR="00477A61" w:rsidRPr="00E01239" w:rsidRDefault="00477A61" w:rsidP="00477A61">
      <w:pPr>
        <w:spacing w:line="360" w:lineRule="exact"/>
        <w:rPr>
          <w:rFonts w:asciiTheme="minorHAnsi" w:hAnsiTheme="minorHAnsi" w:cstheme="minorHAnsi"/>
          <w:sz w:val="22"/>
          <w:szCs w:val="22"/>
        </w:rPr>
      </w:pPr>
      <w:r w:rsidRPr="00E01239">
        <w:rPr>
          <w:rFonts w:asciiTheme="minorHAnsi" w:hAnsiTheme="minorHAnsi" w:cstheme="minorHAnsi"/>
          <w:sz w:val="22"/>
          <w:szCs w:val="22"/>
        </w:rPr>
        <w:t xml:space="preserve">En cas de non-conformité, des fiches y afférents seront ouvertes pour consigner l’infraction et définir les mesures de correction et les délais. En cas de non-conformités persistantes, l’Ingénieur ou du Maitre d’Ouvrage se réserve le droit d’arrêter les travaux huit (08) jours après avoir servi une mise en demeure à l’Entrepreneur. Les paiements des décomptes des entreprises sont aussi assujettis au visa de conformité environnementale et sociale de l’Ingénieur. </w:t>
      </w:r>
    </w:p>
    <w:p w14:paraId="201A1D1A" w14:textId="77777777" w:rsidR="00477A61" w:rsidRPr="00E01239" w:rsidRDefault="00477A61" w:rsidP="00477A61">
      <w:pPr>
        <w:rPr>
          <w:rFonts w:asciiTheme="minorHAnsi" w:hAnsiTheme="minorHAnsi" w:cstheme="minorHAnsi"/>
          <w:sz w:val="22"/>
          <w:szCs w:val="22"/>
        </w:rPr>
      </w:pPr>
    </w:p>
    <w:p w14:paraId="24DB4151" w14:textId="77777777" w:rsidR="00477A61" w:rsidRPr="00E01239" w:rsidRDefault="00477A61" w:rsidP="00477A61">
      <w:pPr>
        <w:rPr>
          <w:rFonts w:asciiTheme="minorHAnsi" w:hAnsiTheme="minorHAnsi" w:cstheme="minorHAnsi"/>
          <w:sz w:val="22"/>
          <w:szCs w:val="22"/>
        </w:rPr>
      </w:pPr>
    </w:p>
    <w:p w14:paraId="0A659639" w14:textId="77777777" w:rsidR="00477A61" w:rsidRPr="00E01239" w:rsidRDefault="00477A61" w:rsidP="00477A61">
      <w:pPr>
        <w:rPr>
          <w:rFonts w:asciiTheme="minorHAnsi" w:hAnsiTheme="minorHAnsi" w:cstheme="minorHAnsi"/>
          <w:color w:val="4472C4"/>
          <w:sz w:val="22"/>
          <w:szCs w:val="22"/>
        </w:rPr>
      </w:pPr>
      <w:r w:rsidRPr="00E01239">
        <w:rPr>
          <w:rFonts w:asciiTheme="minorHAnsi" w:hAnsiTheme="minorHAnsi" w:cstheme="minorHAnsi"/>
          <w:sz w:val="22"/>
          <w:szCs w:val="22"/>
        </w:rPr>
        <w:br w:type="page"/>
      </w:r>
    </w:p>
    <w:p w14:paraId="7640BB5B" w14:textId="77777777" w:rsidR="00477A61" w:rsidRPr="00E01239" w:rsidRDefault="00477A61" w:rsidP="00477A61">
      <w:pPr>
        <w:pStyle w:val="Niv6"/>
        <w:rPr>
          <w:rFonts w:asciiTheme="minorHAnsi" w:hAnsiTheme="minorHAnsi" w:cstheme="minorHAnsi"/>
        </w:rPr>
      </w:pPr>
    </w:p>
    <w:p w14:paraId="2C608A2C" w14:textId="77777777" w:rsidR="00477A61" w:rsidRPr="00E01239" w:rsidRDefault="00477A61" w:rsidP="00477A61">
      <w:pPr>
        <w:pStyle w:val="Niv6"/>
        <w:rPr>
          <w:rFonts w:asciiTheme="minorHAnsi" w:hAnsiTheme="minorHAnsi" w:cstheme="minorHAnsi"/>
        </w:rPr>
      </w:pPr>
    </w:p>
    <w:p w14:paraId="0EA1740F" w14:textId="77777777" w:rsidR="00477A61" w:rsidRPr="00E01239" w:rsidRDefault="00477A61" w:rsidP="00477A61">
      <w:pPr>
        <w:pStyle w:val="Niv6"/>
        <w:rPr>
          <w:rFonts w:asciiTheme="minorHAnsi" w:hAnsiTheme="minorHAnsi" w:cstheme="minorHAnsi"/>
        </w:rPr>
      </w:pPr>
    </w:p>
    <w:p w14:paraId="62EE0E28" w14:textId="77777777" w:rsidR="00477A61" w:rsidRPr="00E01239" w:rsidRDefault="00477A61" w:rsidP="00477A61">
      <w:pPr>
        <w:pStyle w:val="Niv6"/>
        <w:rPr>
          <w:rFonts w:asciiTheme="minorHAnsi" w:hAnsiTheme="minorHAnsi" w:cstheme="minorHAnsi"/>
        </w:rPr>
      </w:pPr>
    </w:p>
    <w:p w14:paraId="61A202E6" w14:textId="77777777" w:rsidR="00477A61" w:rsidRPr="00E01239" w:rsidRDefault="00477A61" w:rsidP="00477A61">
      <w:pPr>
        <w:pStyle w:val="Niv6"/>
        <w:rPr>
          <w:rFonts w:asciiTheme="minorHAnsi" w:hAnsiTheme="minorHAnsi" w:cstheme="minorHAnsi"/>
        </w:rPr>
      </w:pPr>
    </w:p>
    <w:p w14:paraId="1F5620C0" w14:textId="77777777" w:rsidR="00477A61" w:rsidRPr="00E01239" w:rsidRDefault="00477A61" w:rsidP="00477A61">
      <w:pPr>
        <w:pStyle w:val="Niv6"/>
        <w:rPr>
          <w:rFonts w:asciiTheme="minorHAnsi" w:hAnsiTheme="minorHAnsi" w:cstheme="minorHAnsi"/>
        </w:rPr>
      </w:pPr>
    </w:p>
    <w:p w14:paraId="46332E81" w14:textId="77777777" w:rsidR="00477A61" w:rsidRPr="00E01239" w:rsidRDefault="00477A61" w:rsidP="00477A61">
      <w:pPr>
        <w:pStyle w:val="Niv6"/>
        <w:rPr>
          <w:rFonts w:asciiTheme="minorHAnsi" w:hAnsiTheme="minorHAnsi" w:cstheme="minorHAnsi"/>
        </w:rPr>
      </w:pPr>
    </w:p>
    <w:p w14:paraId="348BF304" w14:textId="77777777" w:rsidR="00477A61" w:rsidRPr="00E01239" w:rsidRDefault="00477A61" w:rsidP="00477A61">
      <w:pPr>
        <w:pStyle w:val="Niv6"/>
        <w:rPr>
          <w:rFonts w:asciiTheme="minorHAnsi" w:hAnsiTheme="minorHAnsi" w:cstheme="minorHAnsi"/>
        </w:rPr>
      </w:pPr>
    </w:p>
    <w:p w14:paraId="77F6A65C" w14:textId="77777777" w:rsidR="00477A61" w:rsidRPr="00E01239" w:rsidRDefault="00477A61" w:rsidP="00477A61">
      <w:pPr>
        <w:pStyle w:val="Niv6"/>
        <w:rPr>
          <w:rFonts w:asciiTheme="minorHAnsi" w:hAnsiTheme="minorHAnsi" w:cstheme="minorHAnsi"/>
        </w:rPr>
      </w:pPr>
    </w:p>
    <w:p w14:paraId="4C590351" w14:textId="77777777" w:rsidR="00477A61" w:rsidRPr="00E01239" w:rsidRDefault="00477A61" w:rsidP="00477A61">
      <w:pPr>
        <w:pStyle w:val="Niv6"/>
        <w:rPr>
          <w:rFonts w:asciiTheme="minorHAnsi" w:hAnsiTheme="minorHAnsi" w:cstheme="minorHAnsi"/>
        </w:rPr>
      </w:pPr>
    </w:p>
    <w:p w14:paraId="60C4330C" w14:textId="396A234B" w:rsidR="00C068DF" w:rsidRPr="00E01239" w:rsidRDefault="00C068DF" w:rsidP="00C068DF">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48"/>
          <w:szCs w:val="48"/>
        </w:rPr>
      </w:pPr>
      <w:bookmarkStart w:id="1570" w:name="_Toc129472045"/>
      <w:bookmarkStart w:id="1571" w:name="_Toc129473289"/>
      <w:bookmarkStart w:id="1572" w:name="_Toc129473330"/>
      <w:bookmarkStart w:id="1573" w:name="_Toc130857882"/>
      <w:bookmarkStart w:id="1574" w:name="_Toc130858019"/>
      <w:bookmarkStart w:id="1575" w:name="_Toc142378228"/>
      <w:bookmarkStart w:id="1576" w:name="_Toc142847798"/>
      <w:bookmarkStart w:id="1577" w:name="_Toc142853999"/>
      <w:bookmarkStart w:id="1578" w:name="_Toc142854051"/>
      <w:bookmarkStart w:id="1579" w:name="_Toc144654179"/>
      <w:r w:rsidRPr="00E01239">
        <w:rPr>
          <w:rFonts w:asciiTheme="minorHAnsi" w:hAnsiTheme="minorHAnsi" w:cstheme="minorHAnsi"/>
          <w:caps/>
          <w:color w:val="5B9BD5"/>
          <w:sz w:val="48"/>
          <w:szCs w:val="48"/>
        </w:rPr>
        <w:t xml:space="preserve">ANNEXE </w:t>
      </w:r>
      <w:r w:rsidRPr="00E01239">
        <w:rPr>
          <w:rFonts w:asciiTheme="minorHAnsi" w:hAnsiTheme="minorHAnsi" w:cstheme="minorHAnsi"/>
          <w:caps/>
          <w:color w:val="5B9BD5"/>
          <w:sz w:val="48"/>
          <w:szCs w:val="48"/>
        </w:rPr>
        <w:fldChar w:fldCharType="begin"/>
      </w:r>
      <w:r w:rsidRPr="00E01239">
        <w:rPr>
          <w:rFonts w:asciiTheme="minorHAnsi" w:hAnsiTheme="minorHAnsi" w:cstheme="minorHAnsi"/>
          <w:caps/>
          <w:color w:val="5B9BD5"/>
          <w:sz w:val="48"/>
          <w:szCs w:val="48"/>
        </w:rPr>
        <w:instrText xml:space="preserve"> SEQ Annexe \* ARABIC </w:instrText>
      </w:r>
      <w:r w:rsidRPr="00E01239">
        <w:rPr>
          <w:rFonts w:asciiTheme="minorHAnsi" w:hAnsiTheme="minorHAnsi" w:cstheme="minorHAnsi"/>
          <w:caps/>
          <w:color w:val="5B9BD5"/>
          <w:sz w:val="48"/>
          <w:szCs w:val="48"/>
        </w:rPr>
        <w:fldChar w:fldCharType="separate"/>
      </w:r>
      <w:r w:rsidR="00F73EAB" w:rsidRPr="00E01239">
        <w:rPr>
          <w:rFonts w:asciiTheme="minorHAnsi" w:hAnsiTheme="minorHAnsi" w:cstheme="minorHAnsi"/>
          <w:caps/>
          <w:noProof/>
          <w:color w:val="5B9BD5"/>
          <w:sz w:val="48"/>
          <w:szCs w:val="48"/>
        </w:rPr>
        <w:t>6</w:t>
      </w:r>
      <w:r w:rsidRPr="00E01239">
        <w:rPr>
          <w:rFonts w:asciiTheme="minorHAnsi" w:hAnsiTheme="minorHAnsi" w:cstheme="minorHAnsi"/>
          <w:caps/>
          <w:color w:val="5B9BD5"/>
          <w:sz w:val="48"/>
          <w:szCs w:val="48"/>
        </w:rPr>
        <w:fldChar w:fldCharType="end"/>
      </w:r>
      <w:r w:rsidRPr="00E01239">
        <w:rPr>
          <w:rFonts w:asciiTheme="minorHAnsi" w:hAnsiTheme="minorHAnsi" w:cstheme="minorHAnsi"/>
          <w:caps/>
          <w:color w:val="5B9BD5"/>
          <w:sz w:val="48"/>
          <w:szCs w:val="48"/>
        </w:rPr>
        <w:t xml:space="preserve"> : </w:t>
      </w:r>
      <w:r w:rsidR="00A67BD3" w:rsidRPr="00E01239">
        <w:rPr>
          <w:rFonts w:asciiTheme="minorHAnsi" w:hAnsiTheme="minorHAnsi" w:cstheme="minorHAnsi"/>
          <w:caps/>
          <w:color w:val="5B9BD5"/>
          <w:sz w:val="48"/>
          <w:szCs w:val="48"/>
        </w:rPr>
        <w:t>ADDENDUM DU CGES POUR LA COMPOSANTE DE REPONSE AUX URGENCES</w:t>
      </w:r>
      <w:bookmarkEnd w:id="1570"/>
      <w:bookmarkEnd w:id="1571"/>
      <w:bookmarkEnd w:id="1572"/>
      <w:bookmarkEnd w:id="1573"/>
      <w:bookmarkEnd w:id="1574"/>
      <w:bookmarkEnd w:id="1575"/>
      <w:bookmarkEnd w:id="1576"/>
      <w:bookmarkEnd w:id="1577"/>
      <w:bookmarkEnd w:id="1578"/>
      <w:bookmarkEnd w:id="1579"/>
    </w:p>
    <w:p w14:paraId="159FDC3A" w14:textId="744C15BE" w:rsidR="00C068DF" w:rsidRPr="00E01239" w:rsidRDefault="00C068DF" w:rsidP="00477A61">
      <w:pPr>
        <w:tabs>
          <w:tab w:val="left" w:pos="1193"/>
        </w:tabs>
        <w:rPr>
          <w:rFonts w:asciiTheme="minorHAnsi" w:hAnsiTheme="minorHAnsi" w:cstheme="minorHAnsi"/>
          <w:sz w:val="22"/>
          <w:szCs w:val="22"/>
        </w:rPr>
      </w:pPr>
    </w:p>
    <w:p w14:paraId="25EB1A61" w14:textId="441F31E2" w:rsidR="00C068DF" w:rsidRPr="00E01239" w:rsidRDefault="00C068DF" w:rsidP="00477A61">
      <w:pPr>
        <w:tabs>
          <w:tab w:val="left" w:pos="1193"/>
        </w:tabs>
        <w:rPr>
          <w:rFonts w:asciiTheme="minorHAnsi" w:hAnsiTheme="minorHAnsi" w:cstheme="minorHAnsi"/>
          <w:sz w:val="22"/>
          <w:szCs w:val="22"/>
        </w:rPr>
      </w:pPr>
    </w:p>
    <w:p w14:paraId="7BC97B1F" w14:textId="66998177" w:rsidR="00C068DF" w:rsidRPr="00E01239" w:rsidRDefault="00C068DF" w:rsidP="00477A61">
      <w:pPr>
        <w:tabs>
          <w:tab w:val="left" w:pos="1193"/>
        </w:tabs>
        <w:rPr>
          <w:rFonts w:asciiTheme="minorHAnsi" w:hAnsiTheme="minorHAnsi" w:cstheme="minorHAnsi"/>
          <w:sz w:val="22"/>
          <w:szCs w:val="22"/>
        </w:rPr>
      </w:pPr>
    </w:p>
    <w:p w14:paraId="1EAC3489" w14:textId="158636D0" w:rsidR="00065A58" w:rsidRPr="00E01239" w:rsidRDefault="00C068DF" w:rsidP="004B1D15">
      <w:pPr>
        <w:jc w:val="center"/>
        <w:rPr>
          <w:rFonts w:asciiTheme="minorHAnsi" w:hAnsiTheme="minorHAnsi" w:cstheme="minorHAnsi"/>
          <w:b/>
          <w:bCs/>
          <w:sz w:val="32"/>
          <w:szCs w:val="32"/>
        </w:rPr>
      </w:pPr>
      <w:r w:rsidRPr="00E01239">
        <w:rPr>
          <w:rFonts w:asciiTheme="minorHAnsi" w:hAnsiTheme="minorHAnsi" w:cstheme="minorHAnsi"/>
          <w:sz w:val="22"/>
          <w:szCs w:val="22"/>
        </w:rPr>
        <w:br w:type="page"/>
      </w:r>
      <w:bookmarkStart w:id="1580" w:name="_Toc122598174"/>
      <w:r w:rsidR="00065A58" w:rsidRPr="00E01239">
        <w:rPr>
          <w:rFonts w:asciiTheme="minorHAnsi" w:hAnsiTheme="minorHAnsi" w:cstheme="minorHAnsi"/>
          <w:b/>
          <w:bCs/>
          <w:sz w:val="32"/>
          <w:szCs w:val="32"/>
        </w:rPr>
        <w:lastRenderedPageBreak/>
        <w:t xml:space="preserve">ADDENDUM SUR LA COMPOSANTE DE REPONSE D’URGENCE (CERC </w:t>
      </w:r>
      <w:r w:rsidR="00065A58" w:rsidRPr="00E01239">
        <w:rPr>
          <w:rFonts w:asciiTheme="minorHAnsi" w:hAnsiTheme="minorHAnsi" w:cstheme="minorHAnsi"/>
          <w:b/>
          <w:bCs/>
          <w:i/>
          <w:iCs/>
          <w:sz w:val="32"/>
          <w:szCs w:val="32"/>
        </w:rPr>
        <w:t>acronyme en anglais</w:t>
      </w:r>
      <w:r w:rsidR="00065A58" w:rsidRPr="00E01239">
        <w:rPr>
          <w:rFonts w:asciiTheme="minorHAnsi" w:hAnsiTheme="minorHAnsi" w:cstheme="minorHAnsi"/>
          <w:b/>
          <w:bCs/>
          <w:sz w:val="32"/>
          <w:szCs w:val="32"/>
        </w:rPr>
        <w:t>)</w:t>
      </w:r>
    </w:p>
    <w:bookmarkEnd w:id="1580"/>
    <w:p w14:paraId="40F985D5" w14:textId="77777777" w:rsidR="00A67BD3" w:rsidRPr="00E01239" w:rsidRDefault="00A67BD3" w:rsidP="00065A58">
      <w:pPr>
        <w:jc w:val="both"/>
        <w:rPr>
          <w:rFonts w:asciiTheme="minorHAnsi" w:hAnsiTheme="minorHAnsi" w:cstheme="minorHAnsi"/>
          <w:b/>
          <w:bCs/>
        </w:rPr>
      </w:pPr>
    </w:p>
    <w:p w14:paraId="0AEF44E7" w14:textId="77777777" w:rsidR="00A67BD3" w:rsidRPr="00E01239" w:rsidRDefault="00065A58" w:rsidP="00065A58">
      <w:pPr>
        <w:jc w:val="both"/>
        <w:rPr>
          <w:rFonts w:asciiTheme="minorHAnsi" w:hAnsiTheme="minorHAnsi" w:cstheme="minorHAnsi"/>
        </w:rPr>
      </w:pPr>
      <w:r w:rsidRPr="00E01239">
        <w:rPr>
          <w:rFonts w:asciiTheme="minorHAnsi" w:hAnsiTheme="minorHAnsi" w:cstheme="minorHAnsi"/>
          <w:b/>
          <w:bCs/>
        </w:rPr>
        <w:t>Portée et objectif de l'addendum au CGES du CERC :</w:t>
      </w:r>
      <w:r w:rsidRPr="00E01239">
        <w:rPr>
          <w:rFonts w:asciiTheme="minorHAnsi" w:hAnsiTheme="minorHAnsi" w:cstheme="minorHAnsi"/>
        </w:rPr>
        <w:t xml:space="preserve"> Ce document est préparé comme un addendum au cadre de gestion environnementale et sociale (CGES) existant. Il fournit des informations supplémentaires sur les exigences environnementales et sociales (E&amp;S) pour la mise en œuvre des activités proposées à réaliser dans le cadre de la composante 4 « Composante d'intervention d'urgence en cas d'urgence (CERC) » du projet. Le CERC a été reconnu comme un outil clé pour assurer une réponse rapide en cas d'urgence naturelle, d'origine humaine, environnementale, biologique-sociale et liée à un conflit entraînant une perturbation de la vie, des dommages économiques, l'activation et le décaissement de fonds dans les quelques </w:t>
      </w:r>
    </w:p>
    <w:p w14:paraId="4F6827A3" w14:textId="37D8D401" w:rsidR="00065A58" w:rsidRPr="00E01239" w:rsidRDefault="00065A58" w:rsidP="00065A58">
      <w:pPr>
        <w:jc w:val="both"/>
        <w:rPr>
          <w:rFonts w:asciiTheme="minorHAnsi" w:hAnsiTheme="minorHAnsi" w:cstheme="minorHAnsi"/>
        </w:rPr>
      </w:pPr>
      <w:proofErr w:type="gramStart"/>
      <w:r w:rsidRPr="00E01239">
        <w:rPr>
          <w:rFonts w:asciiTheme="minorHAnsi" w:hAnsiTheme="minorHAnsi" w:cstheme="minorHAnsi"/>
        </w:rPr>
        <w:t>semaines</w:t>
      </w:r>
      <w:proofErr w:type="gramEnd"/>
      <w:r w:rsidRPr="00E01239">
        <w:rPr>
          <w:rFonts w:asciiTheme="minorHAnsi" w:hAnsiTheme="minorHAnsi" w:cstheme="minorHAnsi"/>
        </w:rPr>
        <w:t xml:space="preserve"> suivant la survenance d</w:t>
      </w:r>
      <w:r w:rsidR="00A67BD3" w:rsidRPr="00E01239">
        <w:rPr>
          <w:rFonts w:asciiTheme="minorHAnsi" w:hAnsiTheme="minorHAnsi" w:cstheme="minorHAnsi"/>
        </w:rPr>
        <w:t>’</w:t>
      </w:r>
      <w:r w:rsidRPr="00E01239">
        <w:rPr>
          <w:rFonts w:asciiTheme="minorHAnsi" w:hAnsiTheme="minorHAnsi" w:cstheme="minorHAnsi"/>
        </w:rPr>
        <w:t>une urgence qui répond aux critères.</w:t>
      </w:r>
    </w:p>
    <w:p w14:paraId="271EE3BE" w14:textId="77777777" w:rsidR="00A67BD3" w:rsidRPr="00E01239" w:rsidRDefault="00A67BD3" w:rsidP="00065A58">
      <w:pPr>
        <w:jc w:val="both"/>
        <w:rPr>
          <w:rFonts w:asciiTheme="minorHAnsi" w:hAnsiTheme="minorHAnsi" w:cstheme="minorHAnsi"/>
        </w:rPr>
      </w:pPr>
    </w:p>
    <w:p w14:paraId="69C57712" w14:textId="32BD66D6" w:rsidR="00065A58" w:rsidRPr="00E01239" w:rsidRDefault="00065A58" w:rsidP="00065A58">
      <w:pPr>
        <w:jc w:val="both"/>
        <w:rPr>
          <w:rFonts w:asciiTheme="minorHAnsi" w:hAnsiTheme="minorHAnsi" w:cstheme="minorHAnsi"/>
        </w:rPr>
      </w:pPr>
      <w:r w:rsidRPr="00E01239">
        <w:rPr>
          <w:rFonts w:asciiTheme="minorHAnsi" w:hAnsiTheme="minorHAnsi" w:cstheme="minorHAnsi"/>
        </w:rPr>
        <w:t>Les lignes directrices et les procédures incluses dans cet Addendum CERC au CGES sont conformes aux exigences du Cadre environnemental et social (FSE) de la Banque mondiale pour un CERC. Il décrit les activités proposées, définit les activités éligibles, établit des procédures pour évaluer les impacts environnementaux et sociaux associés aux activités éligibles et établit des mesures pour atténuer les impacts négatifs. Il identifie également les modalités de mise en œuvre pour gérer les risques et impacts environnementaux et sociaux.</w:t>
      </w:r>
      <w:bookmarkStart w:id="1581" w:name="_Toc122598175"/>
    </w:p>
    <w:p w14:paraId="172607AD" w14:textId="77777777" w:rsidR="00A67BD3" w:rsidRPr="00E01239" w:rsidRDefault="00A67BD3" w:rsidP="00065A58">
      <w:pPr>
        <w:jc w:val="both"/>
        <w:rPr>
          <w:rFonts w:asciiTheme="minorHAnsi" w:hAnsiTheme="minorHAnsi" w:cstheme="minorHAnsi"/>
          <w:b/>
          <w:bCs/>
        </w:rPr>
      </w:pPr>
    </w:p>
    <w:p w14:paraId="5775EC18" w14:textId="68AEDB75" w:rsidR="00065A58" w:rsidRPr="00E01239" w:rsidRDefault="00065A58" w:rsidP="00065A58">
      <w:pPr>
        <w:jc w:val="both"/>
        <w:rPr>
          <w:rFonts w:asciiTheme="minorHAnsi" w:hAnsiTheme="minorHAnsi" w:cstheme="minorHAnsi"/>
        </w:rPr>
      </w:pPr>
      <w:r w:rsidRPr="00E01239">
        <w:rPr>
          <w:rFonts w:asciiTheme="minorHAnsi" w:hAnsiTheme="minorHAnsi" w:cstheme="minorHAnsi"/>
          <w:b/>
          <w:bCs/>
        </w:rPr>
        <w:t>Identification des activités potentielles du CERC :</w:t>
      </w:r>
      <w:r w:rsidRPr="00E01239">
        <w:rPr>
          <w:rFonts w:asciiTheme="minorHAnsi" w:hAnsiTheme="minorHAnsi" w:cstheme="minorHAnsi"/>
        </w:rPr>
        <w:t xml:space="preserve"> Les activités à réaliser dans le cadre du CERC seront limitées à la fourniture de biens, services et travaux essentiels tels qu'identifiés dans la liste positive des activités du manuel CERC ainsi que présentés dans le tableau 1 ci-dessous.</w:t>
      </w:r>
      <w:bookmarkEnd w:id="1581"/>
    </w:p>
    <w:p w14:paraId="438DB248" w14:textId="77777777" w:rsidR="00A67BD3" w:rsidRPr="00E01239" w:rsidRDefault="00A67BD3" w:rsidP="00065A58">
      <w:pPr>
        <w:rPr>
          <w:rFonts w:asciiTheme="minorHAnsi" w:hAnsiTheme="minorHAnsi" w:cstheme="minorHAnsi"/>
          <w:i/>
          <w:iCs/>
          <w:sz w:val="20"/>
          <w:szCs w:val="20"/>
        </w:rPr>
      </w:pPr>
    </w:p>
    <w:p w14:paraId="61EF268A" w14:textId="33865593" w:rsidR="00065A58" w:rsidRPr="00E01239" w:rsidRDefault="00065A58" w:rsidP="00065A58">
      <w:pPr>
        <w:rPr>
          <w:rFonts w:asciiTheme="minorHAnsi" w:hAnsiTheme="minorHAnsi" w:cstheme="minorHAnsi"/>
          <w:i/>
          <w:iCs/>
          <w:sz w:val="20"/>
          <w:szCs w:val="20"/>
        </w:rPr>
      </w:pPr>
      <w:r w:rsidRPr="00E01239">
        <w:rPr>
          <w:rFonts w:asciiTheme="minorHAnsi" w:hAnsiTheme="minorHAnsi" w:cstheme="minorHAnsi"/>
          <w:i/>
          <w:iCs/>
          <w:sz w:val="20"/>
          <w:szCs w:val="20"/>
        </w:rPr>
        <w:t xml:space="preserve">Tableau </w:t>
      </w:r>
      <w:proofErr w:type="gramStart"/>
      <w:r w:rsidRPr="00E01239">
        <w:rPr>
          <w:rFonts w:asciiTheme="minorHAnsi" w:hAnsiTheme="minorHAnsi" w:cstheme="minorHAnsi"/>
          <w:i/>
          <w:iCs/>
          <w:sz w:val="20"/>
          <w:szCs w:val="20"/>
        </w:rPr>
        <w:t>1:</w:t>
      </w:r>
      <w:proofErr w:type="gramEnd"/>
      <w:r w:rsidRPr="00E01239">
        <w:rPr>
          <w:rFonts w:asciiTheme="minorHAnsi" w:hAnsiTheme="minorHAnsi" w:cstheme="minorHAnsi"/>
          <w:i/>
          <w:iCs/>
          <w:sz w:val="20"/>
          <w:szCs w:val="20"/>
        </w:rPr>
        <w:t xml:space="preserve"> Liste des biens, services et travaux éligibles</w:t>
      </w:r>
    </w:p>
    <w:tbl>
      <w:tblPr>
        <w:tblStyle w:val="Grilledutableau"/>
        <w:tblW w:w="0" w:type="auto"/>
        <w:tblLook w:val="04A0" w:firstRow="1" w:lastRow="0" w:firstColumn="1" w:lastColumn="0" w:noHBand="0" w:noVBand="1"/>
      </w:tblPr>
      <w:tblGrid>
        <w:gridCol w:w="9062"/>
      </w:tblGrid>
      <w:tr w:rsidR="00065A58" w:rsidRPr="00E01239" w14:paraId="40426BDA" w14:textId="77777777" w:rsidTr="003A04BD">
        <w:tc>
          <w:tcPr>
            <w:tcW w:w="9344" w:type="dxa"/>
            <w:shd w:val="clear" w:color="auto" w:fill="D9D9D9" w:themeFill="background1" w:themeFillShade="D9"/>
            <w:vAlign w:val="center"/>
          </w:tcPr>
          <w:p w14:paraId="2EA66376" w14:textId="77777777" w:rsidR="00065A58" w:rsidRPr="00E01239" w:rsidRDefault="00065A58" w:rsidP="003A04BD">
            <w:pPr>
              <w:rPr>
                <w:rFonts w:asciiTheme="minorHAnsi" w:hAnsiTheme="minorHAnsi" w:cstheme="minorHAnsi"/>
                <w:b/>
                <w:bCs/>
                <w:sz w:val="20"/>
                <w:szCs w:val="20"/>
                <w:lang w:val="en-US"/>
              </w:rPr>
            </w:pPr>
            <w:r w:rsidRPr="00E01239">
              <w:rPr>
                <w:rFonts w:asciiTheme="minorHAnsi" w:hAnsiTheme="minorHAnsi" w:cstheme="minorHAnsi"/>
                <w:b/>
                <w:bCs/>
                <w:sz w:val="20"/>
                <w:szCs w:val="20"/>
                <w:lang w:val="en-US"/>
              </w:rPr>
              <w:t xml:space="preserve">Biens et </w:t>
            </w:r>
            <w:r w:rsidRPr="00E01239">
              <w:rPr>
                <w:rFonts w:asciiTheme="minorHAnsi" w:hAnsiTheme="minorHAnsi" w:cstheme="minorHAnsi"/>
                <w:b/>
                <w:bCs/>
                <w:sz w:val="20"/>
                <w:szCs w:val="20"/>
              </w:rPr>
              <w:t>é</w:t>
            </w:r>
            <w:proofErr w:type="spellStart"/>
            <w:r w:rsidRPr="00E01239">
              <w:rPr>
                <w:rFonts w:asciiTheme="minorHAnsi" w:hAnsiTheme="minorHAnsi" w:cstheme="minorHAnsi"/>
                <w:b/>
                <w:bCs/>
                <w:sz w:val="20"/>
                <w:szCs w:val="20"/>
                <w:lang w:val="en-US"/>
              </w:rPr>
              <w:t>quipement</w:t>
            </w:r>
            <w:proofErr w:type="spellEnd"/>
          </w:p>
        </w:tc>
      </w:tr>
      <w:tr w:rsidR="00065A58" w:rsidRPr="00E01239" w14:paraId="13E86156" w14:textId="77777777" w:rsidTr="003A04BD">
        <w:tc>
          <w:tcPr>
            <w:tcW w:w="9344" w:type="dxa"/>
          </w:tcPr>
          <w:p w14:paraId="4F3056B2" w14:textId="77777777" w:rsidR="00065A58" w:rsidRPr="00E01239" w:rsidRDefault="00065A58" w:rsidP="003A04BD">
            <w:pPr>
              <w:rPr>
                <w:rFonts w:asciiTheme="minorHAnsi" w:hAnsiTheme="minorHAnsi" w:cstheme="minorHAnsi"/>
                <w:b/>
                <w:bCs/>
                <w:sz w:val="20"/>
                <w:szCs w:val="20"/>
              </w:rPr>
            </w:pPr>
            <w:r w:rsidRPr="00E01239">
              <w:rPr>
                <w:rFonts w:asciiTheme="minorHAnsi" w:hAnsiTheme="minorHAnsi" w:cstheme="minorHAnsi"/>
                <w:b/>
                <w:bCs/>
                <w:sz w:val="20"/>
                <w:szCs w:val="20"/>
              </w:rPr>
              <w:t>Biens et équipements</w:t>
            </w:r>
          </w:p>
          <w:p w14:paraId="0C7AD5F7"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Matériaux de construction, équipements et machines industrielles nécessaires aux activités à mettre en œuvre ;</w:t>
            </w:r>
          </w:p>
          <w:p w14:paraId="5F6F1C67"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Équipements et fournitures pour l'hébergement temporaire et les écoles et jardins d'enfants (cuisinières à gaz, ustensiles, tentes, lits, sacs de couchage, matelas, couvertures, kit d'hygiène personnelle et familiale, etc.) ;</w:t>
            </w:r>
          </w:p>
          <w:p w14:paraId="44A173AF"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Équipements, outils, matériaux et fournitures pour la recherche et le sauvetage (y compris les bateaux à moteur légers et les moteurs pour le transport et le sauvetage) ;</w:t>
            </w:r>
          </w:p>
          <w:p w14:paraId="00DFD95E"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Outils et matériaux de construction (toiture, ciment, fer, pierre, blocs, etc.) ;</w:t>
            </w:r>
          </w:p>
          <w:p w14:paraId="26A2A7FE"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Pompes à eau et réservoirs pour le stockage de l'eau ;</w:t>
            </w:r>
          </w:p>
          <w:p w14:paraId="491381A2"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Aliments non périssables, eau en bouteille et contenants ;</w:t>
            </w:r>
          </w:p>
          <w:p w14:paraId="0C60F856"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Forages d'eau souterraine, équipements permettant l'accès au site ;</w:t>
            </w:r>
          </w:p>
          <w:p w14:paraId="7F23BA2E"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 xml:space="preserve">Équipements, matériels et fournitures pour la désinfection de l'eau potable et </w:t>
            </w:r>
            <w:proofErr w:type="gramStart"/>
            <w:r w:rsidRPr="00E01239">
              <w:rPr>
                <w:rFonts w:asciiTheme="minorHAnsi" w:hAnsiTheme="minorHAnsi" w:cstheme="minorHAnsi"/>
                <w:sz w:val="20"/>
                <w:szCs w:val="20"/>
              </w:rPr>
              <w:t>la</w:t>
            </w:r>
            <w:proofErr w:type="gramEnd"/>
            <w:r w:rsidRPr="00E01239">
              <w:rPr>
                <w:rFonts w:asciiTheme="minorHAnsi" w:hAnsiTheme="minorHAnsi" w:cstheme="minorHAnsi"/>
                <w:sz w:val="20"/>
                <w:szCs w:val="20"/>
              </w:rPr>
              <w:t xml:space="preserve"> réparation/réhabilitation des systèmes de collecte des eaux de drainage ;</w:t>
            </w:r>
          </w:p>
          <w:p w14:paraId="18AA66BB"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Entrepôts ;</w:t>
            </w:r>
          </w:p>
          <w:p w14:paraId="5C33DCB0"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lang w:val="ru" w:bidi="he-IL"/>
              </w:rPr>
              <w:t>Distributeurs sanitaires temporaires (toilettes temporaires/portables).</w:t>
            </w:r>
          </w:p>
          <w:p w14:paraId="4CA63416"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rPr>
            </w:pPr>
            <w:r w:rsidRPr="00E01239">
              <w:rPr>
                <w:rFonts w:asciiTheme="minorHAnsi" w:hAnsiTheme="minorHAnsi" w:cstheme="minorHAnsi"/>
                <w:sz w:val="20"/>
                <w:szCs w:val="20"/>
              </w:rPr>
              <w:t xml:space="preserve">Transportation </w:t>
            </w:r>
          </w:p>
          <w:p w14:paraId="1F291C44"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lang w:val="en-US"/>
              </w:rPr>
            </w:pPr>
            <w:r w:rsidRPr="00E01239">
              <w:rPr>
                <w:rFonts w:asciiTheme="minorHAnsi" w:hAnsiTheme="minorHAnsi" w:cstheme="minorHAnsi"/>
                <w:sz w:val="20"/>
                <w:szCs w:val="20"/>
                <w:lang w:val="en-US"/>
              </w:rPr>
              <w:t>Gasoline and diesel (for air, land and sea transport) and engine lubricants;</w:t>
            </w:r>
          </w:p>
          <w:p w14:paraId="072E223E"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lang w:val="en-US"/>
              </w:rPr>
            </w:pPr>
            <w:r w:rsidRPr="00E01239">
              <w:rPr>
                <w:rFonts w:asciiTheme="minorHAnsi" w:hAnsiTheme="minorHAnsi" w:cstheme="minorHAnsi"/>
                <w:sz w:val="20"/>
                <w:szCs w:val="20"/>
                <w:lang w:val="en-US"/>
              </w:rPr>
              <w:t>Spare parts, equipment and supplies for engines, transport, construction vehicles;</w:t>
            </w:r>
          </w:p>
          <w:p w14:paraId="0FE44738" w14:textId="77777777" w:rsidR="00065A58" w:rsidRPr="00E01239" w:rsidRDefault="00065A58" w:rsidP="00065A58">
            <w:pPr>
              <w:pStyle w:val="Paragraphedeliste"/>
              <w:numPr>
                <w:ilvl w:val="0"/>
                <w:numId w:val="198"/>
              </w:numPr>
              <w:contextualSpacing w:val="0"/>
              <w:rPr>
                <w:rFonts w:asciiTheme="minorHAnsi" w:hAnsiTheme="minorHAnsi" w:cstheme="minorHAnsi"/>
                <w:sz w:val="20"/>
                <w:szCs w:val="20"/>
                <w:lang w:val="en-US"/>
              </w:rPr>
            </w:pPr>
            <w:r w:rsidRPr="00E01239">
              <w:rPr>
                <w:rFonts w:asciiTheme="minorHAnsi" w:hAnsiTheme="minorHAnsi" w:cstheme="minorHAnsi"/>
                <w:sz w:val="20"/>
                <w:szCs w:val="20"/>
                <w:lang w:val="en-US"/>
              </w:rPr>
              <w:t>Lease of vehicles (Vans, trucks and SUVs).</w:t>
            </w:r>
          </w:p>
          <w:p w14:paraId="438CE6A4" w14:textId="77777777" w:rsidR="00065A58" w:rsidRPr="00E01239" w:rsidRDefault="00065A58" w:rsidP="003A04BD">
            <w:pPr>
              <w:rPr>
                <w:rFonts w:asciiTheme="minorHAnsi" w:hAnsiTheme="minorHAnsi" w:cstheme="minorHAnsi"/>
                <w:b/>
                <w:bCs/>
                <w:sz w:val="20"/>
                <w:szCs w:val="20"/>
                <w:lang w:val="en-US"/>
              </w:rPr>
            </w:pPr>
          </w:p>
          <w:p w14:paraId="0F78FD5E" w14:textId="77777777" w:rsidR="00065A58" w:rsidRPr="00E01239" w:rsidRDefault="00065A58" w:rsidP="003A04BD">
            <w:pPr>
              <w:rPr>
                <w:rFonts w:asciiTheme="minorHAnsi" w:hAnsiTheme="minorHAnsi" w:cstheme="minorHAnsi"/>
                <w:b/>
                <w:bCs/>
                <w:sz w:val="20"/>
                <w:szCs w:val="20"/>
              </w:rPr>
            </w:pPr>
            <w:r w:rsidRPr="00E01239">
              <w:rPr>
                <w:rFonts w:asciiTheme="minorHAnsi" w:hAnsiTheme="minorHAnsi" w:cstheme="minorHAnsi"/>
                <w:b/>
                <w:bCs/>
                <w:sz w:val="20"/>
                <w:szCs w:val="20"/>
              </w:rPr>
              <w:t>Médical</w:t>
            </w:r>
          </w:p>
          <w:p w14:paraId="2F9CC62F" w14:textId="77777777" w:rsidR="00065A58" w:rsidRPr="00E01239" w:rsidRDefault="00065A58" w:rsidP="00065A58">
            <w:pPr>
              <w:pStyle w:val="Paragraphedeliste"/>
              <w:numPr>
                <w:ilvl w:val="0"/>
                <w:numId w:val="199"/>
              </w:numPr>
              <w:contextualSpacing w:val="0"/>
              <w:rPr>
                <w:rFonts w:asciiTheme="minorHAnsi" w:hAnsiTheme="minorHAnsi" w:cstheme="minorHAnsi"/>
                <w:sz w:val="20"/>
                <w:szCs w:val="20"/>
              </w:rPr>
            </w:pPr>
            <w:r w:rsidRPr="00E01239">
              <w:rPr>
                <w:rFonts w:asciiTheme="minorHAnsi" w:hAnsiTheme="minorHAnsi" w:cstheme="minorHAnsi"/>
                <w:sz w:val="20"/>
                <w:szCs w:val="20"/>
              </w:rPr>
              <w:t>Matériel et consommables médicaux ;</w:t>
            </w:r>
          </w:p>
          <w:p w14:paraId="2C6BB40B" w14:textId="77777777" w:rsidR="00065A58" w:rsidRPr="00E01239" w:rsidRDefault="00065A58" w:rsidP="00065A58">
            <w:pPr>
              <w:pStyle w:val="Paragraphedeliste"/>
              <w:numPr>
                <w:ilvl w:val="0"/>
                <w:numId w:val="199"/>
              </w:numPr>
              <w:contextualSpacing w:val="0"/>
              <w:rPr>
                <w:rFonts w:asciiTheme="minorHAnsi" w:hAnsiTheme="minorHAnsi" w:cstheme="minorHAnsi"/>
                <w:sz w:val="20"/>
                <w:szCs w:val="20"/>
              </w:rPr>
            </w:pPr>
            <w:r w:rsidRPr="00E01239">
              <w:rPr>
                <w:rFonts w:asciiTheme="minorHAnsi" w:hAnsiTheme="minorHAnsi" w:cstheme="minorHAnsi"/>
                <w:sz w:val="20"/>
                <w:szCs w:val="20"/>
                <w:lang w:val="ru" w:bidi="he-IL"/>
              </w:rPr>
              <w:lastRenderedPageBreak/>
              <w:t>Tentes pour postes médicaux avancés.</w:t>
            </w:r>
          </w:p>
          <w:p w14:paraId="3AE6E1F6" w14:textId="77777777" w:rsidR="00065A58" w:rsidRPr="00E01239" w:rsidRDefault="00065A58" w:rsidP="003A04BD">
            <w:pPr>
              <w:rPr>
                <w:rFonts w:asciiTheme="minorHAnsi" w:hAnsiTheme="minorHAnsi" w:cstheme="minorHAnsi"/>
                <w:sz w:val="20"/>
                <w:szCs w:val="20"/>
              </w:rPr>
            </w:pPr>
          </w:p>
          <w:p w14:paraId="46777DA6" w14:textId="77777777" w:rsidR="00065A58" w:rsidRPr="00E01239" w:rsidRDefault="00065A58" w:rsidP="003A04BD">
            <w:pPr>
              <w:rPr>
                <w:rFonts w:asciiTheme="minorHAnsi" w:hAnsiTheme="minorHAnsi" w:cstheme="minorHAnsi"/>
                <w:b/>
                <w:bCs/>
                <w:sz w:val="20"/>
                <w:szCs w:val="20"/>
              </w:rPr>
            </w:pPr>
            <w:r w:rsidRPr="00E01239">
              <w:rPr>
                <w:rFonts w:asciiTheme="minorHAnsi" w:hAnsiTheme="minorHAnsi" w:cstheme="minorHAnsi"/>
                <w:b/>
                <w:bCs/>
                <w:sz w:val="20"/>
                <w:szCs w:val="20"/>
              </w:rPr>
              <w:t>Autre</w:t>
            </w:r>
          </w:p>
          <w:p w14:paraId="711C16A1" w14:textId="77777777" w:rsidR="00065A58" w:rsidRPr="00E01239" w:rsidRDefault="00065A58" w:rsidP="003A04BD">
            <w:pPr>
              <w:rPr>
                <w:rFonts w:asciiTheme="minorHAnsi" w:hAnsiTheme="minorHAnsi" w:cstheme="minorHAnsi"/>
                <w:sz w:val="20"/>
                <w:szCs w:val="20"/>
              </w:rPr>
            </w:pPr>
            <w:r w:rsidRPr="00E01239">
              <w:rPr>
                <w:rFonts w:asciiTheme="minorHAnsi" w:hAnsiTheme="minorHAnsi" w:cstheme="minorHAnsi"/>
                <w:sz w:val="20"/>
                <w:szCs w:val="20"/>
              </w:rPr>
              <w:t>Équipements et fournitures pour la communication et la diffusion (radios, antennes, batteries) ;</w:t>
            </w:r>
          </w:p>
          <w:p w14:paraId="5D9D09B6" w14:textId="77777777" w:rsidR="00065A58" w:rsidRPr="00E01239" w:rsidRDefault="00065A58" w:rsidP="003A04BD">
            <w:pPr>
              <w:rPr>
                <w:rFonts w:asciiTheme="minorHAnsi" w:hAnsiTheme="minorHAnsi" w:cstheme="minorHAnsi"/>
                <w:sz w:val="20"/>
                <w:szCs w:val="20"/>
              </w:rPr>
            </w:pPr>
            <w:r w:rsidRPr="00E01239">
              <w:rPr>
                <w:rFonts w:asciiTheme="minorHAnsi" w:hAnsiTheme="minorHAnsi" w:cstheme="minorHAnsi"/>
                <w:sz w:val="20"/>
                <w:szCs w:val="20"/>
                <w:lang w:val="ru" w:bidi="he-IL"/>
              </w:rPr>
              <w:t>Tout autre élément convenu entre la Banque mondiale et l'emprunteur au moment de l'urgence</w:t>
            </w:r>
          </w:p>
          <w:p w14:paraId="6C8A6242" w14:textId="77777777" w:rsidR="00065A58" w:rsidRPr="00E01239" w:rsidRDefault="00065A58" w:rsidP="003A04BD">
            <w:pPr>
              <w:rPr>
                <w:rFonts w:asciiTheme="minorHAnsi" w:hAnsiTheme="minorHAnsi" w:cstheme="minorHAnsi"/>
                <w:sz w:val="20"/>
                <w:szCs w:val="20"/>
              </w:rPr>
            </w:pPr>
          </w:p>
        </w:tc>
      </w:tr>
      <w:tr w:rsidR="00065A58" w:rsidRPr="00E01239" w14:paraId="4EFA14D4" w14:textId="77777777" w:rsidTr="003A04BD">
        <w:tc>
          <w:tcPr>
            <w:tcW w:w="9344" w:type="dxa"/>
            <w:shd w:val="clear" w:color="auto" w:fill="D9D9D9" w:themeFill="background1" w:themeFillShade="D9"/>
            <w:vAlign w:val="center"/>
          </w:tcPr>
          <w:p w14:paraId="54EACE52" w14:textId="77777777" w:rsidR="00065A58" w:rsidRPr="00E01239" w:rsidRDefault="00065A58" w:rsidP="003A04BD">
            <w:pPr>
              <w:rPr>
                <w:rFonts w:asciiTheme="minorHAnsi" w:hAnsiTheme="minorHAnsi" w:cstheme="minorHAnsi"/>
                <w:b/>
                <w:bCs/>
                <w:sz w:val="20"/>
                <w:szCs w:val="20"/>
                <w:lang w:val="en-US"/>
              </w:rPr>
            </w:pPr>
            <w:r w:rsidRPr="00E01239">
              <w:rPr>
                <w:rFonts w:asciiTheme="minorHAnsi" w:hAnsiTheme="minorHAnsi" w:cstheme="minorHAnsi"/>
                <w:b/>
                <w:bCs/>
                <w:sz w:val="20"/>
                <w:szCs w:val="20"/>
                <w:lang w:val="en-US"/>
              </w:rPr>
              <w:lastRenderedPageBreak/>
              <w:t>T</w:t>
            </w:r>
            <w:r w:rsidRPr="00E01239">
              <w:rPr>
                <w:rFonts w:asciiTheme="minorHAnsi" w:hAnsiTheme="minorHAnsi" w:cstheme="minorHAnsi"/>
                <w:b/>
                <w:bCs/>
              </w:rPr>
              <w:t>r</w:t>
            </w:r>
            <w:r w:rsidRPr="00E01239">
              <w:rPr>
                <w:rFonts w:asciiTheme="minorHAnsi" w:hAnsiTheme="minorHAnsi" w:cstheme="minorHAnsi"/>
                <w:b/>
                <w:bCs/>
                <w:lang w:val="en-US"/>
              </w:rPr>
              <w:t>a</w:t>
            </w:r>
            <w:r w:rsidRPr="00E01239">
              <w:rPr>
                <w:rFonts w:asciiTheme="minorHAnsi" w:hAnsiTheme="minorHAnsi" w:cstheme="minorHAnsi"/>
                <w:b/>
                <w:bCs/>
              </w:rPr>
              <w:t>v</w:t>
            </w:r>
            <w:r w:rsidRPr="00E01239">
              <w:rPr>
                <w:rFonts w:asciiTheme="minorHAnsi" w:hAnsiTheme="minorHAnsi" w:cstheme="minorHAnsi"/>
                <w:b/>
                <w:bCs/>
                <w:lang w:val="en-US"/>
              </w:rPr>
              <w:t>a</w:t>
            </w:r>
            <w:r w:rsidRPr="00E01239">
              <w:rPr>
                <w:rFonts w:asciiTheme="minorHAnsi" w:hAnsiTheme="minorHAnsi" w:cstheme="minorHAnsi"/>
                <w:b/>
                <w:bCs/>
              </w:rPr>
              <w:t>u</w:t>
            </w:r>
            <w:r w:rsidRPr="00E01239">
              <w:rPr>
                <w:rFonts w:asciiTheme="minorHAnsi" w:hAnsiTheme="minorHAnsi" w:cstheme="minorHAnsi"/>
                <w:b/>
                <w:bCs/>
                <w:lang w:val="en-US"/>
              </w:rPr>
              <w:t>x</w:t>
            </w:r>
          </w:p>
        </w:tc>
      </w:tr>
      <w:tr w:rsidR="00065A58" w:rsidRPr="00E01239" w14:paraId="013489B4" w14:textId="77777777" w:rsidTr="003A04BD">
        <w:tc>
          <w:tcPr>
            <w:tcW w:w="9344" w:type="dxa"/>
          </w:tcPr>
          <w:p w14:paraId="6AFDD836" w14:textId="77777777" w:rsidR="00065A58" w:rsidRPr="00E01239" w:rsidRDefault="00065A58" w:rsidP="00065A58">
            <w:pPr>
              <w:pStyle w:val="Paragraphedeliste"/>
              <w:numPr>
                <w:ilvl w:val="0"/>
                <w:numId w:val="200"/>
              </w:numPr>
              <w:contextualSpacing w:val="0"/>
              <w:rPr>
                <w:rFonts w:asciiTheme="minorHAnsi" w:hAnsiTheme="minorHAnsi" w:cstheme="minorHAnsi"/>
                <w:sz w:val="20"/>
                <w:szCs w:val="20"/>
              </w:rPr>
            </w:pPr>
            <w:r w:rsidRPr="00E01239">
              <w:rPr>
                <w:rFonts w:asciiTheme="minorHAnsi" w:hAnsiTheme="minorHAnsi" w:cstheme="minorHAnsi"/>
                <w:sz w:val="20"/>
                <w:szCs w:val="20"/>
              </w:rPr>
              <w:t>Réparation des infrastructures endommagées, y compris, mais sans s'y limiter, les systèmes d'approvisionnement en eau et d'assainissement, les barrages, les réservoirs, les canaux, les routes, les ponts et les systèmes de transport, l'approvisionnement en énergie et en électricité, les télécommunications et autres infrastructures endommagées par l'événement ;</w:t>
            </w:r>
          </w:p>
          <w:p w14:paraId="275C8F99" w14:textId="77777777" w:rsidR="00065A58" w:rsidRPr="00E01239" w:rsidRDefault="00065A58" w:rsidP="00065A58">
            <w:pPr>
              <w:pStyle w:val="Paragraphedeliste"/>
              <w:numPr>
                <w:ilvl w:val="0"/>
                <w:numId w:val="200"/>
              </w:numPr>
              <w:contextualSpacing w:val="0"/>
              <w:rPr>
                <w:rFonts w:asciiTheme="minorHAnsi" w:hAnsiTheme="minorHAnsi" w:cstheme="minorHAnsi"/>
                <w:sz w:val="20"/>
                <w:szCs w:val="20"/>
              </w:rPr>
            </w:pPr>
            <w:r w:rsidRPr="00E01239">
              <w:rPr>
                <w:rFonts w:asciiTheme="minorHAnsi" w:hAnsiTheme="minorHAnsi" w:cstheme="minorHAnsi"/>
                <w:sz w:val="20"/>
                <w:szCs w:val="20"/>
              </w:rPr>
              <w:t>Rétablissement du système de gestion des déchets solides urbains et ruraux, de l'approvisionnement en eau et de l'assainissement (y compris le drainage urbain) ;</w:t>
            </w:r>
          </w:p>
          <w:p w14:paraId="24FD9D5A" w14:textId="77777777" w:rsidR="00065A58" w:rsidRPr="00E01239" w:rsidRDefault="00065A58" w:rsidP="00065A58">
            <w:pPr>
              <w:pStyle w:val="Paragraphedeliste"/>
              <w:numPr>
                <w:ilvl w:val="0"/>
                <w:numId w:val="200"/>
              </w:numPr>
              <w:contextualSpacing w:val="0"/>
              <w:rPr>
                <w:rFonts w:asciiTheme="minorHAnsi" w:hAnsiTheme="minorHAnsi" w:cstheme="minorHAnsi"/>
                <w:sz w:val="20"/>
                <w:szCs w:val="20"/>
              </w:rPr>
            </w:pPr>
            <w:r w:rsidRPr="00E01239">
              <w:rPr>
                <w:rFonts w:asciiTheme="minorHAnsi" w:hAnsiTheme="minorHAnsi" w:cstheme="minorHAnsi"/>
                <w:sz w:val="20"/>
                <w:szCs w:val="20"/>
              </w:rPr>
              <w:t>Solutions temporaires pour éliminer les conséquences causées par l'événement (murs de soutènement temporaires, routes, ponts, enlèvement et élimination des déchets associés à toute activité admissible, etc.</w:t>
            </w:r>
            <w:proofErr w:type="gramStart"/>
            <w:r w:rsidRPr="00E01239">
              <w:rPr>
                <w:rFonts w:asciiTheme="minorHAnsi" w:hAnsiTheme="minorHAnsi" w:cstheme="minorHAnsi"/>
                <w:sz w:val="20"/>
                <w:szCs w:val="20"/>
              </w:rPr>
              <w:t>);</w:t>
            </w:r>
            <w:proofErr w:type="gramEnd"/>
          </w:p>
          <w:p w14:paraId="308A4516" w14:textId="77777777" w:rsidR="00065A58" w:rsidRPr="00E01239" w:rsidRDefault="00065A58" w:rsidP="00065A58">
            <w:pPr>
              <w:pStyle w:val="Paragraphedeliste"/>
              <w:numPr>
                <w:ilvl w:val="0"/>
                <w:numId w:val="200"/>
              </w:numPr>
              <w:contextualSpacing w:val="0"/>
              <w:rPr>
                <w:rFonts w:asciiTheme="minorHAnsi" w:hAnsiTheme="minorHAnsi" w:cstheme="minorHAnsi"/>
                <w:sz w:val="20"/>
                <w:szCs w:val="20"/>
              </w:rPr>
            </w:pPr>
            <w:r w:rsidRPr="00E01239">
              <w:rPr>
                <w:rFonts w:asciiTheme="minorHAnsi" w:hAnsiTheme="minorHAnsi" w:cstheme="minorHAnsi"/>
                <w:sz w:val="20"/>
                <w:szCs w:val="20"/>
              </w:rPr>
              <w:t>Réparation, réhabilitation et restauration de bâtiments publics endommagés, notamment écoles, jardins d'enfants, hôpitaux et bâtiments administratifs ;</w:t>
            </w:r>
          </w:p>
          <w:p w14:paraId="43892A18" w14:textId="77777777" w:rsidR="00065A58" w:rsidRPr="00E01239" w:rsidRDefault="00065A58" w:rsidP="00065A58">
            <w:pPr>
              <w:pStyle w:val="Paragraphedeliste"/>
              <w:numPr>
                <w:ilvl w:val="0"/>
                <w:numId w:val="200"/>
              </w:numPr>
              <w:contextualSpacing w:val="0"/>
              <w:rPr>
                <w:rFonts w:asciiTheme="minorHAnsi" w:hAnsiTheme="minorHAnsi" w:cstheme="minorHAnsi"/>
                <w:sz w:val="20"/>
                <w:szCs w:val="20"/>
              </w:rPr>
            </w:pPr>
            <w:r w:rsidRPr="00E01239">
              <w:rPr>
                <w:rFonts w:asciiTheme="minorHAnsi" w:hAnsiTheme="minorHAnsi" w:cstheme="minorHAnsi"/>
                <w:sz w:val="20"/>
                <w:szCs w:val="20"/>
                <w:lang w:val="ru" w:bidi="he-IL"/>
              </w:rPr>
              <w:t>Tout autre travail d'infrastructure requis en cas d'urgence.</w:t>
            </w:r>
          </w:p>
          <w:p w14:paraId="0020B10A" w14:textId="77777777" w:rsidR="00065A58" w:rsidRPr="00E01239" w:rsidRDefault="00065A58" w:rsidP="003A04BD">
            <w:pPr>
              <w:rPr>
                <w:rFonts w:asciiTheme="minorHAnsi" w:hAnsiTheme="minorHAnsi" w:cstheme="minorHAnsi"/>
                <w:sz w:val="20"/>
                <w:szCs w:val="20"/>
              </w:rPr>
            </w:pPr>
          </w:p>
        </w:tc>
      </w:tr>
      <w:tr w:rsidR="00065A58" w:rsidRPr="00E01239" w14:paraId="4EBACF3C" w14:textId="77777777" w:rsidTr="003A04BD">
        <w:tc>
          <w:tcPr>
            <w:tcW w:w="9344" w:type="dxa"/>
            <w:shd w:val="clear" w:color="auto" w:fill="D9D9D9" w:themeFill="background1" w:themeFillShade="D9"/>
            <w:vAlign w:val="center"/>
          </w:tcPr>
          <w:p w14:paraId="5793734A" w14:textId="77777777" w:rsidR="00065A58" w:rsidRPr="00E01239" w:rsidRDefault="00065A58" w:rsidP="003A04BD">
            <w:pPr>
              <w:rPr>
                <w:rFonts w:asciiTheme="minorHAnsi" w:hAnsiTheme="minorHAnsi" w:cstheme="minorHAnsi"/>
                <w:b/>
                <w:bCs/>
                <w:sz w:val="20"/>
                <w:szCs w:val="20"/>
              </w:rPr>
            </w:pPr>
            <w:r w:rsidRPr="00E01239">
              <w:rPr>
                <w:rFonts w:asciiTheme="minorHAnsi" w:hAnsiTheme="minorHAnsi" w:cstheme="minorHAnsi"/>
                <w:b/>
                <w:bCs/>
                <w:sz w:val="20"/>
                <w:szCs w:val="20"/>
              </w:rPr>
              <w:t>Services</w:t>
            </w:r>
          </w:p>
        </w:tc>
      </w:tr>
      <w:tr w:rsidR="00065A58" w:rsidRPr="00E01239" w14:paraId="2F3534DC" w14:textId="77777777" w:rsidTr="003A04BD">
        <w:tc>
          <w:tcPr>
            <w:tcW w:w="9344" w:type="dxa"/>
          </w:tcPr>
          <w:p w14:paraId="6FAD1ECA" w14:textId="77777777" w:rsidR="00065A58" w:rsidRPr="00E01239" w:rsidRDefault="00065A58" w:rsidP="00065A58">
            <w:pPr>
              <w:pStyle w:val="Paragraphedeliste"/>
              <w:numPr>
                <w:ilvl w:val="0"/>
                <w:numId w:val="201"/>
              </w:numPr>
              <w:contextualSpacing w:val="0"/>
              <w:rPr>
                <w:rFonts w:asciiTheme="minorHAnsi" w:hAnsiTheme="minorHAnsi" w:cstheme="minorHAnsi"/>
                <w:sz w:val="20"/>
                <w:szCs w:val="20"/>
              </w:rPr>
            </w:pPr>
            <w:r w:rsidRPr="00E01239">
              <w:rPr>
                <w:rFonts w:asciiTheme="minorHAnsi" w:hAnsiTheme="minorHAnsi" w:cstheme="minorHAnsi"/>
                <w:sz w:val="20"/>
                <w:szCs w:val="20"/>
              </w:rPr>
              <w:t>Services de conseil liés aux interventions d'urgence, y compris, sans toutefois s'y limiter, les études et enquêtes urgentes nécessaires pour déterminer l'impact de la catastrophe et servir de référence pour le processus de rétablissement et de reconstruction, ainsi que le soutien à la mise en œuvre des activités d'intervention d'urgence ;</w:t>
            </w:r>
          </w:p>
          <w:p w14:paraId="5F831E19" w14:textId="77777777" w:rsidR="00065A58" w:rsidRPr="00E01239" w:rsidRDefault="00065A58" w:rsidP="00065A58">
            <w:pPr>
              <w:pStyle w:val="Paragraphedeliste"/>
              <w:numPr>
                <w:ilvl w:val="0"/>
                <w:numId w:val="201"/>
              </w:numPr>
              <w:contextualSpacing w:val="0"/>
              <w:rPr>
                <w:rFonts w:asciiTheme="minorHAnsi" w:hAnsiTheme="minorHAnsi" w:cstheme="minorHAnsi"/>
                <w:sz w:val="20"/>
                <w:szCs w:val="20"/>
              </w:rPr>
            </w:pPr>
            <w:r w:rsidRPr="00E01239">
              <w:rPr>
                <w:rFonts w:asciiTheme="minorHAnsi" w:hAnsiTheme="minorHAnsi" w:cstheme="minorHAnsi"/>
                <w:sz w:val="20"/>
                <w:szCs w:val="20"/>
              </w:rPr>
              <w:t>Conception technique ;</w:t>
            </w:r>
          </w:p>
          <w:p w14:paraId="44268285" w14:textId="77777777" w:rsidR="00065A58" w:rsidRPr="00E01239" w:rsidRDefault="00065A58" w:rsidP="00065A58">
            <w:pPr>
              <w:pStyle w:val="Paragraphedeliste"/>
              <w:numPr>
                <w:ilvl w:val="0"/>
                <w:numId w:val="201"/>
              </w:numPr>
              <w:contextualSpacing w:val="0"/>
              <w:rPr>
                <w:rFonts w:asciiTheme="minorHAnsi" w:hAnsiTheme="minorHAnsi" w:cstheme="minorHAnsi"/>
                <w:sz w:val="20"/>
                <w:szCs w:val="20"/>
              </w:rPr>
            </w:pPr>
            <w:r w:rsidRPr="00E01239">
              <w:rPr>
                <w:rFonts w:asciiTheme="minorHAnsi" w:hAnsiTheme="minorHAnsi" w:cstheme="minorHAnsi"/>
                <w:sz w:val="20"/>
                <w:szCs w:val="20"/>
              </w:rPr>
              <w:t>Surveillance des travaux ;</w:t>
            </w:r>
          </w:p>
          <w:p w14:paraId="1469EF34" w14:textId="77777777" w:rsidR="00065A58" w:rsidRPr="00E01239" w:rsidRDefault="00065A58" w:rsidP="00065A58">
            <w:pPr>
              <w:pStyle w:val="Paragraphedeliste"/>
              <w:numPr>
                <w:ilvl w:val="0"/>
                <w:numId w:val="201"/>
              </w:numPr>
              <w:contextualSpacing w:val="0"/>
              <w:rPr>
                <w:rFonts w:asciiTheme="minorHAnsi" w:hAnsiTheme="minorHAnsi" w:cstheme="minorHAnsi"/>
                <w:sz w:val="20"/>
                <w:szCs w:val="20"/>
              </w:rPr>
            </w:pPr>
            <w:r w:rsidRPr="00E01239">
              <w:rPr>
                <w:rFonts w:asciiTheme="minorHAnsi" w:hAnsiTheme="minorHAnsi" w:cstheme="minorHAnsi"/>
                <w:sz w:val="20"/>
                <w:szCs w:val="20"/>
              </w:rPr>
              <w:t>Assistance technique pour l'élaboration des TDR, la préparation des spécifications techniques et la rédaction des documents d'appel d'offres (dossiers d'appel d'offres, ITQ, RFP) ;</w:t>
            </w:r>
          </w:p>
          <w:p w14:paraId="3F0A4AEC" w14:textId="77777777" w:rsidR="00065A58" w:rsidRPr="00E01239" w:rsidRDefault="00065A58" w:rsidP="00065A58">
            <w:pPr>
              <w:pStyle w:val="Paragraphedeliste"/>
              <w:numPr>
                <w:ilvl w:val="0"/>
                <w:numId w:val="201"/>
              </w:numPr>
              <w:contextualSpacing w:val="0"/>
              <w:rPr>
                <w:rFonts w:asciiTheme="minorHAnsi" w:hAnsiTheme="minorHAnsi" w:cstheme="minorHAnsi"/>
                <w:sz w:val="20"/>
                <w:szCs w:val="20"/>
              </w:rPr>
            </w:pPr>
            <w:r w:rsidRPr="00E01239">
              <w:rPr>
                <w:rFonts w:asciiTheme="minorHAnsi" w:hAnsiTheme="minorHAnsi" w:cstheme="minorHAnsi"/>
                <w:sz w:val="20"/>
                <w:szCs w:val="20"/>
              </w:rPr>
              <w:t>Services non-consultants comprenant, mais sans s'y limiter, le forage, les photographies aériennes, les images satellite, les cartes et autres opérations similaires, les campagnes d'information et de sensibilisation ;</w:t>
            </w:r>
          </w:p>
          <w:p w14:paraId="08E91FF2" w14:textId="77777777" w:rsidR="00065A58" w:rsidRPr="00E01239" w:rsidRDefault="00065A58" w:rsidP="00065A58">
            <w:pPr>
              <w:pStyle w:val="Paragraphedeliste"/>
              <w:numPr>
                <w:ilvl w:val="0"/>
                <w:numId w:val="201"/>
              </w:numPr>
              <w:contextualSpacing w:val="0"/>
              <w:rPr>
                <w:rFonts w:asciiTheme="minorHAnsi" w:hAnsiTheme="minorHAnsi" w:cstheme="minorHAnsi"/>
                <w:sz w:val="20"/>
                <w:szCs w:val="20"/>
              </w:rPr>
            </w:pPr>
            <w:r w:rsidRPr="00E01239">
              <w:rPr>
                <w:rFonts w:asciiTheme="minorHAnsi" w:hAnsiTheme="minorHAnsi" w:cstheme="minorHAnsi"/>
                <w:sz w:val="20"/>
                <w:szCs w:val="20"/>
              </w:rPr>
              <w:t>Services non-consultants pour réaliser les activités décrites dans la section « Biens » de ce tableau (par exemple, enlèvement des débris, camions à benne basculante, enquête par drones) ;</w:t>
            </w:r>
          </w:p>
          <w:p w14:paraId="727B4314" w14:textId="77777777" w:rsidR="00065A58" w:rsidRPr="00E01239" w:rsidRDefault="00065A58" w:rsidP="00065A58">
            <w:pPr>
              <w:pStyle w:val="Paragraphedeliste"/>
              <w:numPr>
                <w:ilvl w:val="0"/>
                <w:numId w:val="201"/>
              </w:numPr>
              <w:contextualSpacing w:val="0"/>
              <w:rPr>
                <w:rFonts w:asciiTheme="minorHAnsi" w:hAnsiTheme="minorHAnsi" w:cstheme="minorHAnsi"/>
                <w:sz w:val="20"/>
                <w:szCs w:val="20"/>
              </w:rPr>
            </w:pPr>
            <w:r w:rsidRPr="00E01239">
              <w:rPr>
                <w:rFonts w:asciiTheme="minorHAnsi" w:hAnsiTheme="minorHAnsi" w:cstheme="minorHAnsi"/>
                <w:sz w:val="20"/>
                <w:szCs w:val="20"/>
                <w:lang w:val="ru" w:bidi="he-IL"/>
              </w:rPr>
              <w:t>Services autres que de conseil en matière de réinstallation temporaire décrits dans la section Biens de ce tableau (logements/logements temporaires, salles de classe et jardins d'enfants).</w:t>
            </w:r>
          </w:p>
          <w:p w14:paraId="7DC950FF" w14:textId="77777777" w:rsidR="00065A58" w:rsidRPr="00E01239" w:rsidRDefault="00065A58" w:rsidP="003A04BD">
            <w:pPr>
              <w:rPr>
                <w:rFonts w:asciiTheme="minorHAnsi" w:hAnsiTheme="minorHAnsi" w:cstheme="minorHAnsi"/>
                <w:sz w:val="20"/>
                <w:szCs w:val="20"/>
              </w:rPr>
            </w:pPr>
          </w:p>
        </w:tc>
      </w:tr>
      <w:tr w:rsidR="00065A58" w:rsidRPr="00E01239" w14:paraId="675E80CB" w14:textId="77777777" w:rsidTr="003A04BD">
        <w:tc>
          <w:tcPr>
            <w:tcW w:w="9344" w:type="dxa"/>
            <w:shd w:val="clear" w:color="auto" w:fill="D9D9D9" w:themeFill="background1" w:themeFillShade="D9"/>
            <w:vAlign w:val="center"/>
          </w:tcPr>
          <w:p w14:paraId="273996E4" w14:textId="77777777" w:rsidR="00065A58" w:rsidRPr="00E01239" w:rsidRDefault="00065A58" w:rsidP="003A04BD">
            <w:pPr>
              <w:rPr>
                <w:rFonts w:asciiTheme="minorHAnsi" w:hAnsiTheme="minorHAnsi" w:cstheme="minorHAnsi"/>
                <w:b/>
                <w:bCs/>
                <w:sz w:val="20"/>
                <w:szCs w:val="20"/>
                <w:lang w:val="en-US"/>
              </w:rPr>
            </w:pPr>
            <w:r w:rsidRPr="00E01239">
              <w:rPr>
                <w:rFonts w:asciiTheme="minorHAnsi" w:hAnsiTheme="minorHAnsi" w:cstheme="minorHAnsi"/>
                <w:b/>
                <w:bCs/>
                <w:sz w:val="20"/>
                <w:szCs w:val="20"/>
                <w:lang w:val="en-US"/>
              </w:rPr>
              <w:t>Formations</w:t>
            </w:r>
          </w:p>
        </w:tc>
      </w:tr>
      <w:tr w:rsidR="00065A58" w:rsidRPr="00E01239" w14:paraId="183AC115" w14:textId="77777777" w:rsidTr="003A04BD">
        <w:tc>
          <w:tcPr>
            <w:tcW w:w="9344" w:type="dxa"/>
          </w:tcPr>
          <w:p w14:paraId="2F7FCF07" w14:textId="77777777" w:rsidR="00065A58" w:rsidRPr="00E01239" w:rsidRDefault="00065A58" w:rsidP="00065A58">
            <w:pPr>
              <w:pStyle w:val="Paragraphedeliste"/>
              <w:numPr>
                <w:ilvl w:val="0"/>
                <w:numId w:val="202"/>
              </w:numPr>
              <w:contextualSpacing w:val="0"/>
              <w:rPr>
                <w:rFonts w:asciiTheme="minorHAnsi" w:hAnsiTheme="minorHAnsi" w:cstheme="minorHAnsi"/>
                <w:sz w:val="20"/>
                <w:szCs w:val="20"/>
              </w:rPr>
            </w:pPr>
            <w:r w:rsidRPr="00E01239">
              <w:rPr>
                <w:rFonts w:asciiTheme="minorHAnsi" w:hAnsiTheme="minorHAnsi" w:cstheme="minorHAnsi"/>
                <w:sz w:val="20"/>
                <w:szCs w:val="20"/>
              </w:rPr>
              <w:t>Formation aux interventions d'urgence ;</w:t>
            </w:r>
          </w:p>
          <w:p w14:paraId="55360CDE" w14:textId="77777777" w:rsidR="00065A58" w:rsidRPr="00E01239" w:rsidRDefault="00065A58" w:rsidP="00065A58">
            <w:pPr>
              <w:pStyle w:val="Paragraphedeliste"/>
              <w:numPr>
                <w:ilvl w:val="0"/>
                <w:numId w:val="202"/>
              </w:numPr>
              <w:contextualSpacing w:val="0"/>
              <w:rPr>
                <w:rFonts w:asciiTheme="minorHAnsi" w:hAnsiTheme="minorHAnsi" w:cstheme="minorHAnsi"/>
                <w:sz w:val="20"/>
                <w:szCs w:val="20"/>
              </w:rPr>
            </w:pPr>
            <w:r w:rsidRPr="00E01239">
              <w:rPr>
                <w:rFonts w:asciiTheme="minorHAnsi" w:hAnsiTheme="minorHAnsi" w:cstheme="minorHAnsi"/>
                <w:sz w:val="20"/>
                <w:szCs w:val="20"/>
              </w:rPr>
              <w:t>Formation sur l’évaluation rapide des besoins et autres évaluations connexes ;</w:t>
            </w:r>
          </w:p>
          <w:p w14:paraId="15988BE0" w14:textId="77777777" w:rsidR="00065A58" w:rsidRPr="00E01239" w:rsidRDefault="00065A58" w:rsidP="00065A58">
            <w:pPr>
              <w:pStyle w:val="Paragraphedeliste"/>
              <w:numPr>
                <w:ilvl w:val="0"/>
                <w:numId w:val="202"/>
              </w:numPr>
              <w:contextualSpacing w:val="0"/>
              <w:rPr>
                <w:rFonts w:asciiTheme="minorHAnsi" w:hAnsiTheme="minorHAnsi" w:cstheme="minorHAnsi"/>
                <w:sz w:val="20"/>
                <w:szCs w:val="20"/>
              </w:rPr>
            </w:pPr>
            <w:r w:rsidRPr="00E01239">
              <w:rPr>
                <w:rFonts w:asciiTheme="minorHAnsi" w:hAnsiTheme="minorHAnsi" w:cstheme="minorHAnsi"/>
                <w:sz w:val="20"/>
                <w:szCs w:val="20"/>
              </w:rPr>
              <w:t>Autre formation liée à/requise lors d’une urgence.</w:t>
            </w:r>
          </w:p>
        </w:tc>
      </w:tr>
      <w:tr w:rsidR="00065A58" w:rsidRPr="00E01239" w14:paraId="3008F716" w14:textId="77777777" w:rsidTr="003A04BD">
        <w:tc>
          <w:tcPr>
            <w:tcW w:w="9344" w:type="dxa"/>
            <w:shd w:val="clear" w:color="auto" w:fill="D9D9D9" w:themeFill="background1" w:themeFillShade="D9"/>
            <w:vAlign w:val="center"/>
          </w:tcPr>
          <w:p w14:paraId="210DF8A8" w14:textId="77777777" w:rsidR="00065A58" w:rsidRPr="00E01239" w:rsidRDefault="00065A58" w:rsidP="003A04BD">
            <w:pPr>
              <w:rPr>
                <w:rFonts w:asciiTheme="minorHAnsi" w:hAnsiTheme="minorHAnsi" w:cstheme="minorHAnsi"/>
                <w:b/>
                <w:bCs/>
                <w:sz w:val="20"/>
                <w:szCs w:val="20"/>
              </w:rPr>
            </w:pPr>
            <w:r w:rsidRPr="00E01239">
              <w:rPr>
                <w:rFonts w:asciiTheme="minorHAnsi" w:hAnsiTheme="minorHAnsi" w:cstheme="minorHAnsi"/>
                <w:b/>
                <w:bCs/>
                <w:sz w:val="20"/>
                <w:szCs w:val="20"/>
                <w:lang w:val="en-US"/>
              </w:rPr>
              <w:t xml:space="preserve">Couts </w:t>
            </w:r>
            <w:proofErr w:type="spellStart"/>
            <w:r w:rsidRPr="00E01239">
              <w:rPr>
                <w:rFonts w:asciiTheme="minorHAnsi" w:hAnsiTheme="minorHAnsi" w:cstheme="minorHAnsi"/>
                <w:b/>
                <w:bCs/>
                <w:sz w:val="20"/>
                <w:szCs w:val="20"/>
                <w:lang w:val="en-US"/>
              </w:rPr>
              <w:t>operationnels</w:t>
            </w:r>
            <w:proofErr w:type="spellEnd"/>
            <w:r w:rsidRPr="00E01239">
              <w:rPr>
                <w:rFonts w:asciiTheme="minorHAnsi" w:hAnsiTheme="minorHAnsi" w:cstheme="minorHAnsi"/>
                <w:b/>
                <w:bCs/>
                <w:sz w:val="20"/>
                <w:szCs w:val="20"/>
                <w:lang w:val="en-US"/>
              </w:rPr>
              <w:t xml:space="preserve"> </w:t>
            </w:r>
            <w:proofErr w:type="spellStart"/>
            <w:r w:rsidRPr="00E01239">
              <w:rPr>
                <w:rFonts w:asciiTheme="minorHAnsi" w:hAnsiTheme="minorHAnsi" w:cstheme="minorHAnsi"/>
                <w:b/>
                <w:bCs/>
                <w:sz w:val="20"/>
                <w:szCs w:val="20"/>
                <w:lang w:val="en-US"/>
              </w:rPr>
              <w:t>d’urgence</w:t>
            </w:r>
            <w:proofErr w:type="spellEnd"/>
            <w:r w:rsidRPr="00E01239">
              <w:rPr>
                <w:rFonts w:asciiTheme="minorHAnsi" w:hAnsiTheme="minorHAnsi" w:cstheme="minorHAnsi"/>
                <w:b/>
                <w:bCs/>
                <w:sz w:val="20"/>
                <w:szCs w:val="20"/>
                <w:lang w:val="en-US"/>
              </w:rPr>
              <w:t xml:space="preserve"> </w:t>
            </w:r>
          </w:p>
        </w:tc>
      </w:tr>
      <w:tr w:rsidR="00065A58" w:rsidRPr="00E01239" w14:paraId="701BC905" w14:textId="77777777" w:rsidTr="003A04BD">
        <w:tc>
          <w:tcPr>
            <w:tcW w:w="9344" w:type="dxa"/>
          </w:tcPr>
          <w:p w14:paraId="62FBC75B" w14:textId="77777777" w:rsidR="00065A58" w:rsidRPr="00E01239" w:rsidRDefault="00065A58" w:rsidP="003A04BD">
            <w:pPr>
              <w:rPr>
                <w:rFonts w:asciiTheme="minorHAnsi" w:hAnsiTheme="minorHAnsi" w:cstheme="minorHAnsi"/>
                <w:sz w:val="20"/>
                <w:szCs w:val="20"/>
              </w:rPr>
            </w:pPr>
            <w:r w:rsidRPr="00E01239">
              <w:rPr>
                <w:rFonts w:asciiTheme="minorHAnsi" w:hAnsiTheme="minorHAnsi" w:cstheme="minorHAnsi"/>
                <w:sz w:val="20"/>
                <w:szCs w:val="20"/>
              </w:rPr>
              <w:t>Dépenses supplémentaires du gouvernement pour une période définie liées aux efforts de relèvement rapide résultant de l'impact d'une urgence éligible. Cela comprend, sans toutefois s'y limiter, les coûts du personnel participant aux interventions d'urgence, les coûts opérationnels et la location de l'équipement.</w:t>
            </w:r>
          </w:p>
        </w:tc>
      </w:tr>
    </w:tbl>
    <w:p w14:paraId="74FBB249" w14:textId="77777777" w:rsidR="00065A58" w:rsidRPr="00E01239" w:rsidRDefault="00065A58" w:rsidP="00065A58">
      <w:pPr>
        <w:rPr>
          <w:rFonts w:asciiTheme="minorHAnsi" w:hAnsiTheme="minorHAnsi" w:cstheme="minorHAnsi"/>
        </w:rPr>
      </w:pPr>
    </w:p>
    <w:p w14:paraId="76F382E4" w14:textId="77594782" w:rsidR="00065A58" w:rsidRPr="00E01239" w:rsidRDefault="00065A58" w:rsidP="00065A58">
      <w:pPr>
        <w:rPr>
          <w:rFonts w:asciiTheme="minorHAnsi" w:hAnsiTheme="minorHAnsi" w:cstheme="minorHAnsi"/>
        </w:rPr>
      </w:pPr>
      <w:r w:rsidRPr="00E01239">
        <w:rPr>
          <w:rFonts w:asciiTheme="minorHAnsi" w:hAnsiTheme="minorHAnsi" w:cstheme="minorHAnsi"/>
          <w:b/>
          <w:bCs/>
        </w:rPr>
        <w:t xml:space="preserve">Liste </w:t>
      </w:r>
      <w:proofErr w:type="gramStart"/>
      <w:r w:rsidRPr="00E01239">
        <w:rPr>
          <w:rFonts w:asciiTheme="minorHAnsi" w:hAnsiTheme="minorHAnsi" w:cstheme="minorHAnsi"/>
          <w:b/>
          <w:bCs/>
        </w:rPr>
        <w:t>d'exclusion:</w:t>
      </w:r>
      <w:proofErr w:type="gramEnd"/>
      <w:r w:rsidRPr="00E01239">
        <w:rPr>
          <w:rFonts w:asciiTheme="minorHAnsi" w:hAnsiTheme="minorHAnsi" w:cstheme="minorHAnsi"/>
        </w:rPr>
        <w:t xml:space="preserve"> En plus de la liste d'exclusion décrite </w:t>
      </w:r>
      <w:r w:rsidR="000927B9" w:rsidRPr="00E01239">
        <w:rPr>
          <w:rFonts w:asciiTheme="minorHAnsi" w:hAnsiTheme="minorHAnsi" w:cstheme="minorHAnsi"/>
        </w:rPr>
        <w:t xml:space="preserve">au tableau 18 </w:t>
      </w:r>
      <w:r w:rsidRPr="00E01239">
        <w:rPr>
          <w:rFonts w:asciiTheme="minorHAnsi" w:hAnsiTheme="minorHAnsi" w:cstheme="minorHAnsi"/>
        </w:rPr>
        <w:t>du CGES, les activités suivantes seront exclues du financement du CERC :</w:t>
      </w:r>
    </w:p>
    <w:p w14:paraId="01C87293" w14:textId="33FF535E" w:rsidR="00065A58" w:rsidRPr="00E01239" w:rsidRDefault="00065A58" w:rsidP="00065A58">
      <w:pPr>
        <w:rPr>
          <w:rFonts w:asciiTheme="minorHAnsi" w:hAnsiTheme="minorHAnsi" w:cstheme="minorHAnsi"/>
          <w:i/>
          <w:iCs/>
          <w:sz w:val="20"/>
          <w:szCs w:val="20"/>
        </w:rPr>
      </w:pPr>
    </w:p>
    <w:p w14:paraId="01E0215C" w14:textId="77777777" w:rsidR="00065A58" w:rsidRPr="00E01239" w:rsidRDefault="00065A58" w:rsidP="00065A58">
      <w:pPr>
        <w:ind w:firstLine="720"/>
        <w:rPr>
          <w:rFonts w:asciiTheme="minorHAnsi" w:hAnsiTheme="minorHAnsi" w:cstheme="minorHAnsi"/>
          <w:i/>
          <w:iCs/>
          <w:sz w:val="20"/>
          <w:szCs w:val="20"/>
        </w:rPr>
      </w:pPr>
      <w:r w:rsidRPr="00E01239">
        <w:rPr>
          <w:rFonts w:asciiTheme="minorHAnsi" w:hAnsiTheme="minorHAnsi" w:cstheme="minorHAnsi"/>
          <w:i/>
          <w:iCs/>
          <w:sz w:val="20"/>
          <w:szCs w:val="20"/>
        </w:rPr>
        <w:t>Tableau 2 : Liste négative des activités du CERC</w:t>
      </w:r>
    </w:p>
    <w:tbl>
      <w:tblPr>
        <w:tblStyle w:val="Grilledutableau"/>
        <w:tblW w:w="9214" w:type="dxa"/>
        <w:tblInd w:w="137" w:type="dxa"/>
        <w:tblLayout w:type="fixed"/>
        <w:tblLook w:val="04A0" w:firstRow="1" w:lastRow="0" w:firstColumn="1" w:lastColumn="0" w:noHBand="0" w:noVBand="1"/>
      </w:tblPr>
      <w:tblGrid>
        <w:gridCol w:w="567"/>
        <w:gridCol w:w="8647"/>
      </w:tblGrid>
      <w:tr w:rsidR="00065A58" w:rsidRPr="00E01239" w14:paraId="56404CC6" w14:textId="77777777" w:rsidTr="003A04BD">
        <w:tc>
          <w:tcPr>
            <w:tcW w:w="567" w:type="dxa"/>
          </w:tcPr>
          <w:p w14:paraId="0E6C837E"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w:t>
            </w:r>
          </w:p>
        </w:tc>
        <w:tc>
          <w:tcPr>
            <w:tcW w:w="8647" w:type="dxa"/>
          </w:tcPr>
          <w:p w14:paraId="73FD44AB"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 xml:space="preserve">Tout type d'activités classées à haut risque </w:t>
            </w:r>
          </w:p>
        </w:tc>
      </w:tr>
      <w:tr w:rsidR="00065A58" w:rsidRPr="00E01239" w14:paraId="5224F836" w14:textId="77777777" w:rsidTr="003A04BD">
        <w:tc>
          <w:tcPr>
            <w:tcW w:w="567" w:type="dxa"/>
          </w:tcPr>
          <w:p w14:paraId="7BCE2AE8"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2</w:t>
            </w:r>
          </w:p>
        </w:tc>
        <w:tc>
          <w:tcPr>
            <w:tcW w:w="8647" w:type="dxa"/>
          </w:tcPr>
          <w:p w14:paraId="2F510476"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Activités qui entraîneraient la conversion ou la dégradation de zones forestières critiques, d'habitats naturels critiques et le défrichement de forêts ou d'écosystèmes forestiers</w:t>
            </w:r>
          </w:p>
        </w:tc>
      </w:tr>
      <w:tr w:rsidR="00065A58" w:rsidRPr="00E01239" w14:paraId="559FC70B" w14:textId="77777777" w:rsidTr="003A04BD">
        <w:tc>
          <w:tcPr>
            <w:tcW w:w="567" w:type="dxa"/>
          </w:tcPr>
          <w:p w14:paraId="6F53052F"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lastRenderedPageBreak/>
              <w:t>3</w:t>
            </w:r>
          </w:p>
        </w:tc>
        <w:tc>
          <w:tcPr>
            <w:tcW w:w="8647" w:type="dxa"/>
          </w:tcPr>
          <w:p w14:paraId="5EFAC68C"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Activités affectant les zones protégées (ou leurs zones tampons), autres que la réhabilitation des zones endommagées par des catastrophes naturelles antérieures</w:t>
            </w:r>
          </w:p>
        </w:tc>
      </w:tr>
      <w:tr w:rsidR="00065A58" w:rsidRPr="00E01239" w14:paraId="6F3B0CEE" w14:textId="77777777" w:rsidTr="003A04BD">
        <w:tc>
          <w:tcPr>
            <w:tcW w:w="567" w:type="dxa"/>
          </w:tcPr>
          <w:p w14:paraId="6DA3D732"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4</w:t>
            </w:r>
          </w:p>
        </w:tc>
        <w:tc>
          <w:tcPr>
            <w:tcW w:w="8647" w:type="dxa"/>
          </w:tcPr>
          <w:p w14:paraId="41839013"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Activité qui causera ou pourrait causer des dommages permanents et/ou importants à des biens culturels non reproductibles, des reliques culturelles irremplaçables, des bâtiments historiques et/ou des sites archéologiques.</w:t>
            </w:r>
          </w:p>
        </w:tc>
      </w:tr>
      <w:tr w:rsidR="00065A58" w:rsidRPr="00E01239" w14:paraId="07A314A2" w14:textId="77777777" w:rsidTr="003A04BD">
        <w:tc>
          <w:tcPr>
            <w:tcW w:w="567" w:type="dxa"/>
          </w:tcPr>
          <w:p w14:paraId="476BF31B"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5</w:t>
            </w:r>
          </w:p>
        </w:tc>
        <w:tc>
          <w:tcPr>
            <w:tcW w:w="8647" w:type="dxa"/>
          </w:tcPr>
          <w:p w14:paraId="135A3B56"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Remise en état des terres (c.-à-d. drainage de zones humides ou remplissage de plans d'eau pour créer des terres)</w:t>
            </w:r>
          </w:p>
        </w:tc>
      </w:tr>
      <w:tr w:rsidR="00065A58" w:rsidRPr="00E01239" w14:paraId="3FCE708B" w14:textId="77777777" w:rsidTr="003A04BD">
        <w:trPr>
          <w:trHeight w:val="422"/>
        </w:trPr>
        <w:tc>
          <w:tcPr>
            <w:tcW w:w="567" w:type="dxa"/>
          </w:tcPr>
          <w:p w14:paraId="165B3BC8"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6</w:t>
            </w:r>
          </w:p>
        </w:tc>
        <w:tc>
          <w:tcPr>
            <w:tcW w:w="8647" w:type="dxa"/>
          </w:tcPr>
          <w:p w14:paraId="45113296"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Formation fluviale (c'est-à-dire réalignement, contraction ou approfondissement d'un chenal fluvial existant, ou excavation d'un nouveau chenal fluvial)</w:t>
            </w:r>
          </w:p>
        </w:tc>
      </w:tr>
      <w:tr w:rsidR="00065A58" w:rsidRPr="00E01239" w14:paraId="251D7607" w14:textId="77777777" w:rsidTr="003A04BD">
        <w:tc>
          <w:tcPr>
            <w:tcW w:w="567" w:type="dxa"/>
          </w:tcPr>
          <w:p w14:paraId="6DC06C58"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7</w:t>
            </w:r>
          </w:p>
        </w:tc>
        <w:tc>
          <w:tcPr>
            <w:tcW w:w="8647" w:type="dxa"/>
          </w:tcPr>
          <w:p w14:paraId="0A0962BC"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Peut entraîner une augmentation de la consommation d’eau dans les zones frontalières et affecter l’accès à l’eau des utilisateurs d’eau en aval</w:t>
            </w:r>
          </w:p>
        </w:tc>
      </w:tr>
      <w:tr w:rsidR="00065A58" w:rsidRPr="00E01239" w14:paraId="182DA268" w14:textId="77777777" w:rsidTr="003A04BD">
        <w:tc>
          <w:tcPr>
            <w:tcW w:w="567" w:type="dxa"/>
          </w:tcPr>
          <w:p w14:paraId="7645B911"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8</w:t>
            </w:r>
          </w:p>
        </w:tc>
        <w:tc>
          <w:tcPr>
            <w:tcW w:w="8647" w:type="dxa"/>
          </w:tcPr>
          <w:p w14:paraId="6BD9A8CD"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Activités qui entraîneront une expropriation involontaire de terres, la relocalisation des ménages, la perte d’actifs ou l’accès à des actifs entraînant une perte de sources de revenus ou d’autres moyens de subsistance, et une interférence avec l’utilisation des terres et les moyens de subsistance par les ménages.</w:t>
            </w:r>
          </w:p>
        </w:tc>
      </w:tr>
      <w:tr w:rsidR="00065A58" w:rsidRPr="00E01239" w14:paraId="3207FEF4" w14:textId="77777777" w:rsidTr="003A04BD">
        <w:tc>
          <w:tcPr>
            <w:tcW w:w="567" w:type="dxa"/>
          </w:tcPr>
          <w:p w14:paraId="29BC32D8"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9</w:t>
            </w:r>
          </w:p>
        </w:tc>
        <w:tc>
          <w:tcPr>
            <w:tcW w:w="8647" w:type="dxa"/>
          </w:tcPr>
          <w:p w14:paraId="33F751C0"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Travaux de construction, ou utilisation de biens et d'équipements sur des terres abandonnées en raison de tensions/conflits sociaux, ou la propriété de la terre est contestée ou ne peut être vérifiée.</w:t>
            </w:r>
          </w:p>
        </w:tc>
      </w:tr>
      <w:tr w:rsidR="00065A58" w:rsidRPr="00E01239" w14:paraId="365F6DB9" w14:textId="77777777" w:rsidTr="003A04BD">
        <w:tc>
          <w:tcPr>
            <w:tcW w:w="567" w:type="dxa"/>
          </w:tcPr>
          <w:p w14:paraId="77CCA610"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10</w:t>
            </w:r>
          </w:p>
        </w:tc>
        <w:tc>
          <w:tcPr>
            <w:tcW w:w="8647" w:type="dxa"/>
          </w:tcPr>
          <w:p w14:paraId="010BA256" w14:textId="77777777" w:rsidR="00065A58" w:rsidRPr="00E01239" w:rsidRDefault="00065A58" w:rsidP="003A04BD">
            <w:pPr>
              <w:spacing w:after="160" w:line="259" w:lineRule="auto"/>
              <w:rPr>
                <w:rFonts w:asciiTheme="minorHAnsi" w:hAnsiTheme="minorHAnsi" w:cstheme="minorHAnsi"/>
              </w:rPr>
            </w:pPr>
            <w:r w:rsidRPr="00E01239">
              <w:rPr>
                <w:rFonts w:asciiTheme="minorHAnsi" w:hAnsiTheme="minorHAnsi" w:cstheme="minorHAnsi"/>
              </w:rPr>
              <w:t>Travaux de construction ou utilisation de biens et d'équipements impliquant du travail forcé, du travail des enfants ou d'autres formes de travail préjudiciables ou exploitantes</w:t>
            </w:r>
          </w:p>
        </w:tc>
      </w:tr>
      <w:tr w:rsidR="00065A58" w:rsidRPr="00E01239" w14:paraId="7B8D734B" w14:textId="77777777" w:rsidTr="003A04BD">
        <w:tc>
          <w:tcPr>
            <w:tcW w:w="567" w:type="dxa"/>
          </w:tcPr>
          <w:p w14:paraId="060119B2"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11</w:t>
            </w:r>
          </w:p>
        </w:tc>
        <w:tc>
          <w:tcPr>
            <w:tcW w:w="8647" w:type="dxa"/>
          </w:tcPr>
          <w:p w14:paraId="7343652D" w14:textId="77777777" w:rsidR="00065A58" w:rsidRPr="00E01239" w:rsidRDefault="00065A58" w:rsidP="003A04BD">
            <w:pPr>
              <w:rPr>
                <w:rFonts w:asciiTheme="minorHAnsi" w:hAnsiTheme="minorHAnsi" w:cstheme="minorHAnsi"/>
              </w:rPr>
            </w:pPr>
            <w:r w:rsidRPr="00E01239">
              <w:rPr>
                <w:rFonts w:asciiTheme="minorHAnsi" w:hAnsiTheme="minorHAnsi" w:cstheme="minorHAnsi"/>
              </w:rPr>
              <w:t>Acquisition, utilisation ou stockage de pesticides ou de matières dangereuses, autres que les déchets dangereux et les déchets contenant de l'amiante générés à la suite d'une urgence</w:t>
            </w:r>
          </w:p>
        </w:tc>
      </w:tr>
      <w:tr w:rsidR="00065A58" w:rsidRPr="00E01239" w14:paraId="5F7E8554" w14:textId="77777777" w:rsidTr="003A04BD">
        <w:tc>
          <w:tcPr>
            <w:tcW w:w="567" w:type="dxa"/>
          </w:tcPr>
          <w:p w14:paraId="7C8CFF80"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12</w:t>
            </w:r>
          </w:p>
        </w:tc>
        <w:tc>
          <w:tcPr>
            <w:tcW w:w="8647" w:type="dxa"/>
          </w:tcPr>
          <w:p w14:paraId="4832CA0F" w14:textId="77777777" w:rsidR="00065A58" w:rsidRPr="00E01239" w:rsidRDefault="00065A58"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Construction de barrages, murs de soutènement ou autres structures similaires qui modifieront les berges des rivières ou de la mer et/ou perturberont les sites de reproduction d'espèces aquatiques ;</w:t>
            </w:r>
          </w:p>
        </w:tc>
      </w:tr>
      <w:tr w:rsidR="00065A58" w:rsidRPr="00E01239" w14:paraId="53E76F37" w14:textId="77777777" w:rsidTr="003A04BD">
        <w:tc>
          <w:tcPr>
            <w:tcW w:w="567" w:type="dxa"/>
          </w:tcPr>
          <w:p w14:paraId="13CDC63A"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13</w:t>
            </w:r>
          </w:p>
        </w:tc>
        <w:tc>
          <w:tcPr>
            <w:tcW w:w="8647" w:type="dxa"/>
          </w:tcPr>
          <w:p w14:paraId="583A6953" w14:textId="77777777" w:rsidR="00065A58" w:rsidRPr="00E01239" w:rsidRDefault="00065A58"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lang w:val="en-US"/>
              </w:rPr>
            </w:pPr>
            <w:r w:rsidRPr="00E01239">
              <w:rPr>
                <w:rFonts w:asciiTheme="minorHAnsi" w:hAnsiTheme="minorHAnsi" w:cstheme="minorHAnsi"/>
                <w:lang w:val="en-US"/>
              </w:rPr>
              <w:t xml:space="preserve">Exploitation </w:t>
            </w:r>
            <w:proofErr w:type="spellStart"/>
            <w:r w:rsidRPr="00E01239">
              <w:rPr>
                <w:rFonts w:asciiTheme="minorHAnsi" w:hAnsiTheme="minorHAnsi" w:cstheme="minorHAnsi"/>
                <w:lang w:val="en-US"/>
              </w:rPr>
              <w:t>minière</w:t>
            </w:r>
            <w:proofErr w:type="spellEnd"/>
            <w:r w:rsidRPr="00E01239">
              <w:rPr>
                <w:rFonts w:asciiTheme="minorHAnsi" w:hAnsiTheme="minorHAnsi" w:cstheme="minorHAnsi"/>
                <w:lang w:val="en-US"/>
              </w:rPr>
              <w:t xml:space="preserve"> </w:t>
            </w:r>
          </w:p>
        </w:tc>
      </w:tr>
      <w:tr w:rsidR="00065A58" w:rsidRPr="00E01239" w14:paraId="35A7C72C" w14:textId="77777777" w:rsidTr="003A04BD">
        <w:tc>
          <w:tcPr>
            <w:tcW w:w="567" w:type="dxa"/>
          </w:tcPr>
          <w:p w14:paraId="70A2778E"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14</w:t>
            </w:r>
          </w:p>
        </w:tc>
        <w:tc>
          <w:tcPr>
            <w:tcW w:w="8647" w:type="dxa"/>
          </w:tcPr>
          <w:p w14:paraId="23D175FA" w14:textId="77777777" w:rsidR="00065A58" w:rsidRPr="00E01239" w:rsidRDefault="00065A58"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Activités sur la terre qui contestent les droits de propriété, de possession ou d'usage</w:t>
            </w:r>
          </w:p>
        </w:tc>
      </w:tr>
      <w:tr w:rsidR="00065A58" w:rsidRPr="00E01239" w14:paraId="6ACF7F83" w14:textId="77777777" w:rsidTr="003A04BD">
        <w:tc>
          <w:tcPr>
            <w:tcW w:w="567" w:type="dxa"/>
          </w:tcPr>
          <w:p w14:paraId="0090A42D"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15</w:t>
            </w:r>
          </w:p>
        </w:tc>
        <w:tc>
          <w:tcPr>
            <w:tcW w:w="8647" w:type="dxa"/>
          </w:tcPr>
          <w:p w14:paraId="47F706DF" w14:textId="77777777" w:rsidR="00065A58" w:rsidRPr="00E01239" w:rsidRDefault="00065A58"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Travaux de construction ou utilisation de biens et d'équipements à des fins militaires ou paramilitaires</w:t>
            </w:r>
          </w:p>
        </w:tc>
      </w:tr>
      <w:tr w:rsidR="00065A58" w:rsidRPr="00E01239" w14:paraId="75190565" w14:textId="77777777" w:rsidTr="003A04BD">
        <w:tc>
          <w:tcPr>
            <w:tcW w:w="567" w:type="dxa"/>
          </w:tcPr>
          <w:p w14:paraId="355BBC7A"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16</w:t>
            </w:r>
          </w:p>
        </w:tc>
        <w:tc>
          <w:tcPr>
            <w:tcW w:w="8647" w:type="dxa"/>
          </w:tcPr>
          <w:p w14:paraId="1B5A5FC7" w14:textId="77777777" w:rsidR="00065A58" w:rsidRPr="00E01239" w:rsidRDefault="00065A58"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Travaux de construction ou utilisation de biens et d’équipements en réponse à un conflit dans toute zone où se déroulent des opérations militaires ou de groupes armés actifs</w:t>
            </w:r>
          </w:p>
        </w:tc>
      </w:tr>
      <w:tr w:rsidR="00065A58" w:rsidRPr="00E01239" w14:paraId="107C1632" w14:textId="77777777" w:rsidTr="003A04BD">
        <w:tc>
          <w:tcPr>
            <w:tcW w:w="567" w:type="dxa"/>
          </w:tcPr>
          <w:p w14:paraId="5BF0E50E"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17</w:t>
            </w:r>
          </w:p>
        </w:tc>
        <w:tc>
          <w:tcPr>
            <w:tcW w:w="8647" w:type="dxa"/>
          </w:tcPr>
          <w:p w14:paraId="4390438B" w14:textId="77777777" w:rsidR="00065A58" w:rsidRPr="00E01239" w:rsidRDefault="00065A58"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Activités liées au retour des réfugiés et des populations déplacées à l'intérieur du pays</w:t>
            </w:r>
          </w:p>
        </w:tc>
      </w:tr>
      <w:tr w:rsidR="00065A58" w:rsidRPr="00E01239" w14:paraId="60B903E7" w14:textId="77777777" w:rsidTr="003A04BD">
        <w:tc>
          <w:tcPr>
            <w:tcW w:w="567" w:type="dxa"/>
          </w:tcPr>
          <w:p w14:paraId="036C48D2"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18</w:t>
            </w:r>
          </w:p>
        </w:tc>
        <w:tc>
          <w:tcPr>
            <w:tcW w:w="8647" w:type="dxa"/>
          </w:tcPr>
          <w:p w14:paraId="6C324CCB" w14:textId="77777777" w:rsidR="00065A58" w:rsidRPr="00E01239" w:rsidRDefault="00065A58"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Activités qui, lorsqu'elles sont réalisées, affecteraient ou impliqueraient l'utilisation de l'eau des rivières ou d'autres plans d'eau (ou de leurs affluents) qui traversent ou sont bordés par des pays autres que l'Emprunteur/Bénéficiaire, de telle manière de manière à modifier de quelque manière que ce soit la qualité ou la quantité de l'eau circulant vers ou limitrophes desdits pays</w:t>
            </w:r>
          </w:p>
        </w:tc>
      </w:tr>
      <w:tr w:rsidR="00065A58" w:rsidRPr="00E01239" w14:paraId="7576BA49" w14:textId="77777777" w:rsidTr="003A04BD">
        <w:tc>
          <w:tcPr>
            <w:tcW w:w="567" w:type="dxa"/>
          </w:tcPr>
          <w:p w14:paraId="34D78E02"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19</w:t>
            </w:r>
          </w:p>
        </w:tc>
        <w:tc>
          <w:tcPr>
            <w:tcW w:w="8647" w:type="dxa"/>
          </w:tcPr>
          <w:p w14:paraId="4C6FBB71" w14:textId="77777777" w:rsidR="00065A58" w:rsidRPr="00E01239" w:rsidRDefault="00065A58"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Utilisation de matériaux de construction à base d'amiante pour les travaux de reconstruction</w:t>
            </w:r>
          </w:p>
        </w:tc>
      </w:tr>
      <w:tr w:rsidR="00065A58" w:rsidRPr="00E01239" w14:paraId="0BA4B949" w14:textId="77777777" w:rsidTr="003A04BD">
        <w:trPr>
          <w:trHeight w:val="67"/>
        </w:trPr>
        <w:tc>
          <w:tcPr>
            <w:tcW w:w="567" w:type="dxa"/>
          </w:tcPr>
          <w:p w14:paraId="66D5735C" w14:textId="77777777" w:rsidR="00065A58" w:rsidRPr="00E01239" w:rsidRDefault="00065A58" w:rsidP="003A04BD">
            <w:pPr>
              <w:rPr>
                <w:rFonts w:asciiTheme="minorHAnsi" w:hAnsiTheme="minorHAnsi" w:cstheme="minorHAnsi"/>
                <w:lang w:val="en-US"/>
              </w:rPr>
            </w:pPr>
            <w:r w:rsidRPr="00E01239">
              <w:rPr>
                <w:rFonts w:asciiTheme="minorHAnsi" w:hAnsiTheme="minorHAnsi" w:cstheme="minorHAnsi"/>
                <w:lang w:val="en-US"/>
              </w:rPr>
              <w:t>20</w:t>
            </w:r>
          </w:p>
        </w:tc>
        <w:tc>
          <w:tcPr>
            <w:tcW w:w="8647" w:type="dxa"/>
          </w:tcPr>
          <w:p w14:paraId="25B77F8B" w14:textId="77777777" w:rsidR="00065A58" w:rsidRPr="00E01239" w:rsidRDefault="00065A58" w:rsidP="003A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E01239">
              <w:rPr>
                <w:rFonts w:asciiTheme="minorHAnsi" w:hAnsiTheme="minorHAnsi" w:cstheme="minorHAnsi"/>
              </w:rPr>
              <w:t>Activités menées au-delà des frontières non démarquées ou dans des zones contestées</w:t>
            </w:r>
          </w:p>
        </w:tc>
      </w:tr>
    </w:tbl>
    <w:p w14:paraId="4964EB6D" w14:textId="77777777" w:rsidR="00065A58" w:rsidRPr="00E01239" w:rsidRDefault="00065A58" w:rsidP="00065A58">
      <w:pPr>
        <w:rPr>
          <w:rFonts w:asciiTheme="minorHAnsi" w:hAnsiTheme="minorHAnsi" w:cstheme="minorHAnsi"/>
        </w:rPr>
      </w:pPr>
    </w:p>
    <w:p w14:paraId="3FA8A07F" w14:textId="77777777" w:rsidR="00065A58" w:rsidRPr="00E01239" w:rsidRDefault="00065A58" w:rsidP="00065A58">
      <w:pPr>
        <w:rPr>
          <w:rFonts w:asciiTheme="minorHAnsi" w:hAnsiTheme="minorHAnsi" w:cstheme="minorHAnsi"/>
          <w:lang w:val="en-US"/>
        </w:rPr>
      </w:pPr>
      <w:bookmarkStart w:id="1582" w:name="_Toc122598176"/>
      <w:r w:rsidRPr="00E01239">
        <w:rPr>
          <w:rFonts w:asciiTheme="minorHAnsi" w:hAnsiTheme="minorHAnsi" w:cstheme="minorHAnsi"/>
          <w:b/>
          <w:bCs/>
          <w:lang w:val="en-US"/>
        </w:rPr>
        <w:lastRenderedPageBreak/>
        <w:t>Potential Environmental and Social Impacts and Mitigation</w:t>
      </w:r>
      <w:bookmarkEnd w:id="1582"/>
      <w:r w:rsidRPr="00E01239">
        <w:rPr>
          <w:rFonts w:asciiTheme="minorHAnsi" w:hAnsiTheme="minorHAnsi" w:cstheme="minorHAnsi"/>
          <w:b/>
          <w:bCs/>
          <w:lang w:val="en-US"/>
        </w:rPr>
        <w:t>:</w:t>
      </w:r>
      <w:r w:rsidRPr="00E01239">
        <w:rPr>
          <w:rFonts w:asciiTheme="minorHAnsi" w:hAnsiTheme="minorHAnsi" w:cstheme="minorHAnsi"/>
          <w:lang w:val="en-US"/>
        </w:rPr>
        <w:t xml:space="preserve"> Environmental and social risks and impacts of CERC activities will be outlined briefly. </w:t>
      </w:r>
    </w:p>
    <w:p w14:paraId="373F3B07" w14:textId="77777777" w:rsidR="005E62B3" w:rsidRPr="00E01239" w:rsidRDefault="005E62B3" w:rsidP="00065A58">
      <w:pPr>
        <w:rPr>
          <w:rFonts w:asciiTheme="minorHAnsi" w:hAnsiTheme="minorHAnsi" w:cstheme="minorHAnsi"/>
          <w:b/>
          <w:bCs/>
          <w:lang w:val="en-US"/>
        </w:rPr>
      </w:pPr>
    </w:p>
    <w:p w14:paraId="4321F131" w14:textId="5A8B90CF" w:rsidR="00065A58" w:rsidRPr="00E01239" w:rsidRDefault="00065A58" w:rsidP="005E62B3">
      <w:pPr>
        <w:jc w:val="both"/>
        <w:rPr>
          <w:rFonts w:asciiTheme="minorHAnsi" w:hAnsiTheme="minorHAnsi" w:cstheme="minorHAnsi"/>
        </w:rPr>
      </w:pPr>
      <w:r w:rsidRPr="00E01239">
        <w:rPr>
          <w:rFonts w:asciiTheme="minorHAnsi" w:hAnsiTheme="minorHAnsi" w:cstheme="minorHAnsi"/>
          <w:b/>
          <w:bCs/>
        </w:rPr>
        <w:t>Procédures de gestion E&amp;S du CERC :</w:t>
      </w:r>
      <w:r w:rsidRPr="00E01239">
        <w:rPr>
          <w:rFonts w:asciiTheme="minorHAnsi" w:hAnsiTheme="minorHAnsi" w:cstheme="minorHAnsi"/>
        </w:rPr>
        <w:t xml:space="preserve"> La mise en œuvre des activités du CERC s'appuiera sur l'évaluation, les procédures et les mesures d'atténuation plus complètes incluses dans le CGES du projet pour les activités de construction. Ils seront pris en compte lors de l’examen E&amp;S et de la préparation du Plan de gestion environnementale et sociale (PGES). Les directives environnementales, sanitaires et sécuritaires (EHS) de la Banque mondiale</w:t>
      </w:r>
      <w:r w:rsidRPr="00E01239">
        <w:rPr>
          <w:rStyle w:val="Appelnotedebasdep"/>
          <w:rFonts w:asciiTheme="minorHAnsi" w:hAnsiTheme="minorHAnsi" w:cstheme="minorHAnsi"/>
        </w:rPr>
        <w:footnoteReference w:id="17"/>
      </w:r>
      <w:r w:rsidRPr="00E01239">
        <w:rPr>
          <w:rFonts w:asciiTheme="minorHAnsi" w:hAnsiTheme="minorHAnsi" w:cstheme="minorHAnsi"/>
        </w:rPr>
        <w:t xml:space="preserve"> seront suivies le cas échéant. Les procédures E&amp;S à suivre sont décrites dans le CGES et résumées ci-dessous :</w:t>
      </w:r>
    </w:p>
    <w:p w14:paraId="4B054C45" w14:textId="77777777" w:rsidR="005E62B3" w:rsidRPr="00E01239" w:rsidRDefault="005E62B3" w:rsidP="005E62B3">
      <w:pPr>
        <w:jc w:val="both"/>
        <w:rPr>
          <w:rFonts w:asciiTheme="minorHAnsi" w:hAnsiTheme="minorHAnsi" w:cstheme="minorHAnsi"/>
          <w:i/>
          <w:iCs/>
          <w:u w:val="single"/>
        </w:rPr>
      </w:pPr>
    </w:p>
    <w:p w14:paraId="082EC277" w14:textId="3719320D" w:rsidR="00065A58" w:rsidRPr="00E01239" w:rsidRDefault="00065A58" w:rsidP="005E62B3">
      <w:pPr>
        <w:jc w:val="both"/>
        <w:rPr>
          <w:rFonts w:asciiTheme="minorHAnsi" w:hAnsiTheme="minorHAnsi" w:cstheme="minorHAnsi"/>
        </w:rPr>
      </w:pPr>
      <w:r w:rsidRPr="00E01239">
        <w:rPr>
          <w:rFonts w:asciiTheme="minorHAnsi" w:hAnsiTheme="minorHAnsi" w:cstheme="minorHAnsi"/>
          <w:i/>
          <w:iCs/>
          <w:u w:val="single"/>
        </w:rPr>
        <w:t xml:space="preserve">Étape </w:t>
      </w:r>
      <w:proofErr w:type="gramStart"/>
      <w:r w:rsidRPr="00E01239">
        <w:rPr>
          <w:rFonts w:asciiTheme="minorHAnsi" w:hAnsiTheme="minorHAnsi" w:cstheme="minorHAnsi"/>
          <w:i/>
          <w:iCs/>
          <w:u w:val="single"/>
        </w:rPr>
        <w:t>1:</w:t>
      </w:r>
      <w:proofErr w:type="gramEnd"/>
      <w:r w:rsidRPr="00E01239">
        <w:rPr>
          <w:rFonts w:asciiTheme="minorHAnsi" w:hAnsiTheme="minorHAnsi" w:cstheme="minorHAnsi"/>
          <w:i/>
          <w:iCs/>
          <w:u w:val="single"/>
        </w:rPr>
        <w:t xml:space="preserve"> Application de la liste d'exclusion.</w:t>
      </w:r>
      <w:r w:rsidRPr="00E01239">
        <w:rPr>
          <w:rFonts w:asciiTheme="minorHAnsi" w:hAnsiTheme="minorHAnsi" w:cstheme="minorHAnsi"/>
        </w:rPr>
        <w:t xml:space="preserve"> Le sous-projet CERC sera examiné par rapport aux listes d’exclusion décrites dans </w:t>
      </w:r>
      <w:r w:rsidR="00925B2A" w:rsidRPr="00E01239">
        <w:rPr>
          <w:rFonts w:asciiTheme="minorHAnsi" w:hAnsiTheme="minorHAnsi" w:cstheme="minorHAnsi"/>
        </w:rPr>
        <w:t>au tableau 18</w:t>
      </w:r>
      <w:r w:rsidRPr="00E01239">
        <w:rPr>
          <w:rFonts w:asciiTheme="minorHAnsi" w:hAnsiTheme="minorHAnsi" w:cstheme="minorHAnsi"/>
        </w:rPr>
        <w:t xml:space="preserve"> et dans le tableau 2 ci-dessus.</w:t>
      </w:r>
    </w:p>
    <w:p w14:paraId="5DD38A70" w14:textId="77777777" w:rsidR="005E62B3" w:rsidRPr="00E01239" w:rsidRDefault="005E62B3" w:rsidP="005E6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rFonts w:asciiTheme="minorHAnsi" w:hAnsiTheme="minorHAnsi" w:cstheme="minorHAnsi"/>
          <w:i/>
          <w:iCs/>
          <w:color w:val="202124"/>
          <w:u w:val="single"/>
        </w:rPr>
      </w:pPr>
    </w:p>
    <w:p w14:paraId="04E704A9" w14:textId="5CA1DEE2" w:rsidR="00065A58" w:rsidRPr="00E01239" w:rsidRDefault="00065A58" w:rsidP="005E6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rPr>
      </w:pPr>
      <w:r w:rsidRPr="00E01239">
        <w:rPr>
          <w:rStyle w:val="y2iqfc"/>
          <w:rFonts w:asciiTheme="minorHAnsi" w:hAnsiTheme="minorHAnsi" w:cstheme="minorHAnsi"/>
          <w:i/>
          <w:iCs/>
          <w:color w:val="202124"/>
          <w:u w:val="single"/>
        </w:rPr>
        <w:t>Étape 2 : Application de la fiche de criblage identifiant les impacts en réinstallation</w:t>
      </w:r>
      <w:r w:rsidRPr="00E01239">
        <w:rPr>
          <w:rStyle w:val="y2iqfc"/>
          <w:rFonts w:asciiTheme="minorHAnsi" w:hAnsiTheme="minorHAnsi" w:cstheme="minorHAnsi"/>
          <w:color w:val="202124"/>
        </w:rPr>
        <w:t xml:space="preserve"> : les sous-projets du CERC seront examinés par rapport </w:t>
      </w:r>
      <w:proofErr w:type="spellStart"/>
      <w:r w:rsidRPr="00E01239">
        <w:rPr>
          <w:rStyle w:val="y2iqfc"/>
          <w:rFonts w:asciiTheme="minorHAnsi" w:hAnsiTheme="minorHAnsi" w:cstheme="minorHAnsi"/>
          <w:color w:val="202124"/>
        </w:rPr>
        <w:t>a</w:t>
      </w:r>
      <w:proofErr w:type="spellEnd"/>
      <w:r w:rsidRPr="00E01239">
        <w:rPr>
          <w:rStyle w:val="y2iqfc"/>
          <w:rFonts w:asciiTheme="minorHAnsi" w:hAnsiTheme="minorHAnsi" w:cstheme="minorHAnsi"/>
          <w:color w:val="202124"/>
        </w:rPr>
        <w:t xml:space="preserve"> la fiche de criblage pour identifier les impacts associés à la NES 5, présenté à l'annexe </w:t>
      </w:r>
      <w:r w:rsidR="000927B9" w:rsidRPr="00E01239">
        <w:rPr>
          <w:rStyle w:val="y2iqfc"/>
          <w:rFonts w:asciiTheme="minorHAnsi" w:hAnsiTheme="minorHAnsi" w:cstheme="minorHAnsi"/>
          <w:color w:val="202124"/>
        </w:rPr>
        <w:t>3</w:t>
      </w:r>
      <w:r w:rsidRPr="00E01239">
        <w:rPr>
          <w:rStyle w:val="y2iqfc"/>
          <w:rFonts w:asciiTheme="minorHAnsi" w:hAnsiTheme="minorHAnsi" w:cstheme="minorHAnsi"/>
          <w:color w:val="202124"/>
        </w:rPr>
        <w:t>. Si des impacts associés à la NES5 sont identifiés, un plan de réinstallation conformément au RF et à la NES sera préparé et mis en œuvre et l'indemnisation des personnes affectées par le projet sera versée intégralement avant le début des travaux de génie civil sur le site.</w:t>
      </w:r>
    </w:p>
    <w:p w14:paraId="2DAA6811" w14:textId="77777777" w:rsidR="00065A58" w:rsidRPr="00E01239" w:rsidRDefault="00065A58" w:rsidP="005E62B3">
      <w:pPr>
        <w:jc w:val="both"/>
        <w:rPr>
          <w:rStyle w:val="y2iqfc"/>
          <w:rFonts w:asciiTheme="minorHAnsi" w:hAnsiTheme="minorHAnsi" w:cstheme="minorHAnsi"/>
          <w:i/>
          <w:iCs/>
          <w:color w:val="202124"/>
          <w:u w:val="single"/>
        </w:rPr>
      </w:pPr>
    </w:p>
    <w:p w14:paraId="7D670F24" w14:textId="4A8CBE7D" w:rsidR="00065A58" w:rsidRPr="00E01239" w:rsidRDefault="00065A58" w:rsidP="005E62B3">
      <w:pPr>
        <w:jc w:val="both"/>
        <w:rPr>
          <w:rStyle w:val="y2iqfc"/>
          <w:rFonts w:asciiTheme="minorHAnsi" w:hAnsiTheme="minorHAnsi" w:cstheme="minorHAnsi"/>
          <w:color w:val="202124"/>
        </w:rPr>
      </w:pPr>
      <w:r w:rsidRPr="00E01239">
        <w:rPr>
          <w:rStyle w:val="y2iqfc"/>
          <w:rFonts w:asciiTheme="minorHAnsi" w:hAnsiTheme="minorHAnsi" w:cstheme="minorHAnsi"/>
          <w:i/>
          <w:iCs/>
          <w:color w:val="202124"/>
          <w:u w:val="single"/>
        </w:rPr>
        <w:t>Étape 3 : Formulaire de sélection E&amp;S.</w:t>
      </w:r>
      <w:r w:rsidRPr="00E01239">
        <w:rPr>
          <w:rStyle w:val="y2iqfc"/>
          <w:rFonts w:asciiTheme="minorHAnsi" w:hAnsiTheme="minorHAnsi" w:cstheme="minorHAnsi"/>
          <w:color w:val="202124"/>
        </w:rPr>
        <w:t xml:space="preserve"> Le CGES comprend un modèle pour filtrer les sous-projets du point de vue E&amp;S. Le </w:t>
      </w:r>
      <w:r w:rsidR="008019AE" w:rsidRPr="00E01239">
        <w:rPr>
          <w:rStyle w:val="y2iqfc"/>
          <w:rFonts w:asciiTheme="minorHAnsi" w:hAnsiTheme="minorHAnsi" w:cstheme="minorHAnsi"/>
          <w:i/>
          <w:iCs/>
          <w:color w:val="202124"/>
        </w:rPr>
        <w:t>F</w:t>
      </w:r>
      <w:r w:rsidRPr="00E01239">
        <w:rPr>
          <w:rStyle w:val="y2iqfc"/>
          <w:rFonts w:asciiTheme="minorHAnsi" w:hAnsiTheme="minorHAnsi" w:cstheme="minorHAnsi"/>
          <w:i/>
          <w:iCs/>
          <w:color w:val="202124"/>
        </w:rPr>
        <w:t xml:space="preserve">ormulaire </w:t>
      </w:r>
      <w:r w:rsidR="008019AE" w:rsidRPr="00E01239">
        <w:rPr>
          <w:rStyle w:val="y2iqfc"/>
          <w:rFonts w:asciiTheme="minorHAnsi" w:hAnsiTheme="minorHAnsi" w:cstheme="minorHAnsi"/>
          <w:i/>
          <w:iCs/>
          <w:color w:val="202124"/>
        </w:rPr>
        <w:t>de sélection environnementale et sociale</w:t>
      </w:r>
      <w:r w:rsidR="008019AE" w:rsidRPr="00E01239">
        <w:rPr>
          <w:rStyle w:val="y2iqfc"/>
          <w:rFonts w:asciiTheme="minorHAnsi" w:hAnsiTheme="minorHAnsi" w:cstheme="minorHAnsi"/>
          <w:color w:val="202124"/>
        </w:rPr>
        <w:t xml:space="preserve"> </w:t>
      </w:r>
      <w:r w:rsidRPr="00E01239">
        <w:rPr>
          <w:rStyle w:val="y2iqfc"/>
          <w:rFonts w:asciiTheme="minorHAnsi" w:hAnsiTheme="minorHAnsi" w:cstheme="minorHAnsi"/>
          <w:color w:val="202124"/>
        </w:rPr>
        <w:t xml:space="preserve">à utiliser pour sélectionner les sous-projets se trouve à l’annexe </w:t>
      </w:r>
      <w:r w:rsidR="000927B9" w:rsidRPr="00E01239">
        <w:rPr>
          <w:rStyle w:val="y2iqfc"/>
          <w:rFonts w:asciiTheme="minorHAnsi" w:hAnsiTheme="minorHAnsi" w:cstheme="minorHAnsi"/>
          <w:color w:val="202124"/>
        </w:rPr>
        <w:t>4</w:t>
      </w:r>
      <w:r w:rsidRPr="00E01239">
        <w:rPr>
          <w:rStyle w:val="y2iqfc"/>
          <w:rFonts w:asciiTheme="minorHAnsi" w:hAnsiTheme="minorHAnsi" w:cstheme="minorHAnsi"/>
          <w:color w:val="202124"/>
        </w:rPr>
        <w:t>.</w:t>
      </w:r>
    </w:p>
    <w:p w14:paraId="4E9DD90E" w14:textId="77777777" w:rsidR="005E62B3" w:rsidRPr="00E01239" w:rsidRDefault="005E62B3" w:rsidP="005E62B3">
      <w:pPr>
        <w:jc w:val="both"/>
        <w:rPr>
          <w:rFonts w:asciiTheme="minorHAnsi" w:hAnsiTheme="minorHAnsi" w:cstheme="minorHAnsi"/>
          <w:i/>
          <w:iCs/>
          <w:u w:val="single"/>
        </w:rPr>
      </w:pPr>
    </w:p>
    <w:p w14:paraId="75BCD667" w14:textId="47882FC8" w:rsidR="00065A58" w:rsidRPr="00E01239" w:rsidRDefault="00065A58" w:rsidP="005E62B3">
      <w:pPr>
        <w:jc w:val="both"/>
        <w:rPr>
          <w:rFonts w:asciiTheme="minorHAnsi" w:hAnsiTheme="minorHAnsi" w:cstheme="minorHAnsi"/>
        </w:rPr>
      </w:pPr>
      <w:r w:rsidRPr="00E01239">
        <w:rPr>
          <w:rFonts w:asciiTheme="minorHAnsi" w:hAnsiTheme="minorHAnsi" w:cstheme="minorHAnsi"/>
          <w:i/>
          <w:iCs/>
          <w:u w:val="single"/>
        </w:rPr>
        <w:t xml:space="preserve">Étape </w:t>
      </w:r>
      <w:proofErr w:type="gramStart"/>
      <w:r w:rsidRPr="00E01239">
        <w:rPr>
          <w:rFonts w:asciiTheme="minorHAnsi" w:hAnsiTheme="minorHAnsi" w:cstheme="minorHAnsi"/>
          <w:i/>
          <w:iCs/>
          <w:u w:val="single"/>
        </w:rPr>
        <w:t>4:</w:t>
      </w:r>
      <w:proofErr w:type="gramEnd"/>
      <w:r w:rsidRPr="00E01239">
        <w:rPr>
          <w:rFonts w:asciiTheme="minorHAnsi" w:hAnsiTheme="minorHAnsi" w:cstheme="minorHAnsi"/>
          <w:i/>
          <w:iCs/>
          <w:u w:val="single"/>
        </w:rPr>
        <w:t xml:space="preserve"> Identification des problèmes E&amp;S et préparation de plans d’atténuation.</w:t>
      </w:r>
      <w:r w:rsidRPr="00E01239">
        <w:rPr>
          <w:rFonts w:asciiTheme="minorHAnsi" w:hAnsiTheme="minorHAnsi" w:cstheme="minorHAnsi"/>
        </w:rPr>
        <w:t xml:space="preserve"> Sur la base des résultats de l'étape 1, une liste de contrôle PGES/PGES pour les sous-projets CERC sera préparée pour décrire les travaux/activités et les mesures d'atténuation à mener pendant les plans de conception détaillée, d'appel d'offres/contrat, de réparation/restauration et de fermeture, en tenant compte </w:t>
      </w:r>
      <w:proofErr w:type="spellStart"/>
      <w:r w:rsidRPr="00E01239">
        <w:rPr>
          <w:rFonts w:asciiTheme="minorHAnsi" w:hAnsiTheme="minorHAnsi" w:cstheme="minorHAnsi"/>
        </w:rPr>
        <w:t>compte</w:t>
      </w:r>
      <w:proofErr w:type="spellEnd"/>
      <w:r w:rsidRPr="00E01239">
        <w:rPr>
          <w:rFonts w:asciiTheme="minorHAnsi" w:hAnsiTheme="minorHAnsi" w:cstheme="minorHAnsi"/>
        </w:rPr>
        <w:t xml:space="preserve"> de l’ampleur, de la portée et de la nature de l’urgence. Des consultations avec les autorités locales et les communautés seront menées au cours de cette étape.</w:t>
      </w:r>
    </w:p>
    <w:p w14:paraId="0C998231" w14:textId="77777777" w:rsidR="00A67BD3" w:rsidRPr="00E01239" w:rsidRDefault="00A67BD3" w:rsidP="005E62B3">
      <w:pPr>
        <w:jc w:val="both"/>
        <w:rPr>
          <w:rFonts w:asciiTheme="minorHAnsi" w:hAnsiTheme="minorHAnsi" w:cstheme="minorHAnsi"/>
          <w:i/>
          <w:iCs/>
          <w:u w:val="single"/>
        </w:rPr>
      </w:pPr>
    </w:p>
    <w:p w14:paraId="687A3735" w14:textId="7D8258E7" w:rsidR="00065A58" w:rsidRPr="00E01239" w:rsidRDefault="00065A58" w:rsidP="005E62B3">
      <w:pPr>
        <w:jc w:val="both"/>
        <w:rPr>
          <w:rFonts w:asciiTheme="minorHAnsi" w:hAnsiTheme="minorHAnsi" w:cstheme="minorHAnsi"/>
        </w:rPr>
      </w:pPr>
      <w:r w:rsidRPr="00E01239">
        <w:rPr>
          <w:rFonts w:asciiTheme="minorHAnsi" w:hAnsiTheme="minorHAnsi" w:cstheme="minorHAnsi"/>
          <w:i/>
          <w:iCs/>
          <w:u w:val="single"/>
        </w:rPr>
        <w:t>Étape 5 : Autorisation de la Banque mondiale.</w:t>
      </w:r>
      <w:r w:rsidRPr="00E01239">
        <w:rPr>
          <w:rFonts w:asciiTheme="minorHAnsi" w:hAnsiTheme="minorHAnsi" w:cstheme="minorHAnsi"/>
        </w:rPr>
        <w:t xml:space="preserve"> La liste de contrôle du PGES et/ou du PAR concis et le rapport sur la mise en œuvre du PAR (si nécessaire) avant utilisation doivent être approuvés par la Banque mondiale.</w:t>
      </w:r>
    </w:p>
    <w:p w14:paraId="4209D21D" w14:textId="77777777" w:rsidR="00A67BD3" w:rsidRPr="00E01239" w:rsidRDefault="00A67BD3" w:rsidP="005E62B3">
      <w:pPr>
        <w:jc w:val="both"/>
        <w:rPr>
          <w:rFonts w:asciiTheme="minorHAnsi" w:hAnsiTheme="minorHAnsi" w:cstheme="minorHAnsi"/>
          <w:i/>
          <w:iCs/>
          <w:u w:val="single"/>
        </w:rPr>
      </w:pPr>
    </w:p>
    <w:p w14:paraId="33A4EDF5" w14:textId="3FA5430B" w:rsidR="00065A58" w:rsidRPr="00E01239" w:rsidRDefault="00065A58" w:rsidP="005E62B3">
      <w:pPr>
        <w:jc w:val="both"/>
        <w:rPr>
          <w:rFonts w:asciiTheme="minorHAnsi" w:hAnsiTheme="minorHAnsi" w:cstheme="minorHAnsi"/>
        </w:rPr>
      </w:pPr>
      <w:r w:rsidRPr="00E01239">
        <w:rPr>
          <w:rFonts w:asciiTheme="minorHAnsi" w:hAnsiTheme="minorHAnsi" w:cstheme="minorHAnsi"/>
          <w:i/>
          <w:iCs/>
          <w:u w:val="single"/>
        </w:rPr>
        <w:t>Étape 6 : Mise en œuvre et S&amp;E.</w:t>
      </w:r>
      <w:r w:rsidRPr="00E01239">
        <w:rPr>
          <w:rFonts w:asciiTheme="minorHAnsi" w:hAnsiTheme="minorHAnsi" w:cstheme="minorHAnsi"/>
          <w:u w:val="single"/>
        </w:rPr>
        <w:t xml:space="preserve"> </w:t>
      </w:r>
      <w:r w:rsidRPr="00E01239">
        <w:rPr>
          <w:rFonts w:asciiTheme="minorHAnsi" w:hAnsiTheme="minorHAnsi" w:cstheme="minorHAnsi"/>
        </w:rPr>
        <w:t>La liste de contrôle PGES/PGES approuvée est incluse dans les documents d'appel d'offres et est obligatoire pour son exécution par les entrepreneurs qui doivent signer le certificat d'engagement de l'entrepreneur à se conformer aux exigences du PGES pour un sous-projet spécifique. L'agence d'exécution suivra la mise en œuvre du PGES sur le terrain.</w:t>
      </w:r>
    </w:p>
    <w:p w14:paraId="77FB39BF" w14:textId="77777777" w:rsidR="00A67BD3" w:rsidRPr="00E01239" w:rsidRDefault="00A67BD3" w:rsidP="005E62B3">
      <w:pPr>
        <w:jc w:val="both"/>
        <w:rPr>
          <w:rFonts w:asciiTheme="minorHAnsi" w:hAnsiTheme="minorHAnsi" w:cstheme="minorHAnsi"/>
          <w:i/>
          <w:iCs/>
          <w:u w:val="single"/>
        </w:rPr>
      </w:pPr>
      <w:bookmarkStart w:id="1583" w:name="_Toc118888207"/>
      <w:bookmarkStart w:id="1584" w:name="_Toc25146815"/>
    </w:p>
    <w:p w14:paraId="59499397" w14:textId="07202A16" w:rsidR="00065A58" w:rsidRPr="00E01239" w:rsidRDefault="00065A58" w:rsidP="005E62B3">
      <w:pPr>
        <w:jc w:val="both"/>
        <w:rPr>
          <w:rFonts w:asciiTheme="minorHAnsi" w:hAnsiTheme="minorHAnsi" w:cstheme="minorHAnsi"/>
        </w:rPr>
      </w:pPr>
      <w:r w:rsidRPr="00E01239">
        <w:rPr>
          <w:rFonts w:asciiTheme="minorHAnsi" w:hAnsiTheme="minorHAnsi" w:cstheme="minorHAnsi"/>
          <w:i/>
          <w:iCs/>
          <w:u w:val="single"/>
        </w:rPr>
        <w:t xml:space="preserve">Étape 6 : Achèvement et évaluation. </w:t>
      </w:r>
      <w:r w:rsidRPr="00E01239">
        <w:rPr>
          <w:rFonts w:asciiTheme="minorHAnsi" w:hAnsiTheme="minorHAnsi" w:cstheme="minorHAnsi"/>
        </w:rPr>
        <w:t xml:space="preserve">Une fois le sous-projet CERC terminé, l’agence d’exécution évaluera les résultats avant de clôturer le contrat. Tous les problèmes et/ou griefs </w:t>
      </w:r>
      <w:r w:rsidRPr="00E01239">
        <w:rPr>
          <w:rFonts w:asciiTheme="minorHAnsi" w:hAnsiTheme="minorHAnsi" w:cstheme="minorHAnsi"/>
        </w:rPr>
        <w:lastRenderedPageBreak/>
        <w:t>en suspens doivent être résolus avant que le sous-projet soit considéré comme entièrement achevé.</w:t>
      </w:r>
    </w:p>
    <w:p w14:paraId="1B4EA577" w14:textId="77777777" w:rsidR="00A67BD3" w:rsidRPr="00E01239" w:rsidRDefault="00A67BD3" w:rsidP="005E62B3">
      <w:pPr>
        <w:jc w:val="both"/>
        <w:rPr>
          <w:rFonts w:asciiTheme="minorHAnsi" w:hAnsiTheme="minorHAnsi" w:cstheme="minorHAnsi"/>
          <w:b/>
          <w:bCs/>
        </w:rPr>
      </w:pPr>
    </w:p>
    <w:p w14:paraId="76AFDB8C" w14:textId="068AF110" w:rsidR="00065A58" w:rsidRPr="00E01239" w:rsidRDefault="00065A58" w:rsidP="005E62B3">
      <w:pPr>
        <w:jc w:val="both"/>
        <w:rPr>
          <w:rFonts w:asciiTheme="minorHAnsi" w:hAnsiTheme="minorHAnsi" w:cstheme="minorHAnsi"/>
        </w:rPr>
      </w:pPr>
      <w:r w:rsidRPr="00E01239">
        <w:rPr>
          <w:rFonts w:asciiTheme="minorHAnsi" w:hAnsiTheme="minorHAnsi" w:cstheme="minorHAnsi"/>
          <w:b/>
          <w:bCs/>
        </w:rPr>
        <w:t xml:space="preserve">Mobilisation des parties </w:t>
      </w:r>
      <w:proofErr w:type="gramStart"/>
      <w:r w:rsidRPr="00E01239">
        <w:rPr>
          <w:rFonts w:asciiTheme="minorHAnsi" w:hAnsiTheme="minorHAnsi" w:cstheme="minorHAnsi"/>
          <w:b/>
          <w:bCs/>
        </w:rPr>
        <w:t>prenantes:</w:t>
      </w:r>
      <w:proofErr w:type="gramEnd"/>
      <w:r w:rsidRPr="00E01239">
        <w:rPr>
          <w:rFonts w:asciiTheme="minorHAnsi" w:hAnsiTheme="minorHAnsi" w:cstheme="minorHAnsi"/>
        </w:rPr>
        <w:t xml:space="preserve"> Toutes les parties prenantes, y compris les groupes vulnérables, seront correctement informées des activités du sous-projet conformément au plan d'engagement des parties prenantes (SEP) du projet. Toutes les activités du projet seront largement promues via les réseaux sociaux, les canaux de communication sur la protection sociale, les administrations régionales, les administrations de district et les ONG, y compris celles qui soutiennent les femmes et les jeunes entrepreneurs. Les commentaires reçus des communautés concernant les activités du projet seront pris en compte de manière appropriée lors de la mise en œuvre.</w:t>
      </w:r>
    </w:p>
    <w:p w14:paraId="01400131" w14:textId="77777777" w:rsidR="00A67BD3" w:rsidRPr="00E01239" w:rsidRDefault="00A67BD3" w:rsidP="005E62B3">
      <w:pPr>
        <w:jc w:val="both"/>
        <w:rPr>
          <w:rFonts w:asciiTheme="minorHAnsi" w:hAnsiTheme="minorHAnsi" w:cstheme="minorHAnsi"/>
          <w:b/>
          <w:bCs/>
        </w:rPr>
      </w:pPr>
    </w:p>
    <w:p w14:paraId="538685F1" w14:textId="0F4911E4" w:rsidR="00065A58" w:rsidRPr="00E01239" w:rsidRDefault="00065A58" w:rsidP="005E62B3">
      <w:pPr>
        <w:jc w:val="both"/>
        <w:rPr>
          <w:rFonts w:asciiTheme="minorHAnsi" w:hAnsiTheme="minorHAnsi" w:cstheme="minorHAnsi"/>
        </w:rPr>
      </w:pPr>
      <w:r w:rsidRPr="00E01239">
        <w:rPr>
          <w:rFonts w:asciiTheme="minorHAnsi" w:hAnsiTheme="minorHAnsi" w:cstheme="minorHAnsi"/>
          <w:b/>
          <w:bCs/>
        </w:rPr>
        <w:t>Procédures de gestion de la main-</w:t>
      </w:r>
      <w:proofErr w:type="gramStart"/>
      <w:r w:rsidRPr="00E01239">
        <w:rPr>
          <w:rFonts w:asciiTheme="minorHAnsi" w:hAnsiTheme="minorHAnsi" w:cstheme="minorHAnsi"/>
          <w:b/>
          <w:bCs/>
        </w:rPr>
        <w:t>d'œuvre:</w:t>
      </w:r>
      <w:proofErr w:type="gramEnd"/>
      <w:r w:rsidRPr="00E01239">
        <w:rPr>
          <w:rFonts w:asciiTheme="minorHAnsi" w:hAnsiTheme="minorHAnsi" w:cstheme="minorHAnsi"/>
        </w:rPr>
        <w:t xml:space="preserve"> Les sous-projets du CERC seront mis en œuvre par des entrepreneurs locaux et la plupart des travailleurs contractuels seront probablement embauchés localement. Tous les entrepreneurs seront tenus de conclure un contrat écrit avec leurs employés conforme à NES2 et aux procédures de gestion de la main-d'œuvre (PGMO) du projet.</w:t>
      </w:r>
      <w:bookmarkEnd w:id="1583"/>
      <w:bookmarkEnd w:id="1584"/>
    </w:p>
    <w:p w14:paraId="75D3E9E2" w14:textId="77777777" w:rsidR="00A67BD3" w:rsidRPr="00E01239" w:rsidRDefault="00A67BD3" w:rsidP="005E62B3">
      <w:pPr>
        <w:jc w:val="both"/>
        <w:rPr>
          <w:rFonts w:asciiTheme="minorHAnsi" w:hAnsiTheme="minorHAnsi" w:cstheme="minorHAnsi"/>
          <w:b/>
          <w:bCs/>
        </w:rPr>
      </w:pPr>
    </w:p>
    <w:p w14:paraId="6ACD4098" w14:textId="5E0EB8C9" w:rsidR="00065A58" w:rsidRPr="00E01239" w:rsidRDefault="00065A58" w:rsidP="005E62B3">
      <w:pPr>
        <w:jc w:val="both"/>
        <w:rPr>
          <w:rFonts w:asciiTheme="minorHAnsi" w:hAnsiTheme="minorHAnsi" w:cstheme="minorHAnsi"/>
        </w:rPr>
      </w:pPr>
      <w:r w:rsidRPr="00E01239">
        <w:rPr>
          <w:rFonts w:asciiTheme="minorHAnsi" w:hAnsiTheme="minorHAnsi" w:cstheme="minorHAnsi"/>
          <w:b/>
          <w:bCs/>
        </w:rPr>
        <w:t>Dispositions relatives à la prévention de l'exploitation et des abus et de l’exploitation sexuels/du harcèlement sexuel (EAS/HS</w:t>
      </w:r>
      <w:proofErr w:type="gramStart"/>
      <w:r w:rsidRPr="00E01239">
        <w:rPr>
          <w:rFonts w:asciiTheme="minorHAnsi" w:hAnsiTheme="minorHAnsi" w:cstheme="minorHAnsi"/>
          <w:b/>
          <w:bCs/>
        </w:rPr>
        <w:t>):</w:t>
      </w:r>
      <w:proofErr w:type="gramEnd"/>
      <w:r w:rsidRPr="00E01239">
        <w:rPr>
          <w:rFonts w:asciiTheme="minorHAnsi" w:hAnsiTheme="minorHAnsi" w:cstheme="minorHAnsi"/>
          <w:b/>
          <w:bCs/>
        </w:rPr>
        <w:t xml:space="preserve"> </w:t>
      </w:r>
      <w:r w:rsidRPr="00E01239">
        <w:rPr>
          <w:rFonts w:asciiTheme="minorHAnsi" w:hAnsiTheme="minorHAnsi" w:cstheme="minorHAnsi"/>
        </w:rPr>
        <w:t>les dispositions relatives à la prévention de l' EAS/HS, conformément aux exigences de la Banque mondiale, doivent être respectées dans les activités financées dans le cadre du CERC et prendre des mesures pour sensibiliser à la prévention et à l'atténuation de l' EAS/HS. À toutes les étapes de la mise en œuvre du CERC, tout le personnel et les sous-traitants du projet seront informés des principes de prévention et d'atténuation des risques d'exploitation et d'exploitation sexuelle tels que décrits dans le CGES.</w:t>
      </w:r>
      <w:bookmarkStart w:id="1585" w:name="_Toc116039122"/>
      <w:bookmarkStart w:id="1586" w:name="_Toc118888208"/>
    </w:p>
    <w:p w14:paraId="28A19843" w14:textId="77777777" w:rsidR="00A67BD3" w:rsidRPr="00E01239" w:rsidRDefault="00A67BD3" w:rsidP="005E62B3">
      <w:pPr>
        <w:jc w:val="both"/>
        <w:rPr>
          <w:rFonts w:asciiTheme="minorHAnsi" w:hAnsiTheme="minorHAnsi" w:cstheme="minorHAnsi"/>
          <w:b/>
          <w:bCs/>
        </w:rPr>
      </w:pPr>
    </w:p>
    <w:p w14:paraId="5F340373" w14:textId="5638B1A8" w:rsidR="00065A58" w:rsidRPr="00E01239" w:rsidRDefault="00065A58" w:rsidP="005E62B3">
      <w:pPr>
        <w:jc w:val="both"/>
        <w:rPr>
          <w:rFonts w:asciiTheme="minorHAnsi" w:hAnsiTheme="minorHAnsi" w:cstheme="minorHAnsi"/>
        </w:rPr>
      </w:pPr>
      <w:r w:rsidRPr="00E01239">
        <w:rPr>
          <w:rFonts w:asciiTheme="minorHAnsi" w:hAnsiTheme="minorHAnsi" w:cstheme="minorHAnsi"/>
          <w:b/>
          <w:bCs/>
        </w:rPr>
        <w:t>Mécanisme de gestion des plaintes dans le cadre du CERC</w:t>
      </w:r>
      <w:r w:rsidRPr="00E01239">
        <w:rPr>
          <w:rFonts w:asciiTheme="minorHAnsi" w:hAnsiTheme="minorHAnsi" w:cstheme="minorHAnsi"/>
        </w:rPr>
        <w:t xml:space="preserve"> : le même processus de gestion des plaintes décrit à la section </w:t>
      </w:r>
      <w:r w:rsidR="008019AE" w:rsidRPr="00E01239">
        <w:rPr>
          <w:rFonts w:asciiTheme="minorHAnsi" w:hAnsiTheme="minorHAnsi" w:cstheme="minorHAnsi"/>
        </w:rPr>
        <w:t xml:space="preserve">7.8 </w:t>
      </w:r>
      <w:r w:rsidRPr="00E01239">
        <w:rPr>
          <w:rFonts w:asciiTheme="minorHAnsi" w:hAnsiTheme="minorHAnsi" w:cstheme="minorHAnsi"/>
        </w:rPr>
        <w:t>du CGES sera utilisé pour les réclamations liées aux activités du CERC.</w:t>
      </w:r>
    </w:p>
    <w:bookmarkEnd w:id="1585"/>
    <w:bookmarkEnd w:id="1586"/>
    <w:p w14:paraId="697532E8" w14:textId="77777777" w:rsidR="00065A58" w:rsidRPr="00E01239" w:rsidRDefault="00065A58" w:rsidP="005E62B3">
      <w:pPr>
        <w:jc w:val="both"/>
        <w:rPr>
          <w:rFonts w:asciiTheme="minorHAnsi" w:hAnsiTheme="minorHAnsi" w:cstheme="minorHAnsi"/>
        </w:rPr>
      </w:pPr>
    </w:p>
    <w:p w14:paraId="2A08A732" w14:textId="502EF035" w:rsidR="00C068DF" w:rsidRPr="00E01239" w:rsidRDefault="00C068DF" w:rsidP="005E62B3">
      <w:pPr>
        <w:jc w:val="both"/>
        <w:rPr>
          <w:rFonts w:asciiTheme="minorHAnsi" w:hAnsiTheme="minorHAnsi" w:cstheme="minorHAnsi"/>
          <w:sz w:val="22"/>
          <w:szCs w:val="22"/>
        </w:rPr>
      </w:pPr>
    </w:p>
    <w:p w14:paraId="61B49401" w14:textId="77777777" w:rsidR="00100553" w:rsidRPr="00E01239" w:rsidRDefault="00100553" w:rsidP="005E62B3">
      <w:pPr>
        <w:jc w:val="both"/>
        <w:rPr>
          <w:rFonts w:asciiTheme="minorHAnsi" w:eastAsiaTheme="majorEastAsia" w:hAnsiTheme="minorHAnsi" w:cstheme="minorHAnsi"/>
          <w:b/>
          <w:color w:val="2E74B5" w:themeColor="accent1" w:themeShade="BF"/>
          <w:sz w:val="22"/>
          <w:szCs w:val="22"/>
        </w:rPr>
      </w:pPr>
    </w:p>
    <w:p w14:paraId="3DB5E1D9" w14:textId="00221B29" w:rsidR="00C068DF" w:rsidRPr="00E01239" w:rsidRDefault="00100553" w:rsidP="005E62B3">
      <w:pPr>
        <w:pStyle w:val="Titre2"/>
        <w:tabs>
          <w:tab w:val="left" w:pos="1193"/>
        </w:tabs>
        <w:ind w:left="720"/>
        <w:rPr>
          <w:rFonts w:asciiTheme="minorHAnsi" w:hAnsiTheme="minorHAnsi" w:cstheme="minorHAnsi"/>
        </w:rPr>
        <w:sectPr w:rsidR="00C068DF" w:rsidRPr="00E01239" w:rsidSect="00A304E9">
          <w:pgSz w:w="11906" w:h="16838"/>
          <w:pgMar w:top="1418" w:right="1417" w:bottom="1417" w:left="1417" w:header="708" w:footer="708" w:gutter="0"/>
          <w:cols w:space="708"/>
          <w:docGrid w:linePitch="360"/>
        </w:sectPr>
      </w:pPr>
      <w:r w:rsidRPr="00E01239">
        <w:rPr>
          <w:rFonts w:asciiTheme="minorHAnsi" w:hAnsiTheme="minorHAnsi" w:cstheme="minorHAnsi"/>
        </w:rPr>
        <w:br w:type="page"/>
      </w:r>
    </w:p>
    <w:p w14:paraId="74582015" w14:textId="77777777" w:rsidR="00477A61" w:rsidRPr="00E01239" w:rsidRDefault="00477A61" w:rsidP="00477A61">
      <w:pPr>
        <w:tabs>
          <w:tab w:val="left" w:pos="1193"/>
        </w:tabs>
        <w:rPr>
          <w:rFonts w:asciiTheme="minorHAnsi" w:hAnsiTheme="minorHAnsi" w:cstheme="minorHAnsi"/>
          <w:sz w:val="22"/>
          <w:szCs w:val="22"/>
        </w:rPr>
      </w:pPr>
    </w:p>
    <w:p w14:paraId="73D3AC0E" w14:textId="06084A2E" w:rsidR="00477A61" w:rsidRPr="00E01239" w:rsidRDefault="00477A61" w:rsidP="00477A61">
      <w:pPr>
        <w:tabs>
          <w:tab w:val="left" w:pos="1193"/>
        </w:tabs>
        <w:rPr>
          <w:rFonts w:asciiTheme="minorHAnsi" w:hAnsiTheme="minorHAnsi" w:cstheme="minorHAnsi"/>
          <w:sz w:val="22"/>
          <w:szCs w:val="22"/>
        </w:rPr>
      </w:pPr>
    </w:p>
    <w:p w14:paraId="0712879A" w14:textId="661EEC94" w:rsidR="00100553" w:rsidRPr="00E01239" w:rsidRDefault="00100553" w:rsidP="00477A61">
      <w:pPr>
        <w:tabs>
          <w:tab w:val="left" w:pos="1193"/>
        </w:tabs>
        <w:rPr>
          <w:rFonts w:asciiTheme="minorHAnsi" w:hAnsiTheme="minorHAnsi" w:cstheme="minorHAnsi"/>
          <w:sz w:val="22"/>
          <w:szCs w:val="22"/>
        </w:rPr>
      </w:pPr>
    </w:p>
    <w:p w14:paraId="4B66CA6C" w14:textId="41707736" w:rsidR="00100553" w:rsidRPr="00E01239" w:rsidRDefault="00100553" w:rsidP="00477A61">
      <w:pPr>
        <w:tabs>
          <w:tab w:val="left" w:pos="1193"/>
        </w:tabs>
        <w:rPr>
          <w:rFonts w:asciiTheme="minorHAnsi" w:hAnsiTheme="minorHAnsi" w:cstheme="minorHAnsi"/>
          <w:sz w:val="22"/>
          <w:szCs w:val="22"/>
        </w:rPr>
      </w:pPr>
    </w:p>
    <w:p w14:paraId="129A34A0" w14:textId="40E1A814" w:rsidR="00100553" w:rsidRPr="00E01239" w:rsidRDefault="00100553" w:rsidP="00477A61">
      <w:pPr>
        <w:tabs>
          <w:tab w:val="left" w:pos="1193"/>
        </w:tabs>
        <w:rPr>
          <w:rFonts w:asciiTheme="minorHAnsi" w:hAnsiTheme="minorHAnsi" w:cstheme="minorHAnsi"/>
          <w:sz w:val="22"/>
          <w:szCs w:val="22"/>
        </w:rPr>
      </w:pPr>
    </w:p>
    <w:p w14:paraId="2BF9EBD2" w14:textId="77777777" w:rsidR="00100553" w:rsidRPr="00E01239" w:rsidRDefault="00100553" w:rsidP="00477A61">
      <w:pPr>
        <w:tabs>
          <w:tab w:val="left" w:pos="1193"/>
        </w:tabs>
        <w:rPr>
          <w:rFonts w:asciiTheme="minorHAnsi" w:hAnsiTheme="minorHAnsi" w:cstheme="minorHAnsi"/>
          <w:sz w:val="22"/>
          <w:szCs w:val="22"/>
        </w:rPr>
      </w:pPr>
    </w:p>
    <w:p w14:paraId="1A7C7A9E" w14:textId="77777777" w:rsidR="00477A61" w:rsidRPr="00E01239" w:rsidRDefault="00477A61" w:rsidP="00477A61">
      <w:pPr>
        <w:tabs>
          <w:tab w:val="left" w:pos="1193"/>
        </w:tabs>
        <w:rPr>
          <w:rFonts w:asciiTheme="minorHAnsi" w:hAnsiTheme="minorHAnsi" w:cstheme="minorHAnsi"/>
          <w:sz w:val="22"/>
          <w:szCs w:val="22"/>
        </w:rPr>
      </w:pPr>
    </w:p>
    <w:p w14:paraId="3478B7AC" w14:textId="77777777" w:rsidR="00477A61" w:rsidRPr="00E01239" w:rsidRDefault="00477A61" w:rsidP="00477A61">
      <w:pPr>
        <w:tabs>
          <w:tab w:val="left" w:pos="1193"/>
        </w:tabs>
        <w:rPr>
          <w:rFonts w:asciiTheme="minorHAnsi" w:hAnsiTheme="minorHAnsi" w:cstheme="minorHAnsi"/>
          <w:sz w:val="22"/>
          <w:szCs w:val="22"/>
        </w:rPr>
      </w:pPr>
    </w:p>
    <w:p w14:paraId="162B04C6" w14:textId="77777777" w:rsidR="00477A61" w:rsidRPr="00E01239" w:rsidRDefault="00477A61" w:rsidP="00477A61">
      <w:pPr>
        <w:tabs>
          <w:tab w:val="left" w:pos="1193"/>
        </w:tabs>
        <w:rPr>
          <w:rFonts w:asciiTheme="minorHAnsi" w:hAnsiTheme="minorHAnsi" w:cstheme="minorHAnsi"/>
          <w:sz w:val="22"/>
          <w:szCs w:val="22"/>
        </w:rPr>
      </w:pPr>
    </w:p>
    <w:p w14:paraId="0B62D7C1" w14:textId="77777777" w:rsidR="00477A61" w:rsidRPr="00E01239" w:rsidRDefault="00477A61" w:rsidP="00477A61">
      <w:pPr>
        <w:tabs>
          <w:tab w:val="left" w:pos="1193"/>
        </w:tabs>
        <w:rPr>
          <w:rFonts w:asciiTheme="minorHAnsi" w:hAnsiTheme="minorHAnsi" w:cstheme="minorHAnsi"/>
          <w:sz w:val="22"/>
          <w:szCs w:val="22"/>
        </w:rPr>
      </w:pPr>
    </w:p>
    <w:p w14:paraId="69FBC6F3" w14:textId="77777777" w:rsidR="00477A61" w:rsidRPr="00E01239" w:rsidRDefault="00477A61" w:rsidP="00477A61">
      <w:pPr>
        <w:tabs>
          <w:tab w:val="left" w:pos="1193"/>
        </w:tabs>
        <w:rPr>
          <w:rFonts w:asciiTheme="minorHAnsi" w:hAnsiTheme="minorHAnsi" w:cstheme="minorHAnsi"/>
          <w:sz w:val="22"/>
          <w:szCs w:val="22"/>
        </w:rPr>
      </w:pPr>
    </w:p>
    <w:p w14:paraId="7B0C4F2F" w14:textId="77777777" w:rsidR="00477A61" w:rsidRPr="00E01239" w:rsidRDefault="00477A61" w:rsidP="00477A61">
      <w:pPr>
        <w:tabs>
          <w:tab w:val="left" w:pos="1193"/>
        </w:tabs>
        <w:rPr>
          <w:rFonts w:asciiTheme="minorHAnsi" w:hAnsiTheme="minorHAnsi" w:cstheme="minorHAnsi"/>
          <w:sz w:val="22"/>
          <w:szCs w:val="22"/>
        </w:rPr>
      </w:pPr>
    </w:p>
    <w:p w14:paraId="2246C865" w14:textId="77777777" w:rsidR="00477A61" w:rsidRPr="00E01239" w:rsidRDefault="00477A61" w:rsidP="00477A61">
      <w:pPr>
        <w:tabs>
          <w:tab w:val="left" w:pos="1193"/>
        </w:tabs>
        <w:rPr>
          <w:rFonts w:asciiTheme="minorHAnsi" w:hAnsiTheme="minorHAnsi" w:cstheme="minorHAnsi"/>
          <w:sz w:val="22"/>
          <w:szCs w:val="22"/>
        </w:rPr>
      </w:pPr>
    </w:p>
    <w:p w14:paraId="10828A29" w14:textId="77777777" w:rsidR="00477A61" w:rsidRPr="00E01239" w:rsidRDefault="00477A61" w:rsidP="00477A61">
      <w:pPr>
        <w:tabs>
          <w:tab w:val="left" w:pos="1193"/>
        </w:tabs>
        <w:rPr>
          <w:rFonts w:asciiTheme="minorHAnsi" w:hAnsiTheme="minorHAnsi" w:cstheme="minorHAnsi"/>
          <w:sz w:val="22"/>
          <w:szCs w:val="22"/>
        </w:rPr>
      </w:pPr>
    </w:p>
    <w:p w14:paraId="7AFAF499" w14:textId="1285523E" w:rsidR="00477A61" w:rsidRPr="00E01239" w:rsidRDefault="00477A61" w:rsidP="00477A61">
      <w:pPr>
        <w:pStyle w:val="Titre1"/>
        <w:keepNext w:val="0"/>
        <w:keepLines w:val="0"/>
        <w:pBdr>
          <w:top w:val="single" w:sz="12" w:space="1" w:color="5B9BD5"/>
          <w:bottom w:val="single" w:sz="12" w:space="1" w:color="5B9BD5"/>
        </w:pBdr>
        <w:shd w:val="clear" w:color="auto" w:fill="DEEAF6"/>
        <w:tabs>
          <w:tab w:val="left" w:pos="284"/>
        </w:tabs>
        <w:suppressAutoHyphens/>
        <w:spacing w:before="0"/>
        <w:ind w:right="-1"/>
        <w:jc w:val="center"/>
        <w:rPr>
          <w:rFonts w:asciiTheme="minorHAnsi" w:hAnsiTheme="minorHAnsi" w:cstheme="minorHAnsi"/>
          <w:caps/>
          <w:color w:val="5B9BD5"/>
          <w:sz w:val="48"/>
          <w:szCs w:val="48"/>
        </w:rPr>
      </w:pPr>
      <w:bookmarkStart w:id="1587" w:name="_Toc87530533"/>
      <w:bookmarkStart w:id="1588" w:name="_Toc88771509"/>
      <w:bookmarkStart w:id="1589" w:name="_Toc88861275"/>
      <w:bookmarkStart w:id="1590" w:name="_Toc88861313"/>
      <w:bookmarkStart w:id="1591" w:name="_Toc88861492"/>
      <w:bookmarkStart w:id="1592" w:name="_Toc130714117"/>
      <w:bookmarkStart w:id="1593" w:name="_Toc130755171"/>
      <w:bookmarkStart w:id="1594" w:name="_Toc130857883"/>
      <w:bookmarkStart w:id="1595" w:name="_Toc130858022"/>
      <w:bookmarkStart w:id="1596" w:name="_Toc142378231"/>
      <w:bookmarkStart w:id="1597" w:name="_Toc142847799"/>
      <w:bookmarkStart w:id="1598" w:name="_Toc142854000"/>
      <w:bookmarkStart w:id="1599" w:name="_Toc142854052"/>
      <w:bookmarkStart w:id="1600" w:name="_Toc144654180"/>
      <w:r w:rsidRPr="00E01239">
        <w:rPr>
          <w:rFonts w:asciiTheme="minorHAnsi" w:hAnsiTheme="minorHAnsi" w:cstheme="minorHAnsi"/>
          <w:caps/>
          <w:color w:val="5B9BD5"/>
          <w:sz w:val="48"/>
          <w:szCs w:val="48"/>
        </w:rPr>
        <w:t xml:space="preserve">ANNEXE </w:t>
      </w:r>
      <w:r w:rsidRPr="00E01239">
        <w:rPr>
          <w:rFonts w:asciiTheme="minorHAnsi" w:hAnsiTheme="minorHAnsi" w:cstheme="minorHAnsi"/>
          <w:caps/>
          <w:color w:val="5B9BD5"/>
          <w:sz w:val="48"/>
          <w:szCs w:val="48"/>
        </w:rPr>
        <w:fldChar w:fldCharType="begin"/>
      </w:r>
      <w:r w:rsidRPr="00E01239">
        <w:rPr>
          <w:rFonts w:asciiTheme="minorHAnsi" w:hAnsiTheme="minorHAnsi" w:cstheme="minorHAnsi"/>
          <w:caps/>
          <w:color w:val="5B9BD5"/>
          <w:sz w:val="48"/>
          <w:szCs w:val="48"/>
        </w:rPr>
        <w:instrText xml:space="preserve"> SEQ Annexe \* ARABIC </w:instrText>
      </w:r>
      <w:r w:rsidRPr="00E01239">
        <w:rPr>
          <w:rFonts w:asciiTheme="minorHAnsi" w:hAnsiTheme="minorHAnsi" w:cstheme="minorHAnsi"/>
          <w:caps/>
          <w:color w:val="5B9BD5"/>
          <w:sz w:val="48"/>
          <w:szCs w:val="48"/>
        </w:rPr>
        <w:fldChar w:fldCharType="separate"/>
      </w:r>
      <w:r w:rsidR="00F73EAB" w:rsidRPr="00E01239">
        <w:rPr>
          <w:rFonts w:asciiTheme="minorHAnsi" w:hAnsiTheme="minorHAnsi" w:cstheme="minorHAnsi"/>
          <w:caps/>
          <w:noProof/>
          <w:color w:val="5B9BD5"/>
          <w:sz w:val="48"/>
          <w:szCs w:val="48"/>
        </w:rPr>
        <w:t>7</w:t>
      </w:r>
      <w:r w:rsidRPr="00E01239">
        <w:rPr>
          <w:rFonts w:asciiTheme="minorHAnsi" w:hAnsiTheme="minorHAnsi" w:cstheme="minorHAnsi"/>
          <w:caps/>
          <w:color w:val="5B9BD5"/>
          <w:sz w:val="48"/>
          <w:szCs w:val="48"/>
        </w:rPr>
        <w:fldChar w:fldCharType="end"/>
      </w:r>
      <w:r w:rsidRPr="00E01239">
        <w:rPr>
          <w:rFonts w:asciiTheme="minorHAnsi" w:hAnsiTheme="minorHAnsi" w:cstheme="minorHAnsi"/>
          <w:caps/>
          <w:color w:val="5B9BD5"/>
          <w:sz w:val="48"/>
          <w:szCs w:val="48"/>
        </w:rPr>
        <w:t> : PROCES VERBAUX</w:t>
      </w:r>
      <w:r w:rsidR="000A416E" w:rsidRPr="00E01239">
        <w:rPr>
          <w:rFonts w:asciiTheme="minorHAnsi" w:hAnsiTheme="minorHAnsi" w:cstheme="minorHAnsi"/>
          <w:caps/>
          <w:color w:val="5B9BD5"/>
          <w:sz w:val="48"/>
          <w:szCs w:val="48"/>
        </w:rPr>
        <w:t xml:space="preserve">, COMPTES RENDUS </w:t>
      </w:r>
      <w:r w:rsidRPr="00E01239">
        <w:rPr>
          <w:rFonts w:asciiTheme="minorHAnsi" w:hAnsiTheme="minorHAnsi" w:cstheme="minorHAnsi"/>
          <w:caps/>
          <w:color w:val="5B9BD5"/>
          <w:sz w:val="48"/>
          <w:szCs w:val="48"/>
        </w:rPr>
        <w:t>ET LISTE DE PRESENCE DES CONSULTATIONS DES PARTIES PRENANTES</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08868A25" w14:textId="77777777" w:rsidR="00477A61" w:rsidRPr="00E01239" w:rsidRDefault="00477A61" w:rsidP="00477A61">
      <w:pPr>
        <w:tabs>
          <w:tab w:val="left" w:pos="1042"/>
        </w:tabs>
        <w:rPr>
          <w:rFonts w:asciiTheme="minorHAnsi" w:hAnsiTheme="minorHAnsi" w:cstheme="minorHAnsi"/>
          <w:sz w:val="22"/>
          <w:szCs w:val="22"/>
        </w:rPr>
      </w:pPr>
    </w:p>
    <w:p w14:paraId="2C6E6AF6" w14:textId="580461E1" w:rsidR="00F72303" w:rsidRPr="00294129" w:rsidRDefault="00F72303" w:rsidP="00F72303">
      <w:pPr>
        <w:jc w:val="center"/>
        <w:rPr>
          <w:rFonts w:asciiTheme="minorHAnsi" w:hAnsiTheme="minorHAnsi" w:cstheme="minorHAnsi"/>
          <w:b/>
          <w:sz w:val="22"/>
          <w:szCs w:val="22"/>
        </w:rPr>
      </w:pPr>
      <w:r w:rsidRPr="00E01239">
        <w:rPr>
          <w:rFonts w:asciiTheme="minorHAnsi" w:hAnsiTheme="minorHAnsi" w:cstheme="minorHAnsi"/>
          <w:b/>
          <w:sz w:val="22"/>
          <w:szCs w:val="22"/>
        </w:rPr>
        <w:t>(Voir volume séparé pour des raisons de confidentialité des données personnelles des personnes consultées)</w:t>
      </w:r>
    </w:p>
    <w:p w14:paraId="553C91BC" w14:textId="77777777" w:rsidR="00477A61" w:rsidRPr="00294129" w:rsidRDefault="00477A61" w:rsidP="00477A61">
      <w:pPr>
        <w:pStyle w:val="Niv6"/>
        <w:rPr>
          <w:rFonts w:asciiTheme="minorHAnsi" w:hAnsiTheme="minorHAnsi" w:cstheme="minorHAnsi"/>
        </w:rPr>
      </w:pPr>
    </w:p>
    <w:p w14:paraId="0FAFB35D" w14:textId="77777777" w:rsidR="00477A61" w:rsidRPr="00294129" w:rsidRDefault="00477A61" w:rsidP="00477A61">
      <w:pPr>
        <w:pStyle w:val="Niv6"/>
        <w:rPr>
          <w:rFonts w:asciiTheme="minorHAnsi" w:hAnsiTheme="minorHAnsi" w:cstheme="minorHAnsi"/>
        </w:rPr>
      </w:pPr>
    </w:p>
    <w:p w14:paraId="6280B6FF" w14:textId="77777777" w:rsidR="00477A61" w:rsidRPr="00294129" w:rsidRDefault="00477A61" w:rsidP="00477A61">
      <w:pPr>
        <w:pStyle w:val="Niv6"/>
        <w:rPr>
          <w:rFonts w:asciiTheme="minorHAnsi" w:hAnsiTheme="minorHAnsi" w:cstheme="minorHAnsi"/>
        </w:rPr>
      </w:pPr>
    </w:p>
    <w:p w14:paraId="7EF94806" w14:textId="77777777" w:rsidR="007938B9" w:rsidRPr="00294129" w:rsidRDefault="007938B9" w:rsidP="00450D60">
      <w:pPr>
        <w:rPr>
          <w:rFonts w:asciiTheme="minorHAnsi" w:hAnsiTheme="minorHAnsi" w:cstheme="minorHAnsi"/>
          <w:sz w:val="22"/>
          <w:szCs w:val="22"/>
        </w:rPr>
      </w:pPr>
      <w:bookmarkStart w:id="1601" w:name="_Toc26505018"/>
      <w:bookmarkEnd w:id="1195"/>
      <w:bookmarkEnd w:id="1196"/>
    </w:p>
    <w:bookmarkEnd w:id="0"/>
    <w:bookmarkEnd w:id="605"/>
    <w:bookmarkEnd w:id="1601"/>
    <w:p w14:paraId="02DE4C7F" w14:textId="00B027B3" w:rsidR="00450D60" w:rsidRPr="00294129" w:rsidRDefault="00450D60" w:rsidP="00450D60">
      <w:pPr>
        <w:rPr>
          <w:rFonts w:asciiTheme="minorHAnsi" w:hAnsiTheme="minorHAnsi" w:cstheme="minorHAnsi"/>
          <w:sz w:val="22"/>
          <w:szCs w:val="22"/>
        </w:rPr>
      </w:pPr>
    </w:p>
    <w:sectPr w:rsidR="00450D60" w:rsidRPr="00294129" w:rsidSect="00DA561C">
      <w:footerReference w:type="default" r:id="rId33"/>
      <w:type w:val="continuous"/>
      <w:pgSz w:w="11907" w:h="16840"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74A91" w14:textId="77777777" w:rsidR="00A26908" w:rsidRDefault="00A26908">
      <w:r>
        <w:separator/>
      </w:r>
    </w:p>
  </w:endnote>
  <w:endnote w:type="continuationSeparator" w:id="0">
    <w:p w14:paraId="60D76B35" w14:textId="77777777" w:rsidR="00A26908" w:rsidRDefault="00A26908">
      <w:r>
        <w:continuationSeparator/>
      </w:r>
    </w:p>
  </w:endnote>
  <w:endnote w:type="continuationNotice" w:id="1">
    <w:p w14:paraId="73C4BFA4" w14:textId="77777777" w:rsidR="00A26908" w:rsidRDefault="00A269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 New Roman Bold">
    <w:altName w:val="Times New Roman"/>
    <w:charset w:val="00"/>
    <w:family w:val="auto"/>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mble Lt">
    <w:altName w:val="Amble L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roman"/>
    <w:notTrueType/>
    <w:pitch w:val="default"/>
  </w:font>
  <w:font w:name="Adobe Garamond Pro">
    <w:altName w:val="Garamond"/>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Optima">
    <w:altName w:val="Calibri"/>
    <w:panose1 w:val="00000000000000000000"/>
    <w:charset w:val="00"/>
    <w:family w:val="auto"/>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Gras">
    <w:altName w:val="Times New Roman"/>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iraSans-Light">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DEA8" w14:textId="6ED6CF94" w:rsidR="007D4EA2" w:rsidRDefault="00610B26">
    <w:pPr>
      <w:pStyle w:val="Pieddepage"/>
    </w:pPr>
    <w:r>
      <w:rPr>
        <w:noProof/>
      </w:rPr>
      <mc:AlternateContent>
        <mc:Choice Requires="wps">
          <w:drawing>
            <wp:anchor distT="0" distB="0" distL="114300" distR="114300" simplePos="0" relativeHeight="251669504" behindDoc="0" locked="0" layoutInCell="0" allowOverlap="1" wp14:anchorId="41E65DF9" wp14:editId="0B15B28E">
              <wp:simplePos x="0" y="0"/>
              <wp:positionH relativeFrom="page">
                <wp:align>right</wp:align>
              </wp:positionH>
              <wp:positionV relativeFrom="page">
                <wp:align>bottom</wp:align>
              </wp:positionV>
              <wp:extent cx="7772400" cy="463550"/>
              <wp:effectExtent l="0" t="0" r="0" b="12700"/>
              <wp:wrapNone/>
              <wp:docPr id="7" name="MSIPCMbf78455b8a7c85de1a2f68b6"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30C23A" w14:textId="6BB94F39" w:rsidR="00610B26" w:rsidRPr="00723572" w:rsidRDefault="00723572" w:rsidP="00723572">
                          <w:pPr>
                            <w:jc w:val="right"/>
                            <w:rPr>
                              <w:rFonts w:ascii="Calibri" w:hAnsi="Calibri" w:cs="Calibri"/>
                              <w:color w:val="000000"/>
                            </w:rPr>
                          </w:pPr>
                          <w:r w:rsidRPr="00723572">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41E65DF9" id="_x0000_t202" coordsize="21600,21600" o:spt="202" path="m,l,21600r21600,l21600,xe">
              <v:stroke joinstyle="miter"/>
              <v:path gradientshapeok="t" o:connecttype="rect"/>
            </v:shapetype>
            <v:shape id="MSIPCMbf78455b8a7c85de1a2f68b6" o:spid="_x0000_s1027" type="#_x0000_t202" alt="{&quot;HashCode&quot;:1990712160,&quot;Height&quot;:9999999.0,&quot;Width&quot;:9999999.0,&quot;Placement&quot;:&quot;Footer&quot;,&quot;Index&quot;:&quot;Primary&quot;,&quot;Section&quot;:1,&quot;Top&quot;:0.0,&quot;Left&quot;:0.0}" style="position:absolute;margin-left:560.8pt;margin-top:0;width:612pt;height:36.5pt;z-index:25166950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1230C23A" w14:textId="6BB94F39" w:rsidR="00610B26" w:rsidRPr="00723572" w:rsidRDefault="00723572" w:rsidP="00723572">
                    <w:pPr>
                      <w:jc w:val="right"/>
                      <w:rPr>
                        <w:rFonts w:ascii="Calibri" w:hAnsi="Calibri" w:cs="Calibri"/>
                        <w:color w:val="000000"/>
                      </w:rPr>
                    </w:pPr>
                    <w:r w:rsidRPr="00723572">
                      <w:rPr>
                        <w:rFonts w:ascii="Calibri" w:hAnsi="Calibri" w:cs="Calibri"/>
                        <w:color w:val="000000"/>
                      </w:rPr>
                      <w:t>Official Use</w:t>
                    </w:r>
                  </w:p>
                </w:txbxContent>
              </v:textbox>
              <w10:wrap anchorx="page" anchory="page"/>
            </v:shape>
          </w:pict>
        </mc:Fallback>
      </mc:AlternateContent>
    </w:r>
    <w:r w:rsidR="002D77D3">
      <w:rPr>
        <w:noProof/>
      </w:rPr>
      <mc:AlternateContent>
        <mc:Choice Requires="wps">
          <w:drawing>
            <wp:anchor distT="0" distB="0" distL="114300" distR="114300" simplePos="0" relativeHeight="251663360" behindDoc="0" locked="0" layoutInCell="0" allowOverlap="1" wp14:anchorId="735B60F2" wp14:editId="12C5B8C6">
              <wp:simplePos x="0" y="0"/>
              <wp:positionH relativeFrom="page">
                <wp:align>right</wp:align>
              </wp:positionH>
              <wp:positionV relativeFrom="page">
                <wp:align>bottom</wp:align>
              </wp:positionV>
              <wp:extent cx="7772400" cy="463550"/>
              <wp:effectExtent l="0" t="0" r="0" b="12700"/>
              <wp:wrapNone/>
              <wp:docPr id="13" name="Text Box 13"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3BF627" w14:textId="1EE1D1BB" w:rsidR="002D77D3" w:rsidRPr="002D77D3" w:rsidRDefault="002D77D3" w:rsidP="002D77D3">
                          <w:pPr>
                            <w:jc w:val="right"/>
                            <w:rPr>
                              <w:rFonts w:ascii="Calibri" w:hAnsi="Calibri" w:cs="Calibri"/>
                              <w:color w:val="000000"/>
                            </w:rPr>
                          </w:pPr>
                          <w:r w:rsidRPr="002D77D3">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735B60F2" id="Text Box 13" o:spid="_x0000_s1028" type="#_x0000_t202" alt="{&quot;HashCode&quot;:1990712160,&quot;Height&quot;:9999999.0,&quot;Width&quot;:9999999.0,&quot;Placement&quot;:&quot;Footer&quot;,&quot;Index&quot;:&quot;Primary&quot;,&quot;Section&quot;:1,&quot;Top&quot;:0.0,&quot;Left&quot;:0.0}" style="position:absolute;margin-left:560.8pt;margin-top:0;width:612pt;height:36.5pt;z-index:25166336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4B3BF627" w14:textId="1EE1D1BB" w:rsidR="002D77D3" w:rsidRPr="002D77D3" w:rsidRDefault="002D77D3" w:rsidP="002D77D3">
                    <w:pPr>
                      <w:jc w:val="right"/>
                      <w:rPr>
                        <w:rFonts w:ascii="Calibri" w:hAnsi="Calibri" w:cs="Calibri"/>
                        <w:color w:val="000000"/>
                      </w:rPr>
                    </w:pPr>
                    <w:r w:rsidRPr="002D77D3">
                      <w:rPr>
                        <w:rFonts w:ascii="Calibri" w:hAnsi="Calibri" w:cs="Calibri"/>
                        <w:color w:val="000000"/>
                      </w:rPr>
                      <w:t>Official Use</w:t>
                    </w:r>
                  </w:p>
                </w:txbxContent>
              </v:textbox>
              <w10:wrap anchorx="page" anchory="page"/>
            </v:shape>
          </w:pict>
        </mc:Fallback>
      </mc:AlternateContent>
    </w:r>
    <w:r w:rsidR="007D4EA2">
      <w:rPr>
        <w:noProof/>
      </w:rPr>
      <mc:AlternateContent>
        <mc:Choice Requires="wps">
          <w:drawing>
            <wp:anchor distT="0" distB="0" distL="114300" distR="114300" simplePos="0" relativeHeight="251656192" behindDoc="0" locked="0" layoutInCell="0" allowOverlap="1" wp14:anchorId="6E714BFC" wp14:editId="5D93BE42">
              <wp:simplePos x="0" y="0"/>
              <wp:positionH relativeFrom="page">
                <wp:align>right</wp:align>
              </wp:positionH>
              <wp:positionV relativeFrom="page">
                <wp:align>bottom</wp:align>
              </wp:positionV>
              <wp:extent cx="7772400" cy="463550"/>
              <wp:effectExtent l="0" t="0" r="0" b="12700"/>
              <wp:wrapNone/>
              <wp:docPr id="2" name="Text Box 2"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DB5A3C" w14:textId="709ECC17" w:rsidR="007D4EA2" w:rsidRPr="00557597" w:rsidRDefault="00557597" w:rsidP="00557597">
                          <w:pPr>
                            <w:jc w:val="right"/>
                            <w:rPr>
                              <w:rFonts w:ascii="Calibri" w:hAnsi="Calibri" w:cs="Calibri"/>
                              <w:color w:val="000000"/>
                            </w:rPr>
                          </w:pPr>
                          <w:r w:rsidRPr="00557597">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6E714BFC" id="Text Box 2" o:spid="_x0000_s1029" type="#_x0000_t202" alt="{&quot;HashCode&quot;:1990712160,&quot;Height&quot;:9999999.0,&quot;Width&quot;:9999999.0,&quot;Placement&quot;:&quot;Footer&quot;,&quot;Index&quot;:&quot;Primary&quot;,&quot;Section&quot;:1,&quot;Top&quot;:0.0,&quot;Left&quot;:0.0}" style="position:absolute;margin-left:560.8pt;margin-top:0;width:612pt;height:36.5pt;z-index:25165619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u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P0jGG4cAgAALgQAAA4AAAAAAAAAAAAAAAAALgIAAGRycy9lMm9Eb2MueG1sUEsBAi0AFAAG&#10;AAgAAAAhAM++O6HaAAAABQEAAA8AAAAAAAAAAAAAAAAAdgQAAGRycy9kb3ducmV2LnhtbFBLBQYA&#10;AAAABAAEAPMAAAB9BQAAAAA=&#10;" o:allowincell="f" filled="f" stroked="f" strokeweight=".5pt">
              <v:textbox inset=",0,20pt,0">
                <w:txbxContent>
                  <w:p w14:paraId="36DB5A3C" w14:textId="709ECC17" w:rsidR="007D4EA2" w:rsidRPr="00557597" w:rsidRDefault="00557597" w:rsidP="00557597">
                    <w:pPr>
                      <w:jc w:val="right"/>
                      <w:rPr>
                        <w:rFonts w:ascii="Calibri" w:hAnsi="Calibri" w:cs="Calibri"/>
                        <w:color w:val="000000"/>
                      </w:rPr>
                    </w:pPr>
                    <w:r w:rsidRPr="00557597">
                      <w:rPr>
                        <w:rFonts w:ascii="Calibri" w:hAnsi="Calibri" w:cs="Calibri"/>
                        <w:color w:val="000000"/>
                      </w:rPr>
                      <w:t>Official Use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C9E1" w14:textId="6C375D5D" w:rsidR="007D4EA2" w:rsidRPr="003F451F" w:rsidRDefault="007D4EA2" w:rsidP="00477A61">
    <w:pPr>
      <w:keepLines/>
      <w:tabs>
        <w:tab w:val="center" w:pos="4536"/>
        <w:tab w:val="right" w:pos="9072"/>
      </w:tabs>
      <w:jc w:val="right"/>
      <w:rPr>
        <w:rFonts w:ascii="Arial" w:hAnsi="Arial" w:cs="Arial"/>
        <w:noProof/>
        <w:sz w:val="16"/>
        <w:szCs w:val="16"/>
      </w:rPr>
    </w:pPr>
    <w:r w:rsidRPr="00221377">
      <w:rPr>
        <w:rFonts w:ascii="Arial" w:hAnsi="Arial" w:cs="Arial"/>
        <w:noProof/>
        <w:sz w:val="16"/>
        <w:szCs w:val="16"/>
      </w:rPr>
      <w:t xml:space="preserve">Page </w:t>
    </w:r>
    <w:r w:rsidRPr="00221377">
      <w:rPr>
        <w:rFonts w:ascii="Arial" w:hAnsi="Arial" w:cs="Arial"/>
        <w:noProof/>
        <w:sz w:val="16"/>
        <w:szCs w:val="16"/>
      </w:rPr>
      <w:fldChar w:fldCharType="begin"/>
    </w:r>
    <w:r w:rsidRPr="00221377">
      <w:rPr>
        <w:rFonts w:ascii="Arial" w:hAnsi="Arial" w:cs="Arial"/>
        <w:noProof/>
        <w:sz w:val="16"/>
        <w:szCs w:val="16"/>
      </w:rPr>
      <w:instrText xml:space="preserve"> PAGE </w:instrText>
    </w:r>
    <w:r w:rsidRPr="00221377">
      <w:rPr>
        <w:rFonts w:ascii="Arial" w:hAnsi="Arial" w:cs="Arial"/>
        <w:noProof/>
        <w:sz w:val="16"/>
        <w:szCs w:val="16"/>
      </w:rPr>
      <w:fldChar w:fldCharType="separate"/>
    </w:r>
    <w:r w:rsidR="007243AA">
      <w:rPr>
        <w:rFonts w:ascii="Arial" w:hAnsi="Arial" w:cs="Arial"/>
        <w:noProof/>
        <w:sz w:val="16"/>
        <w:szCs w:val="16"/>
      </w:rPr>
      <w:t>191</w:t>
    </w:r>
    <w:r w:rsidRPr="00221377">
      <w:rPr>
        <w:rFonts w:ascii="Arial" w:hAnsi="Arial" w:cs="Arial"/>
        <w:noProof/>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39549" w14:textId="77777777" w:rsidR="007D4EA2" w:rsidRDefault="007D4E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A48C5" w14:textId="4C7F0165" w:rsidR="007D4EA2" w:rsidRDefault="007D4EA2">
    <w:pPr>
      <w:pStyle w:val="Pieddepage"/>
    </w:pPr>
    <w:r>
      <w:rPr>
        <w:noProof/>
      </w:rPr>
      <mc:AlternateContent>
        <mc:Choice Requires="wps">
          <w:drawing>
            <wp:anchor distT="0" distB="0" distL="114300" distR="114300" simplePos="0" relativeHeight="251651072" behindDoc="0" locked="0" layoutInCell="0" allowOverlap="1" wp14:anchorId="3F656512" wp14:editId="28FC8F91">
              <wp:simplePos x="0" y="9403953"/>
              <wp:positionH relativeFrom="page">
                <wp:align>right</wp:align>
              </wp:positionH>
              <wp:positionV relativeFrom="page">
                <wp:align>bottom</wp:align>
              </wp:positionV>
              <wp:extent cx="7772400" cy="463550"/>
              <wp:effectExtent l="0" t="0" r="0" b="12700"/>
              <wp:wrapNone/>
              <wp:docPr id="8" name="Text Box 8" descr="{&quot;HashCode&quot;:199071216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1A7A7B" w14:textId="7ADB44C1" w:rsidR="007D4EA2" w:rsidRPr="00C75F5C" w:rsidRDefault="007D4EA2" w:rsidP="00C75F5C">
                          <w:pPr>
                            <w:jc w:val="right"/>
                            <w:rPr>
                              <w:rFonts w:ascii="Calibri" w:hAnsi="Calibri" w:cs="Calibri"/>
                              <w:color w:val="000000"/>
                            </w:rPr>
                          </w:pPr>
                          <w:r w:rsidRPr="00C75F5C">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F656512" id="_x0000_t202" coordsize="21600,21600" o:spt="202" path="m,l,21600r21600,l21600,xe">
              <v:stroke joinstyle="miter"/>
              <v:path gradientshapeok="t" o:connecttype="rect"/>
            </v:shapetype>
            <v:shape id="Text Box 8" o:spid="_x0000_s1030" type="#_x0000_t202" alt="{&quot;HashCode&quot;:1990712160,&quot;Height&quot;:9999999.0,&quot;Width&quot;:9999999.0,&quot;Placement&quot;:&quot;Footer&quot;,&quot;Index&quot;:&quot;FirstPage&quot;,&quot;Section&quot;:1,&quot;Top&quot;:0.0,&quot;Left&quot;:0.0}" style="position:absolute;margin-left:560.8pt;margin-top:0;width:612pt;height:36.5pt;z-index:25165107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j9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fB5Pp3HXkoKCS8Jkhhih&#10;thvM5tA8AK7lGH+I5UmMwUEPonTQvOF6r2I5dDHDsWhJeXCD8hD6XcYPwsVqlcJwsSwLG7O1PCaP&#10;gEZwX7s35uyZgYDcPcGwX6x4R0Qf21OxOgSQKrEUIe4BPSOPS5nIO3+guPW/6ynq+s2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JdneP0cAgAALgQAAA4AAAAAAAAAAAAAAAAALgIAAGRycy9lMm9Eb2MueG1sUEsBAi0AFAAG&#10;AAgAAAAhAM++O6HaAAAABQEAAA8AAAAAAAAAAAAAAAAAdgQAAGRycy9kb3ducmV2LnhtbFBLBQYA&#10;AAAABAAEAPMAAAB9BQAAAAA=&#10;" o:allowincell="f" filled="f" stroked="f" strokeweight=".5pt">
              <v:textbox inset=",0,20pt,0">
                <w:txbxContent>
                  <w:p w14:paraId="681A7A7B" w14:textId="7ADB44C1" w:rsidR="007D4EA2" w:rsidRPr="00C75F5C" w:rsidRDefault="007D4EA2" w:rsidP="00C75F5C">
                    <w:pPr>
                      <w:jc w:val="right"/>
                      <w:rPr>
                        <w:rFonts w:ascii="Calibri" w:hAnsi="Calibri" w:cs="Calibri"/>
                        <w:color w:val="000000"/>
                      </w:rPr>
                    </w:pPr>
                    <w:r w:rsidRPr="00C75F5C">
                      <w:rPr>
                        <w:rFonts w:ascii="Calibri" w:hAnsi="Calibri" w:cs="Calibri"/>
                        <w:color w:val="000000"/>
                      </w:rPr>
                      <w:t>Official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BF8A" w14:textId="04BD8831" w:rsidR="007D4EA2" w:rsidRDefault="00610B26" w:rsidP="000A38BF">
    <w:pPr>
      <w:pStyle w:val="BoulletsR1"/>
      <w:numPr>
        <w:ilvl w:val="0"/>
        <w:numId w:val="0"/>
      </w:numPr>
      <w:pBdr>
        <w:bottom w:val="single" w:sz="2" w:space="1" w:color="00B050"/>
      </w:pBdr>
      <w:jc w:val="right"/>
    </w:pPr>
    <w:r>
      <w:rPr>
        <w:noProof/>
        <w:lang w:val="fr-FR"/>
      </w:rPr>
      <mc:AlternateContent>
        <mc:Choice Requires="wps">
          <w:drawing>
            <wp:anchor distT="0" distB="0" distL="114300" distR="114300" simplePos="0" relativeHeight="251667457" behindDoc="0" locked="0" layoutInCell="0" allowOverlap="1" wp14:anchorId="761E7AFE" wp14:editId="1D102641">
              <wp:simplePos x="0" y="0"/>
              <wp:positionH relativeFrom="page">
                <wp:align>right</wp:align>
              </wp:positionH>
              <wp:positionV relativeFrom="page">
                <wp:align>bottom</wp:align>
              </wp:positionV>
              <wp:extent cx="7772400" cy="463550"/>
              <wp:effectExtent l="0" t="0" r="0" b="12700"/>
              <wp:wrapNone/>
              <wp:docPr id="9" name="MSIPCM40f54313a7aa82314e0f73c3" descr="{&quot;HashCode&quot;:199071216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118BF" w14:textId="0AF5A0A7" w:rsidR="00610B26" w:rsidRPr="00723572" w:rsidRDefault="00723572" w:rsidP="00723572">
                          <w:pPr>
                            <w:jc w:val="right"/>
                            <w:rPr>
                              <w:rFonts w:ascii="Calibri" w:hAnsi="Calibri" w:cs="Calibri"/>
                              <w:color w:val="000000"/>
                            </w:rPr>
                          </w:pPr>
                          <w:r w:rsidRPr="00723572">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61E7AFE" id="_x0000_t202" coordsize="21600,21600" o:spt="202" path="m,l,21600r21600,l21600,xe">
              <v:stroke joinstyle="miter"/>
              <v:path gradientshapeok="t" o:connecttype="rect"/>
            </v:shapetype>
            <v:shape id="MSIPCM40f54313a7aa82314e0f73c3" o:spid="_x0000_s1031" type="#_x0000_t202" alt="{&quot;HashCode&quot;:1990712160,&quot;Height&quot;:9999999.0,&quot;Width&quot;:9999999.0,&quot;Placement&quot;:&quot;Footer&quot;,&quot;Index&quot;:&quot;Primary&quot;,&quot;Section&quot;:2,&quot;Top&quot;:0.0,&quot;Left&quot;:0.0}" style="position:absolute;left:0;text-align:left;margin-left:560.8pt;margin-top:0;width:612pt;height:36.5pt;z-index:251667457;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uz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" o:allowincell="f" filled="f" stroked="f" strokeweight=".5pt">
              <v:textbox inset=",0,20pt,0">
                <w:txbxContent>
                  <w:p w14:paraId="1A1118BF" w14:textId="0AF5A0A7" w:rsidR="00610B26" w:rsidRPr="00723572" w:rsidRDefault="00723572" w:rsidP="00723572">
                    <w:pPr>
                      <w:jc w:val="right"/>
                      <w:rPr>
                        <w:rFonts w:ascii="Calibri" w:hAnsi="Calibri" w:cs="Calibri"/>
                        <w:color w:val="000000"/>
                      </w:rPr>
                    </w:pPr>
                    <w:r w:rsidRPr="00723572">
                      <w:rPr>
                        <w:rFonts w:ascii="Calibri" w:hAnsi="Calibri" w:cs="Calibri"/>
                        <w:color w:val="000000"/>
                      </w:rPr>
                      <w:t>Official Use</w:t>
                    </w:r>
                  </w:p>
                </w:txbxContent>
              </v:textbox>
              <w10:wrap anchorx="page" anchory="page"/>
            </v:shape>
          </w:pict>
        </mc:Fallback>
      </mc:AlternateContent>
    </w:r>
    <w:r w:rsidR="002D77D3">
      <w:rPr>
        <w:noProof/>
        <w:lang w:val="fr-FR"/>
      </w:rPr>
      <mc:AlternateContent>
        <mc:Choice Requires="wps">
          <w:drawing>
            <wp:anchor distT="0" distB="0" distL="114300" distR="114300" simplePos="0" relativeHeight="251658250" behindDoc="0" locked="0" layoutInCell="0" allowOverlap="1" wp14:anchorId="7CBC315E" wp14:editId="32BBD60F">
              <wp:simplePos x="0" y="0"/>
              <wp:positionH relativeFrom="page">
                <wp:align>right</wp:align>
              </wp:positionH>
              <wp:positionV relativeFrom="page">
                <wp:align>bottom</wp:align>
              </wp:positionV>
              <wp:extent cx="7772400" cy="463550"/>
              <wp:effectExtent l="0" t="0" r="0" b="12700"/>
              <wp:wrapNone/>
              <wp:docPr id="14" name="Text Box 14" descr="{&quot;HashCode&quot;:199071216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91B682" w14:textId="5FF6CE1B" w:rsidR="002D77D3" w:rsidRPr="002D77D3" w:rsidRDefault="002D77D3" w:rsidP="002D77D3">
                          <w:pPr>
                            <w:jc w:val="right"/>
                            <w:rPr>
                              <w:rFonts w:ascii="Calibri" w:hAnsi="Calibri" w:cs="Calibri"/>
                              <w:color w:val="000000"/>
                            </w:rPr>
                          </w:pPr>
                          <w:r w:rsidRPr="002D77D3">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7CBC315E" id="Text Box 14" o:spid="_x0000_s1032" type="#_x0000_t202" alt="{&quot;HashCode&quot;:1990712160,&quot;Height&quot;:9999999.0,&quot;Width&quot;:9999999.0,&quot;Placement&quot;:&quot;Footer&quot;,&quot;Index&quot;:&quot;Primary&quot;,&quot;Section&quot;:2,&quot;Top&quot;:0.0,&quot;Left&quot;:0.0}" style="position:absolute;left:0;text-align:left;margin-left:560.8pt;margin-top:0;width:612pt;height:36.5pt;z-index:25165825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sg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Gny2yAcAgAALgQAAA4AAAAAAAAAAAAAAAAALgIAAGRycy9lMm9Eb2MueG1sUEsBAi0AFAAG&#10;AAgAAAAhAM++O6HaAAAABQEAAA8AAAAAAAAAAAAAAAAAdgQAAGRycy9kb3ducmV2LnhtbFBLBQYA&#10;AAAABAAEAPMAAAB9BQAAAAA=&#10;" o:allowincell="f" filled="f" stroked="f" strokeweight=".5pt">
              <v:textbox inset=",0,20pt,0">
                <w:txbxContent>
                  <w:p w14:paraId="2891B682" w14:textId="5FF6CE1B" w:rsidR="002D77D3" w:rsidRPr="002D77D3" w:rsidRDefault="002D77D3" w:rsidP="002D77D3">
                    <w:pPr>
                      <w:jc w:val="right"/>
                      <w:rPr>
                        <w:rFonts w:ascii="Calibri" w:hAnsi="Calibri" w:cs="Calibri"/>
                        <w:color w:val="000000"/>
                      </w:rPr>
                    </w:pPr>
                    <w:r w:rsidRPr="002D77D3">
                      <w:rPr>
                        <w:rFonts w:ascii="Calibri" w:hAnsi="Calibri" w:cs="Calibri"/>
                        <w:color w:val="000000"/>
                      </w:rPr>
                      <w:t>Official Use</w:t>
                    </w:r>
                  </w:p>
                </w:txbxContent>
              </v:textbox>
              <w10:wrap anchorx="page" anchory="page"/>
            </v:shape>
          </w:pict>
        </mc:Fallback>
      </mc:AlternateContent>
    </w:r>
    <w:r w:rsidR="007D4EA2">
      <w:rPr>
        <w:noProof/>
        <w:lang w:val="fr-FR"/>
      </w:rPr>
      <mc:AlternateContent>
        <mc:Choice Requires="wps">
          <w:drawing>
            <wp:anchor distT="0" distB="0" distL="114300" distR="114300" simplePos="0" relativeHeight="251658240" behindDoc="0" locked="0" layoutInCell="1" allowOverlap="1" wp14:anchorId="6FD637C7" wp14:editId="7C1C8051">
              <wp:simplePos x="0" y="0"/>
              <wp:positionH relativeFrom="margin">
                <wp:posOffset>4723765</wp:posOffset>
              </wp:positionH>
              <wp:positionV relativeFrom="paragraph">
                <wp:posOffset>-150495</wp:posOffset>
              </wp:positionV>
              <wp:extent cx="981075" cy="238760"/>
              <wp:effectExtent l="0" t="0" r="0" b="0"/>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238760"/>
                      </a:xfrm>
                      <a:prstGeom prst="rect">
                        <a:avLst/>
                      </a:prstGeom>
                      <a:solidFill>
                        <a:sysClr val="window" lastClr="FFFFFF"/>
                      </a:solidFill>
                      <a:ln w="6350">
                        <a:noFill/>
                      </a:ln>
                      <a:effectLst/>
                    </wps:spPr>
                    <wps:txbx>
                      <w:txbxContent>
                        <w:p w14:paraId="7BC1A817" w14:textId="0ABC7F6A" w:rsidR="007D4EA2" w:rsidRPr="0052089C" w:rsidRDefault="007D4EA2" w:rsidP="007B6660">
                          <w:pPr>
                            <w:jc w:val="right"/>
                            <w:rPr>
                              <w:rFonts w:cs="Arial"/>
                              <w:color w:val="171717"/>
                              <w:sz w:val="14"/>
                              <w:szCs w:val="14"/>
                            </w:rPr>
                          </w:pPr>
                          <w:r w:rsidRPr="0052089C">
                            <w:rPr>
                              <w:rFonts w:cs="Arial"/>
                              <w:b/>
                              <w:color w:val="171717"/>
                              <w:sz w:val="14"/>
                              <w:szCs w:val="14"/>
                            </w:rPr>
                            <w:t xml:space="preserve">Page </w:t>
                          </w:r>
                          <w:r w:rsidRPr="0052089C">
                            <w:rPr>
                              <w:rFonts w:cs="Arial"/>
                              <w:color w:val="171717"/>
                              <w:sz w:val="14"/>
                              <w:szCs w:val="14"/>
                            </w:rPr>
                            <w:fldChar w:fldCharType="begin"/>
                          </w:r>
                          <w:r w:rsidRPr="0052089C">
                            <w:rPr>
                              <w:rFonts w:cs="Arial"/>
                              <w:color w:val="171717"/>
                              <w:sz w:val="14"/>
                              <w:szCs w:val="14"/>
                            </w:rPr>
                            <w:instrText xml:space="preserve"> PAGE </w:instrText>
                          </w:r>
                          <w:r w:rsidRPr="0052089C">
                            <w:rPr>
                              <w:rFonts w:cs="Arial"/>
                              <w:color w:val="171717"/>
                              <w:sz w:val="14"/>
                              <w:szCs w:val="14"/>
                            </w:rPr>
                            <w:fldChar w:fldCharType="separate"/>
                          </w:r>
                          <w:r w:rsidR="007243AA">
                            <w:rPr>
                              <w:rFonts w:cs="Arial"/>
                              <w:noProof/>
                              <w:color w:val="171717"/>
                              <w:sz w:val="14"/>
                              <w:szCs w:val="14"/>
                            </w:rPr>
                            <w:t>v</w:t>
                          </w:r>
                          <w:r w:rsidRPr="0052089C">
                            <w:rPr>
                              <w:rFonts w:cs="Arial"/>
                              <w:color w:val="171717"/>
                              <w:sz w:val="14"/>
                              <w:szCs w:val="14"/>
                            </w:rPr>
                            <w:fldChar w:fldCharType="end"/>
                          </w:r>
                        </w:p>
                        <w:p w14:paraId="4F5A6C8C" w14:textId="77777777" w:rsidR="007D4EA2" w:rsidRDefault="007D4EA2" w:rsidP="00363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37C7" id="Text Box 671" o:spid="_x0000_s1033" type="#_x0000_t202" style="position:absolute;left:0;text-align:left;margin-left:371.95pt;margin-top:-11.85pt;width:77.25pt;height:1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" fillcolor="window" stroked="f" strokeweight=".5pt">
              <v:textbox>
                <w:txbxContent>
                  <w:p w14:paraId="7BC1A817" w14:textId="0ABC7F6A" w:rsidR="007D4EA2" w:rsidRPr="0052089C" w:rsidRDefault="007D4EA2" w:rsidP="007B6660">
                    <w:pPr>
                      <w:jc w:val="right"/>
                      <w:rPr>
                        <w:rFonts w:cs="Arial"/>
                        <w:color w:val="171717"/>
                        <w:sz w:val="14"/>
                        <w:szCs w:val="14"/>
                      </w:rPr>
                    </w:pPr>
                    <w:r w:rsidRPr="0052089C">
                      <w:rPr>
                        <w:rFonts w:cs="Arial"/>
                        <w:b/>
                        <w:color w:val="171717"/>
                        <w:sz w:val="14"/>
                        <w:szCs w:val="14"/>
                      </w:rPr>
                      <w:t xml:space="preserve">Page </w:t>
                    </w:r>
                    <w:r w:rsidRPr="0052089C">
                      <w:rPr>
                        <w:rFonts w:cs="Arial"/>
                        <w:color w:val="171717"/>
                        <w:sz w:val="14"/>
                        <w:szCs w:val="14"/>
                      </w:rPr>
                      <w:fldChar w:fldCharType="begin"/>
                    </w:r>
                    <w:r w:rsidRPr="0052089C">
                      <w:rPr>
                        <w:rFonts w:cs="Arial"/>
                        <w:color w:val="171717"/>
                        <w:sz w:val="14"/>
                        <w:szCs w:val="14"/>
                      </w:rPr>
                      <w:instrText xml:space="preserve"> PAGE </w:instrText>
                    </w:r>
                    <w:r w:rsidRPr="0052089C">
                      <w:rPr>
                        <w:rFonts w:cs="Arial"/>
                        <w:color w:val="171717"/>
                        <w:sz w:val="14"/>
                        <w:szCs w:val="14"/>
                      </w:rPr>
                      <w:fldChar w:fldCharType="separate"/>
                    </w:r>
                    <w:r w:rsidR="007243AA">
                      <w:rPr>
                        <w:rFonts w:cs="Arial"/>
                        <w:noProof/>
                        <w:color w:val="171717"/>
                        <w:sz w:val="14"/>
                        <w:szCs w:val="14"/>
                      </w:rPr>
                      <w:t>v</w:t>
                    </w:r>
                    <w:r w:rsidRPr="0052089C">
                      <w:rPr>
                        <w:rFonts w:cs="Arial"/>
                        <w:color w:val="171717"/>
                        <w:sz w:val="14"/>
                        <w:szCs w:val="14"/>
                      </w:rPr>
                      <w:fldChar w:fldCharType="end"/>
                    </w:r>
                  </w:p>
                  <w:p w14:paraId="4F5A6C8C" w14:textId="77777777" w:rsidR="007D4EA2" w:rsidRDefault="007D4EA2" w:rsidP="003635BC"/>
                </w:txbxContent>
              </v:textbox>
              <w10:wrap anchorx="margin"/>
            </v:shape>
          </w:pict>
        </mc:Fallback>
      </mc:AlternateContent>
    </w:r>
    <w:r w:rsidR="007D4EA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C122" w14:textId="36903084" w:rsidR="007D4EA2" w:rsidRDefault="00610B26" w:rsidP="000C38B8">
    <w:pPr>
      <w:jc w:val="right"/>
      <w:rPr>
        <w:rFonts w:ascii="Tahoma" w:hAnsi="Tahoma" w:cs="Tahoma"/>
        <w:sz w:val="28"/>
        <w:szCs w:val="28"/>
        <w:lang w:val="en-US"/>
      </w:rPr>
    </w:pPr>
    <w:r>
      <w:rPr>
        <w:rFonts w:ascii="Tahoma" w:hAnsi="Tahoma" w:cs="Tahoma"/>
        <w:noProof/>
        <w:sz w:val="28"/>
        <w:szCs w:val="28"/>
        <w:lang w:val="en-US"/>
      </w:rPr>
      <mc:AlternateContent>
        <mc:Choice Requires="wps">
          <w:drawing>
            <wp:anchor distT="0" distB="0" distL="114300" distR="114300" simplePos="0" relativeHeight="251667452" behindDoc="0" locked="0" layoutInCell="0" allowOverlap="1" wp14:anchorId="54A1FE4F" wp14:editId="4B2C907C">
              <wp:simplePos x="0" y="0"/>
              <wp:positionH relativeFrom="page">
                <wp:align>right</wp:align>
              </wp:positionH>
              <wp:positionV relativeFrom="page">
                <wp:align>bottom</wp:align>
              </wp:positionV>
              <wp:extent cx="7772400" cy="463550"/>
              <wp:effectExtent l="0" t="0" r="0" b="12700"/>
              <wp:wrapNone/>
              <wp:docPr id="10" name="MSIPCMc68d464d85fd9bc3c2e198d8" descr="{&quot;HashCode&quot;:1990712160,&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DB7D8" w14:textId="15496B06" w:rsidR="00610B26" w:rsidRPr="00723572" w:rsidRDefault="00723572" w:rsidP="00723572">
                          <w:pPr>
                            <w:jc w:val="right"/>
                            <w:rPr>
                              <w:rFonts w:ascii="Calibri" w:hAnsi="Calibri" w:cs="Calibri"/>
                              <w:color w:val="000000"/>
                            </w:rPr>
                          </w:pPr>
                          <w:r w:rsidRPr="00723572">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4A1FE4F" id="_x0000_t202" coordsize="21600,21600" o:spt="202" path="m,l,21600r21600,l21600,xe">
              <v:stroke joinstyle="miter"/>
              <v:path gradientshapeok="t" o:connecttype="rect"/>
            </v:shapetype>
            <v:shape id="MSIPCMc68d464d85fd9bc3c2e198d8" o:spid="_x0000_s1034" type="#_x0000_t202" alt="{&quot;HashCode&quot;:1990712160,&quot;Height&quot;:9999999.0,&quot;Width&quot;:9999999.0,&quot;Placement&quot;:&quot;Footer&quot;,&quot;Index&quot;:&quot;Primary&quot;,&quot;Section&quot;:10,&quot;Top&quot;:0.0,&quot;Left&quot;:0.0}" style="position:absolute;left:0;text-align:left;margin-left:560.8pt;margin-top:0;width:612pt;height:36.5pt;z-index:25166745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rd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" o:allowincell="f" filled="f" stroked="f" strokeweight=".5pt">
              <v:textbox inset=",0,20pt,0">
                <w:txbxContent>
                  <w:p w14:paraId="700DB7D8" w14:textId="15496B06" w:rsidR="00610B26" w:rsidRPr="00723572" w:rsidRDefault="00723572" w:rsidP="00723572">
                    <w:pPr>
                      <w:jc w:val="right"/>
                      <w:rPr>
                        <w:rFonts w:ascii="Calibri" w:hAnsi="Calibri" w:cs="Calibri"/>
                        <w:color w:val="000000"/>
                      </w:rPr>
                    </w:pPr>
                    <w:r w:rsidRPr="00723572">
                      <w:rPr>
                        <w:rFonts w:ascii="Calibri" w:hAnsi="Calibri" w:cs="Calibri"/>
                        <w:color w:val="000000"/>
                      </w:rPr>
                      <w:t>Official Use</w:t>
                    </w:r>
                  </w:p>
                </w:txbxContent>
              </v:textbox>
              <w10:wrap anchorx="page" anchory="page"/>
            </v:shape>
          </w:pict>
        </mc:Fallback>
      </mc:AlternateContent>
    </w:r>
  </w:p>
  <w:sdt>
    <w:sdtPr>
      <w:rPr>
        <w:rFonts w:ascii="Tahoma" w:hAnsi="Tahoma" w:cs="Tahoma"/>
        <w:sz w:val="28"/>
        <w:szCs w:val="28"/>
        <w:lang w:val="en-US"/>
      </w:rPr>
      <w:id w:val="-1670942208"/>
      <w:docPartObj>
        <w:docPartGallery w:val="Page Numbers (Bottom of Page)"/>
        <w:docPartUnique/>
      </w:docPartObj>
    </w:sdtPr>
    <w:sdtEndPr>
      <w:rPr>
        <w:rFonts w:ascii="Times New Roman" w:hAnsi="Times New Roman" w:cs="Times New Roman"/>
        <w:sz w:val="24"/>
        <w:szCs w:val="24"/>
        <w:lang w:val="fr-FR"/>
      </w:rPr>
    </w:sdtEndPr>
    <w:sdtContent>
      <w:sdt>
        <w:sdtPr>
          <w:rPr>
            <w:rFonts w:ascii="Tahoma" w:hAnsi="Tahoma" w:cs="Tahoma"/>
            <w:sz w:val="28"/>
            <w:szCs w:val="28"/>
            <w:lang w:val="en-US"/>
          </w:rPr>
          <w:id w:val="-1239857564"/>
          <w:docPartObj>
            <w:docPartGallery w:val="Page Numbers (Bottom of Page)"/>
            <w:docPartUnique/>
          </w:docPartObj>
        </w:sdtPr>
        <w:sdtEndPr>
          <w:rPr>
            <w:rFonts w:ascii="Times New Roman" w:hAnsi="Times New Roman" w:cs="Times New Roman"/>
            <w:sz w:val="24"/>
            <w:szCs w:val="24"/>
            <w:lang w:val="fr-FR"/>
          </w:rPr>
        </w:sdtEndPr>
        <w:sdtContent>
          <w:p w14:paraId="0E1724C1" w14:textId="27B96588" w:rsidR="007D4EA2" w:rsidRPr="00BD5590" w:rsidRDefault="007D4EA2" w:rsidP="000C38B8">
            <w:pPr>
              <w:jc w:val="right"/>
              <w:rPr>
                <w:rFonts w:ascii="Tahoma" w:hAnsi="Tahoma" w:cs="Tahoma"/>
                <w:color w:val="171717" w:themeColor="background2" w:themeShade="1A"/>
                <w:sz w:val="16"/>
                <w:szCs w:val="16"/>
              </w:rPr>
            </w:pPr>
            <w:r w:rsidRPr="00BD5590">
              <w:rPr>
                <w:rFonts w:ascii="Tahoma" w:hAnsi="Tahoma" w:cs="Tahoma"/>
                <w:b/>
                <w:color w:val="171717" w:themeColor="background2" w:themeShade="1A"/>
                <w:sz w:val="16"/>
                <w:szCs w:val="16"/>
              </w:rPr>
              <w:t xml:space="preserve">Page </w:t>
            </w:r>
            <w:r w:rsidRPr="00BD5590">
              <w:rPr>
                <w:rFonts w:ascii="Tahoma" w:hAnsi="Tahoma" w:cs="Tahoma"/>
                <w:color w:val="171717" w:themeColor="background2" w:themeShade="1A"/>
                <w:sz w:val="16"/>
                <w:szCs w:val="16"/>
              </w:rPr>
              <w:fldChar w:fldCharType="begin"/>
            </w:r>
            <w:r w:rsidRPr="00BD5590">
              <w:rPr>
                <w:rFonts w:ascii="Tahoma" w:hAnsi="Tahoma" w:cs="Tahoma"/>
                <w:color w:val="171717" w:themeColor="background2" w:themeShade="1A"/>
                <w:sz w:val="16"/>
                <w:szCs w:val="16"/>
              </w:rPr>
              <w:instrText xml:space="preserve"> PAGE </w:instrText>
            </w:r>
            <w:r w:rsidRPr="00BD5590">
              <w:rPr>
                <w:rFonts w:ascii="Tahoma" w:hAnsi="Tahoma" w:cs="Tahoma"/>
                <w:color w:val="171717" w:themeColor="background2" w:themeShade="1A"/>
                <w:sz w:val="16"/>
                <w:szCs w:val="16"/>
              </w:rPr>
              <w:fldChar w:fldCharType="separate"/>
            </w:r>
            <w:r w:rsidR="007243AA">
              <w:rPr>
                <w:rFonts w:ascii="Tahoma" w:hAnsi="Tahoma" w:cs="Tahoma"/>
                <w:noProof/>
                <w:color w:val="171717" w:themeColor="background2" w:themeShade="1A"/>
                <w:sz w:val="16"/>
                <w:szCs w:val="16"/>
              </w:rPr>
              <w:t>34</w:t>
            </w:r>
            <w:r w:rsidRPr="00BD5590">
              <w:rPr>
                <w:rFonts w:ascii="Tahoma" w:hAnsi="Tahoma" w:cs="Tahoma"/>
                <w:color w:val="171717" w:themeColor="background2" w:themeShade="1A"/>
                <w:sz w:val="16"/>
                <w:szCs w:val="16"/>
              </w:rPr>
              <w:fldChar w:fldCharType="end"/>
            </w:r>
          </w:p>
          <w:p w14:paraId="28E9C294" w14:textId="245EF5B7" w:rsidR="007D4EA2" w:rsidRDefault="00000000" w:rsidP="000C38B8">
            <w:pPr>
              <w:pStyle w:val="Pieddepage"/>
              <w:jc w:val="center"/>
              <w:rPr>
                <w:rFonts w:eastAsiaTheme="minorHAnsi"/>
              </w:rPr>
            </w:pPr>
          </w:p>
        </w:sdtContent>
      </w:sdt>
      <w:p w14:paraId="2ADA5FAA" w14:textId="0D983B63" w:rsidR="007D4EA2" w:rsidRDefault="00000000" w:rsidP="000C38B8">
        <w:pPr>
          <w:jc w:val="right"/>
        </w:pPr>
      </w:p>
    </w:sdtContent>
  </w:sdt>
  <w:p w14:paraId="1694C391" w14:textId="60599AC1" w:rsidR="007D4EA2" w:rsidRPr="00A50D1F" w:rsidRDefault="007D4EA2" w:rsidP="000C38B8">
    <w:pPr>
      <w:pStyle w:val="Pieddepage"/>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2910" w14:textId="6ED17521" w:rsidR="007D4EA2" w:rsidRPr="0052089C" w:rsidRDefault="00610B26" w:rsidP="00617741">
    <w:pPr>
      <w:jc w:val="right"/>
      <w:rPr>
        <w:rFonts w:cs="Arial"/>
        <w:color w:val="171717"/>
        <w:sz w:val="14"/>
        <w:szCs w:val="14"/>
      </w:rPr>
    </w:pPr>
    <w:r>
      <w:rPr>
        <w:rFonts w:cs="Arial"/>
        <w:b/>
        <w:noProof/>
        <w:color w:val="171717"/>
        <w:sz w:val="14"/>
        <w:szCs w:val="14"/>
      </w:rPr>
      <mc:AlternateContent>
        <mc:Choice Requires="wps">
          <w:drawing>
            <wp:anchor distT="0" distB="0" distL="114300" distR="114300" simplePos="0" relativeHeight="251667454" behindDoc="0" locked="0" layoutInCell="0" allowOverlap="1" wp14:anchorId="74876B18" wp14:editId="184D4944">
              <wp:simplePos x="0" y="0"/>
              <wp:positionH relativeFrom="page">
                <wp:align>right</wp:align>
              </wp:positionH>
              <wp:positionV relativeFrom="page">
                <wp:align>bottom</wp:align>
              </wp:positionV>
              <wp:extent cx="7772400" cy="463550"/>
              <wp:effectExtent l="0" t="0" r="0" b="12700"/>
              <wp:wrapNone/>
              <wp:docPr id="11" name="MSIPCMb245440aa8f34fd5d69967b3" descr="{&quot;HashCode&quot;:1990712160,&quot;Height&quot;:9999999.0,&quot;Width&quot;:9999999.0,&quot;Placement&quot;:&quot;Foot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4B376C" w14:textId="159B8C3C" w:rsidR="00610B26" w:rsidRPr="00723572" w:rsidRDefault="00723572" w:rsidP="00723572">
                          <w:pPr>
                            <w:jc w:val="right"/>
                            <w:rPr>
                              <w:rFonts w:ascii="Calibri" w:hAnsi="Calibri" w:cs="Calibri"/>
                              <w:color w:val="000000"/>
                            </w:rPr>
                          </w:pPr>
                          <w:r w:rsidRPr="00723572">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4876B18" id="_x0000_t202" coordsize="21600,21600" o:spt="202" path="m,l,21600r21600,l21600,xe">
              <v:stroke joinstyle="miter"/>
              <v:path gradientshapeok="t" o:connecttype="rect"/>
            </v:shapetype>
            <v:shape id="MSIPCMb245440aa8f34fd5d69967b3" o:spid="_x0000_s1035" type="#_x0000_t202" alt="{&quot;HashCode&quot;:1990712160,&quot;Height&quot;:9999999.0,&quot;Width&quot;:9999999.0,&quot;Placement&quot;:&quot;Footer&quot;,&quot;Index&quot;:&quot;Primary&quot;,&quot;Section&quot;:21,&quot;Top&quot;:0.0,&quot;Left&quot;:0.0}" style="position:absolute;left:0;text-align:left;margin-left:560.8pt;margin-top:0;width:612pt;height:36.5pt;z-index:25166745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T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TKeTuOuJQUFl4TJDDFC&#10;bTeYzaG5B1zLMf4Qy5MYg4MeROmgecX1XsVy6GKGY9GS8uAG5T70u4wfhIvVKoXhYlkWNmZreUwe&#10;AY3gvnSvzNkzAwG5e4Rhv1jxjog+tqdidQggVWIpQtwDekYelzKRd/5Acevf6inq+s2XvwE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L6bjdMcAgAALgQAAA4AAAAAAAAAAAAAAAAALgIAAGRycy9lMm9Eb2MueG1sUEsBAi0AFAAG&#10;AAgAAAAhAM++O6HaAAAABQEAAA8AAAAAAAAAAAAAAAAAdgQAAGRycy9kb3ducmV2LnhtbFBLBQYA&#10;AAAABAAEAPMAAAB9BQAAAAA=&#10;" o:allowincell="f" filled="f" stroked="f" strokeweight=".5pt">
              <v:textbox inset=",0,20pt,0">
                <w:txbxContent>
                  <w:p w14:paraId="364B376C" w14:textId="159B8C3C" w:rsidR="00610B26" w:rsidRPr="00723572" w:rsidRDefault="00723572" w:rsidP="00723572">
                    <w:pPr>
                      <w:jc w:val="right"/>
                      <w:rPr>
                        <w:rFonts w:ascii="Calibri" w:hAnsi="Calibri" w:cs="Calibri"/>
                        <w:color w:val="000000"/>
                      </w:rPr>
                    </w:pPr>
                    <w:r w:rsidRPr="00723572">
                      <w:rPr>
                        <w:rFonts w:ascii="Calibri" w:hAnsi="Calibri" w:cs="Calibri"/>
                        <w:color w:val="000000"/>
                      </w:rPr>
                      <w:t>Official Use</w:t>
                    </w:r>
                  </w:p>
                </w:txbxContent>
              </v:textbox>
              <w10:wrap anchorx="page" anchory="page"/>
            </v:shape>
          </w:pict>
        </mc:Fallback>
      </mc:AlternateContent>
    </w:r>
    <w:r w:rsidR="007D4EA2" w:rsidRPr="0052089C">
      <w:rPr>
        <w:rFonts w:cs="Arial"/>
        <w:b/>
        <w:color w:val="171717"/>
        <w:sz w:val="14"/>
        <w:szCs w:val="14"/>
      </w:rPr>
      <w:t xml:space="preserve">Page </w:t>
    </w:r>
    <w:r w:rsidR="007D4EA2" w:rsidRPr="0052089C">
      <w:rPr>
        <w:rFonts w:cs="Arial"/>
        <w:color w:val="171717"/>
        <w:sz w:val="14"/>
        <w:szCs w:val="14"/>
      </w:rPr>
      <w:fldChar w:fldCharType="begin"/>
    </w:r>
    <w:r w:rsidR="007D4EA2" w:rsidRPr="0052089C">
      <w:rPr>
        <w:rFonts w:cs="Arial"/>
        <w:color w:val="171717"/>
        <w:sz w:val="14"/>
        <w:szCs w:val="14"/>
      </w:rPr>
      <w:instrText xml:space="preserve"> PAGE </w:instrText>
    </w:r>
    <w:r w:rsidR="007D4EA2" w:rsidRPr="0052089C">
      <w:rPr>
        <w:rFonts w:cs="Arial"/>
        <w:color w:val="171717"/>
        <w:sz w:val="14"/>
        <w:szCs w:val="14"/>
      </w:rPr>
      <w:fldChar w:fldCharType="separate"/>
    </w:r>
    <w:r w:rsidR="007243AA">
      <w:rPr>
        <w:rFonts w:cs="Arial"/>
        <w:noProof/>
        <w:color w:val="171717"/>
        <w:sz w:val="14"/>
        <w:szCs w:val="14"/>
      </w:rPr>
      <w:t>56</w:t>
    </w:r>
    <w:r w:rsidR="007D4EA2" w:rsidRPr="0052089C">
      <w:rPr>
        <w:rFonts w:cs="Arial"/>
        <w:color w:val="171717"/>
        <w:sz w:val="14"/>
        <w:szCs w:val="14"/>
      </w:rPr>
      <w:fldChar w:fldCharType="end"/>
    </w:r>
    <w:r w:rsidR="007D4EA2">
      <w:rPr>
        <w:noProof/>
      </w:rPr>
      <mc:AlternateContent>
        <mc:Choice Requires="wps">
          <w:drawing>
            <wp:anchor distT="0" distB="0" distL="114298" distR="114298" simplePos="0" relativeHeight="251658241" behindDoc="0" locked="0" layoutInCell="1" allowOverlap="1" wp14:anchorId="4FC69F93" wp14:editId="6C73B10A">
              <wp:simplePos x="0" y="0"/>
              <wp:positionH relativeFrom="column">
                <wp:posOffset>-1093471</wp:posOffset>
              </wp:positionH>
              <wp:positionV relativeFrom="paragraph">
                <wp:posOffset>331470</wp:posOffset>
              </wp:positionV>
              <wp:extent cx="0" cy="280035"/>
              <wp:effectExtent l="0" t="0" r="0" b="571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CA4DEF3" id="_x0000_t32" coordsize="21600,21600" o:spt="32" o:oned="t" path="m,l21600,21600e" filled="f">
              <v:path arrowok="t" fillok="f" o:connecttype="none"/>
              <o:lock v:ext="edit" shapetype="t"/>
            </v:shapetype>
            <v:shape id="Straight Arrow Connector 24" o:spid="_x0000_s1026" type="#_x0000_t32" style="position:absolute;margin-left:-86.1pt;margin-top:26.1pt;width:0;height:22.05pt;flip:y;z-index:25165824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" strokecolor="#7f7f7f"/>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BA85" w14:textId="092767C1" w:rsidR="007D4EA2" w:rsidRDefault="00316A7F" w:rsidP="00F43E8A">
    <w:pPr>
      <w:rPr>
        <w:sz w:val="13"/>
        <w:szCs w:val="13"/>
      </w:rPr>
    </w:pPr>
    <w:r>
      <w:rPr>
        <w:noProof/>
      </w:rPr>
      <mc:AlternateContent>
        <mc:Choice Requires="wps">
          <w:drawing>
            <wp:anchor distT="0" distB="0" distL="114300" distR="114300" simplePos="0" relativeHeight="251667466" behindDoc="0" locked="0" layoutInCell="0" allowOverlap="1" wp14:anchorId="47C3FD1A" wp14:editId="7B1EEC90">
              <wp:simplePos x="0" y="0"/>
              <wp:positionH relativeFrom="page">
                <wp:align>right</wp:align>
              </wp:positionH>
              <wp:positionV relativeFrom="page">
                <wp:align>bottom</wp:align>
              </wp:positionV>
              <wp:extent cx="7772400" cy="463550"/>
              <wp:effectExtent l="0" t="0" r="0" b="12700"/>
              <wp:wrapNone/>
              <wp:docPr id="18" name="MSIPCMabcd4dd5bf9cf3d7c37f348d" descr="{&quot;HashCode&quot;:1990712160,&quot;Height&quot;:9999999.0,&quot;Width&quot;:9999999.0,&quot;Placement&quot;:&quot;Foot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4040D" w14:textId="5CAE6097" w:rsidR="00316A7F" w:rsidRPr="00246103" w:rsidRDefault="00246103" w:rsidP="00246103">
                          <w:pPr>
                            <w:jc w:val="right"/>
                            <w:rPr>
                              <w:rFonts w:ascii="Calibri" w:hAnsi="Calibri" w:cs="Calibri"/>
                              <w:color w:val="000000"/>
                            </w:rPr>
                          </w:pPr>
                          <w:r w:rsidRPr="00246103">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47C3FD1A" id="_x0000_t202" coordsize="21600,21600" o:spt="202" path="m,l,21600r21600,l21600,xe">
              <v:stroke joinstyle="miter"/>
              <v:path gradientshapeok="t" o:connecttype="rect"/>
            </v:shapetype>
            <v:shape id="MSIPCMabcd4dd5bf9cf3d7c37f348d" o:spid="_x0000_s1036" type="#_x0000_t202" alt="{&quot;HashCode&quot;:1990712160,&quot;Height&quot;:9999999.0,&quot;Width&quot;:9999999.0,&quot;Placement&quot;:&quot;Footer&quot;,&quot;Index&quot;:&quot;Primary&quot;,&quot;Section&quot;:24,&quot;Top&quot;:0.0,&quot;Left&quot;:0.0}" style="position:absolute;margin-left:560.8pt;margin-top:0;width:612pt;height:36.5pt;z-index:25166746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AHAIAAC4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qqR3wxw7qE44noOeeW/5WmEPG+bD&#10;C3NINbaN6xue8ZAasBacJUpqcD//Zo/xyAB6KWlxdUrqfxyYE5Tobwa5uRtPp3HXkoKCS8Jkhhih&#10;thvM5tA8AK7lGH+I5UmMwUEPonTQvOF6r2I5dDHDsWhJeXCD8hD6XcYPwsVqlcJwsSwLG7O1PCaP&#10;gEZwX7s35uyZgYDcPcGwX6x4R0Qf21OxOgSQKrEUIe4BPSOPS5nIO3+guPW/6ynq+s2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NTf7UAcAgAALgQAAA4AAAAAAAAAAAAAAAAALgIAAGRycy9lMm9Eb2MueG1sUEsBAi0AFAAG&#10;AAgAAAAhAM++O6HaAAAABQEAAA8AAAAAAAAAAAAAAAAAdgQAAGRycy9kb3ducmV2LnhtbFBLBQYA&#10;AAAABAAEAPMAAAB9BQAAAAA=&#10;" o:allowincell="f" filled="f" stroked="f" strokeweight=".5pt">
              <v:textbox inset=",0,20pt,0">
                <w:txbxContent>
                  <w:p w14:paraId="6214040D" w14:textId="5CAE6097" w:rsidR="00316A7F" w:rsidRPr="00246103" w:rsidRDefault="00246103" w:rsidP="00246103">
                    <w:pPr>
                      <w:jc w:val="right"/>
                      <w:rPr>
                        <w:rFonts w:ascii="Calibri" w:hAnsi="Calibri" w:cs="Calibri"/>
                        <w:color w:val="000000"/>
                      </w:rPr>
                    </w:pPr>
                    <w:r w:rsidRPr="00246103">
                      <w:rPr>
                        <w:rFonts w:ascii="Calibri" w:hAnsi="Calibri" w:cs="Calibri"/>
                        <w:color w:val="000000"/>
                      </w:rPr>
                      <w:t>Official Use</w:t>
                    </w:r>
                  </w:p>
                </w:txbxContent>
              </v:textbox>
              <w10:wrap anchorx="page" anchory="page"/>
            </v:shape>
          </w:pict>
        </mc:Fallback>
      </mc:AlternateContent>
    </w:r>
    <w:r w:rsidR="007D4EA2">
      <w:rPr>
        <w:noProof/>
      </w:rPr>
      <mc:AlternateContent>
        <mc:Choice Requires="wps">
          <w:drawing>
            <wp:anchor distT="0" distB="0" distL="114300" distR="114300" simplePos="0" relativeHeight="251658242" behindDoc="1" locked="0" layoutInCell="1" allowOverlap="1" wp14:anchorId="0C4B1EB7" wp14:editId="2D5BB22A">
              <wp:simplePos x="0" y="0"/>
              <wp:positionH relativeFrom="page">
                <wp:posOffset>6494145</wp:posOffset>
              </wp:positionH>
              <wp:positionV relativeFrom="page">
                <wp:posOffset>10118725</wp:posOffset>
              </wp:positionV>
              <wp:extent cx="191135" cy="165735"/>
              <wp:effectExtent l="0" t="3175" r="127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C410C" w14:textId="419EE231" w:rsidR="007D4EA2" w:rsidRDefault="007D4EA2" w:rsidP="00F43E8A">
                          <w:r>
                            <w:fldChar w:fldCharType="begin"/>
                          </w:r>
                          <w:r>
                            <w:instrText xml:space="preserve"> PAGE </w:instrText>
                          </w:r>
                          <w:r>
                            <w:fldChar w:fldCharType="separate"/>
                          </w:r>
                          <w:r w:rsidR="007243AA">
                            <w:rPr>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1EB7" id="Text Box 15" o:spid="_x0000_s1037" type="#_x0000_t202" style="position:absolute;margin-left:511.35pt;margin-top:796.75pt;width:15.05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" filled="f" stroked="f">
              <v:textbox inset="0,0,0,0">
                <w:txbxContent>
                  <w:p w14:paraId="308C410C" w14:textId="419EE231" w:rsidR="007D4EA2" w:rsidRDefault="007D4EA2" w:rsidP="00F43E8A">
                    <w:r>
                      <w:fldChar w:fldCharType="begin"/>
                    </w:r>
                    <w:r>
                      <w:instrText xml:space="preserve"> PAGE </w:instrText>
                    </w:r>
                    <w:r>
                      <w:fldChar w:fldCharType="separate"/>
                    </w:r>
                    <w:r w:rsidR="007243AA">
                      <w:rPr>
                        <w:noProof/>
                      </w:rPr>
                      <w:t>132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7AE8" w14:textId="2B8C77E7" w:rsidR="007D4EA2" w:rsidRPr="00B272EE" w:rsidRDefault="00246103" w:rsidP="008C0C70">
    <w:pPr>
      <w:keepLines/>
      <w:tabs>
        <w:tab w:val="center" w:pos="4536"/>
        <w:tab w:val="right" w:pos="9072"/>
      </w:tabs>
      <w:jc w:val="both"/>
      <w:rPr>
        <w:rFonts w:ascii="Arial" w:hAnsi="Arial" w:cs="Arial"/>
        <w:noProof/>
        <w:sz w:val="16"/>
        <w:szCs w:val="16"/>
      </w:rPr>
    </w:pPr>
    <w:r>
      <w:rPr>
        <w:rFonts w:ascii="Arial" w:hAnsi="Arial" w:cs="Arial"/>
        <w:noProof/>
        <w:sz w:val="16"/>
        <w:szCs w:val="16"/>
      </w:rPr>
      <mc:AlternateContent>
        <mc:Choice Requires="wps">
          <w:drawing>
            <wp:anchor distT="0" distB="0" distL="114300" distR="114300" simplePos="0" relativeHeight="251668490" behindDoc="0" locked="0" layoutInCell="0" allowOverlap="1" wp14:anchorId="46E0AD96" wp14:editId="4BAE7089">
              <wp:simplePos x="0" y="0"/>
              <wp:positionH relativeFrom="page">
                <wp:align>right</wp:align>
              </wp:positionH>
              <wp:positionV relativeFrom="page">
                <wp:align>bottom</wp:align>
              </wp:positionV>
              <wp:extent cx="7772400" cy="463550"/>
              <wp:effectExtent l="0" t="0" r="0" b="12700"/>
              <wp:wrapNone/>
              <wp:docPr id="19" name="MSIPCM570e4fd0918632ee1d25581a" descr="{&quot;HashCode&quot;:1990712160,&quot;Height&quot;:9999999.0,&quot;Width&quot;:9999999.0,&quot;Placement&quot;:&quot;Footer&quot;,&quot;Index&quot;:&quot;Primary&quot;,&quot;Section&quot;:5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8CAB66" w14:textId="4D78C638" w:rsidR="00246103" w:rsidRPr="00246103" w:rsidRDefault="00246103" w:rsidP="00246103">
                          <w:pPr>
                            <w:jc w:val="right"/>
                            <w:rPr>
                              <w:rFonts w:ascii="Calibri" w:hAnsi="Calibri" w:cs="Calibri"/>
                              <w:color w:val="000000"/>
                            </w:rPr>
                          </w:pPr>
                          <w:r w:rsidRPr="00246103">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46E0AD96" id="_x0000_t202" coordsize="21600,21600" o:spt="202" path="m,l,21600r21600,l21600,xe">
              <v:stroke joinstyle="miter"/>
              <v:path gradientshapeok="t" o:connecttype="rect"/>
            </v:shapetype>
            <v:shape id="MSIPCM570e4fd0918632ee1d25581a" o:spid="_x0000_s1038" type="#_x0000_t202" alt="{&quot;HashCode&quot;:1990712160,&quot;Height&quot;:9999999.0,&quot;Width&quot;:9999999.0,&quot;Placement&quot;:&quot;Footer&quot;,&quot;Index&quot;:&quot;Primary&quot;,&quot;Section&quot;:52,&quot;Top&quot;:0.0,&quot;Left&quot;:0.0}" style="position:absolute;left:0;text-align:left;margin-left:560.8pt;margin-top:0;width:612pt;height:36.5pt;z-index:25166849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" o:allowincell="f" filled="f" stroked="f" strokeweight=".5pt">
              <v:textbox inset=",0,20pt,0">
                <w:txbxContent>
                  <w:p w14:paraId="4E8CAB66" w14:textId="4D78C638" w:rsidR="00246103" w:rsidRPr="00246103" w:rsidRDefault="00246103" w:rsidP="00246103">
                    <w:pPr>
                      <w:jc w:val="right"/>
                      <w:rPr>
                        <w:rFonts w:ascii="Calibri" w:hAnsi="Calibri" w:cs="Calibri"/>
                        <w:color w:val="000000"/>
                      </w:rPr>
                    </w:pPr>
                    <w:r w:rsidRPr="00246103">
                      <w:rPr>
                        <w:rFonts w:ascii="Calibri" w:hAnsi="Calibri" w:cs="Calibri"/>
                        <w:color w:val="000000"/>
                      </w:rPr>
                      <w:t>Official Use</w:t>
                    </w:r>
                  </w:p>
                </w:txbxContent>
              </v:textbox>
              <w10:wrap anchorx="page" anchory="page"/>
            </v:shape>
          </w:pict>
        </mc:Fallback>
      </mc:AlternateContent>
    </w:r>
    <w:r w:rsidR="007D4EA2">
      <w:rPr>
        <w:rFonts w:ascii="Arial" w:hAnsi="Arial" w:cs="Arial"/>
        <w:noProof/>
        <w:sz w:val="16"/>
        <w:szCs w:val="16"/>
      </w:rPr>
      <mc:AlternateContent>
        <mc:Choice Requires="wps">
          <w:drawing>
            <wp:anchor distT="0" distB="0" distL="114300" distR="114300" simplePos="0" relativeHeight="251658247" behindDoc="0" locked="0" layoutInCell="0" allowOverlap="1" wp14:anchorId="07EB5DA0" wp14:editId="6CCF821E">
              <wp:simplePos x="0" y="0"/>
              <wp:positionH relativeFrom="page">
                <wp:align>right</wp:align>
              </wp:positionH>
              <wp:positionV relativeFrom="page">
                <wp:align>bottom</wp:align>
              </wp:positionV>
              <wp:extent cx="7772400" cy="463550"/>
              <wp:effectExtent l="0" t="0" r="0" b="12700"/>
              <wp:wrapNone/>
              <wp:docPr id="12" name="Text Box 12" descr="{&quot;HashCode&quot;:1990712160,&quot;Height&quot;:9999999.0,&quot;Width&quot;:9999999.0,&quot;Placement&quot;:&quot;Footer&quot;,&quot;Index&quot;:&quot;Primary&quot;,&quot;Section&quot;:5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22F2EE" w14:textId="13C7A701" w:rsidR="007D4EA2" w:rsidRPr="00313ED4" w:rsidRDefault="007D4EA2" w:rsidP="00313ED4">
                          <w:pPr>
                            <w:jc w:val="right"/>
                            <w:rPr>
                              <w:rFonts w:ascii="Calibri" w:hAnsi="Calibri" w:cs="Calibri"/>
                              <w:color w:val="000000"/>
                            </w:rPr>
                          </w:pPr>
                          <w:r w:rsidRPr="00313ED4">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07EB5DA0" id="Text Box 12" o:spid="_x0000_s1039" type="#_x0000_t202" alt="{&quot;HashCode&quot;:1990712160,&quot;Height&quot;:9999999.0,&quot;Width&quot;:9999999.0,&quot;Placement&quot;:&quot;Footer&quot;,&quot;Index&quot;:&quot;Primary&quot;,&quot;Section&quot;:51,&quot;Top&quot;:0.0,&quot;Left&quot;:0.0}" style="position:absolute;left:0;text-align:left;margin-left:560.8pt;margin-top:0;width:612pt;height:36.5pt;z-index:251658247;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8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c0xGQbZQnWk+RBO1HsnVw01sRY+&#10;PAskrqlv2t/wRIc2QMXgLHFWA/78mz3GEwXk5ayj3Sm5/7EXqDgz3yyR83k8ncZlSwoJmITJjEAi&#10;bTuY7b69B9rLMX0RJ5MYg4MZRI3QvtJ+L2M5cgkrqWjJZcBBuQ+nZaYfItVymcJos5wIa7txMiaP&#10;iEZ0X/pXge5MQSDyHmFYMFG8YeIUe+JiuQ+gm0RTxPgE6Bl62srE3vkHxbX/XU9R13+++AU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Fj6ErwcAgAALwQAAA4AAAAAAAAAAAAAAAAALgIAAGRycy9lMm9Eb2MueG1sUEsBAi0AFAAG&#10;AAgAAAAhAM++O6HaAAAABQEAAA8AAAAAAAAAAAAAAAAAdgQAAGRycy9kb3ducmV2LnhtbFBLBQYA&#10;AAAABAAEAPMAAAB9BQAAAAA=&#10;" o:allowincell="f" filled="f" stroked="f" strokeweight=".5pt">
              <v:textbox inset=",0,20pt,0">
                <w:txbxContent>
                  <w:p w14:paraId="3C22F2EE" w14:textId="13C7A701" w:rsidR="007D4EA2" w:rsidRPr="00313ED4" w:rsidRDefault="007D4EA2" w:rsidP="00313ED4">
                    <w:pPr>
                      <w:jc w:val="right"/>
                      <w:rPr>
                        <w:rFonts w:ascii="Calibri" w:hAnsi="Calibri" w:cs="Calibri"/>
                        <w:color w:val="000000"/>
                      </w:rPr>
                    </w:pPr>
                    <w:r w:rsidRPr="00313ED4">
                      <w:rPr>
                        <w:rFonts w:ascii="Calibri" w:hAnsi="Calibri" w:cs="Calibri"/>
                        <w:color w:val="000000"/>
                      </w:rPr>
                      <w:t>Official Use</w:t>
                    </w:r>
                  </w:p>
                </w:txbxContent>
              </v:textbox>
              <w10:wrap anchorx="page" anchory="page"/>
            </v:shape>
          </w:pict>
        </mc:Fallback>
      </mc:AlternateContent>
    </w:r>
    <w:r w:rsidR="007D4EA2">
      <w:rPr>
        <w:rFonts w:ascii="Arial" w:hAnsi="Arial" w:cs="Arial"/>
        <w:noProof/>
        <w:sz w:val="16"/>
        <w:szCs w:val="16"/>
      </w:rPr>
      <w:ptab w:relativeTo="margin" w:alignment="center" w:leader="none"/>
    </w:r>
    <w:r w:rsidR="007D4EA2">
      <w:rPr>
        <w:rFonts w:ascii="Arial" w:hAnsi="Arial" w:cs="Arial"/>
        <w:noProof/>
        <w:sz w:val="16"/>
        <w:szCs w:val="16"/>
      </w:rPr>
      <w:tab/>
    </w:r>
    <w:r w:rsidR="007D4EA2" w:rsidRPr="00221377">
      <w:rPr>
        <w:rFonts w:ascii="Arial" w:hAnsi="Arial" w:cs="Arial"/>
        <w:noProof/>
        <w:sz w:val="16"/>
        <w:szCs w:val="16"/>
      </w:rPr>
      <w:t>2021-</w:t>
    </w:r>
    <w:r w:rsidR="007D4EA2">
      <w:rPr>
        <w:rFonts w:ascii="Arial" w:hAnsi="Arial" w:cs="Arial"/>
        <w:noProof/>
        <w:sz w:val="16"/>
        <w:szCs w:val="16"/>
      </w:rPr>
      <w:t xml:space="preserve">0404    </w:t>
    </w:r>
    <w:r w:rsidR="007D4EA2">
      <w:rPr>
        <w:rFonts w:ascii="Arial" w:hAnsi="Arial" w:cs="Arial"/>
        <w:noProof/>
        <w:sz w:val="16"/>
        <w:szCs w:val="16"/>
      </w:rPr>
      <w:ptab w:relativeTo="margin" w:alignment="right" w:leader="none"/>
    </w:r>
    <w:r w:rsidR="007D4EA2" w:rsidRPr="00221377">
      <w:rPr>
        <w:rFonts w:ascii="Arial" w:hAnsi="Arial" w:cs="Arial"/>
        <w:noProof/>
        <w:sz w:val="16"/>
        <w:szCs w:val="16"/>
      </w:rPr>
      <w:t xml:space="preserve">Page </w:t>
    </w:r>
    <w:r w:rsidR="007D4EA2" w:rsidRPr="00221377">
      <w:rPr>
        <w:rFonts w:ascii="Arial" w:hAnsi="Arial" w:cs="Arial"/>
        <w:noProof/>
        <w:sz w:val="16"/>
        <w:szCs w:val="16"/>
      </w:rPr>
      <w:fldChar w:fldCharType="begin"/>
    </w:r>
    <w:r w:rsidR="007D4EA2" w:rsidRPr="00221377">
      <w:rPr>
        <w:rFonts w:ascii="Arial" w:hAnsi="Arial" w:cs="Arial"/>
        <w:noProof/>
        <w:sz w:val="16"/>
        <w:szCs w:val="16"/>
      </w:rPr>
      <w:instrText xml:space="preserve"> PAGE </w:instrText>
    </w:r>
    <w:r w:rsidR="007D4EA2" w:rsidRPr="00221377">
      <w:rPr>
        <w:rFonts w:ascii="Arial" w:hAnsi="Arial" w:cs="Arial"/>
        <w:noProof/>
        <w:sz w:val="16"/>
        <w:szCs w:val="16"/>
      </w:rPr>
      <w:fldChar w:fldCharType="separate"/>
    </w:r>
    <w:r w:rsidR="007243AA">
      <w:rPr>
        <w:rFonts w:ascii="Arial" w:hAnsi="Arial" w:cs="Arial"/>
        <w:noProof/>
        <w:sz w:val="16"/>
        <w:szCs w:val="16"/>
      </w:rPr>
      <w:t>133</w:t>
    </w:r>
    <w:r w:rsidR="007D4EA2" w:rsidRPr="00221377">
      <w:rPr>
        <w:rFonts w:ascii="Arial" w:hAnsi="Arial" w:cs="Arial"/>
        <w:noProof/>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16D1" w14:textId="77777777" w:rsidR="007D4EA2" w:rsidRDefault="007D4EA2" w:rsidP="00974311">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B211DD9" w14:textId="77777777" w:rsidR="007D4EA2" w:rsidRDefault="007D4EA2" w:rsidP="00974311">
    <w:pPr>
      <w:pStyle w:val="Pieddepag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4739" w14:textId="69C5D874" w:rsidR="007D4EA2" w:rsidRPr="003F451F" w:rsidRDefault="007D4EA2" w:rsidP="00477A61">
    <w:pPr>
      <w:keepLines/>
      <w:tabs>
        <w:tab w:val="center" w:pos="4536"/>
        <w:tab w:val="right" w:pos="9026"/>
      </w:tabs>
      <w:jc w:val="both"/>
      <w:rPr>
        <w:rFonts w:ascii="Arial" w:hAnsi="Arial" w:cs="Arial"/>
        <w:noProof/>
        <w:sz w:val="16"/>
        <w:szCs w:val="16"/>
      </w:rPr>
    </w:pPr>
    <w:r>
      <w:rPr>
        <w:rFonts w:ascii="Arial" w:hAnsi="Arial" w:cs="Arial"/>
        <w:noProof/>
        <w:sz w:val="16"/>
        <w:szCs w:val="16"/>
      </w:rPr>
      <w:tab/>
    </w:r>
    <w:r>
      <w:rPr>
        <w:rFonts w:ascii="Arial" w:hAnsi="Arial" w:cs="Arial"/>
        <w:noProof/>
        <w:sz w:val="16"/>
        <w:szCs w:val="16"/>
      </w:rPr>
      <w:tab/>
    </w:r>
    <w:r w:rsidRPr="00221377">
      <w:rPr>
        <w:rFonts w:ascii="Arial" w:hAnsi="Arial" w:cs="Arial"/>
        <w:noProof/>
        <w:sz w:val="16"/>
        <w:szCs w:val="16"/>
      </w:rPr>
      <w:t>2021-</w:t>
    </w:r>
    <w:r>
      <w:rPr>
        <w:rFonts w:ascii="Arial" w:hAnsi="Arial" w:cs="Arial"/>
        <w:noProof/>
        <w:sz w:val="16"/>
        <w:szCs w:val="16"/>
      </w:rPr>
      <w:t xml:space="preserve">0404    </w:t>
    </w:r>
    <w:r w:rsidRPr="00221377">
      <w:rPr>
        <w:rFonts w:ascii="Arial" w:hAnsi="Arial" w:cs="Arial"/>
        <w:noProof/>
        <w:sz w:val="16"/>
        <w:szCs w:val="16"/>
      </w:rPr>
      <w:tab/>
      <w:t xml:space="preserve">Page </w:t>
    </w:r>
    <w:r w:rsidRPr="00221377">
      <w:rPr>
        <w:rFonts w:ascii="Arial" w:hAnsi="Arial" w:cs="Arial"/>
        <w:noProof/>
        <w:sz w:val="16"/>
        <w:szCs w:val="16"/>
      </w:rPr>
      <w:fldChar w:fldCharType="begin"/>
    </w:r>
    <w:r w:rsidRPr="00221377">
      <w:rPr>
        <w:rFonts w:ascii="Arial" w:hAnsi="Arial" w:cs="Arial"/>
        <w:noProof/>
        <w:sz w:val="16"/>
        <w:szCs w:val="16"/>
      </w:rPr>
      <w:instrText xml:space="preserve"> PAGE </w:instrText>
    </w:r>
    <w:r w:rsidRPr="00221377">
      <w:rPr>
        <w:rFonts w:ascii="Arial" w:hAnsi="Arial" w:cs="Arial"/>
        <w:noProof/>
        <w:sz w:val="16"/>
        <w:szCs w:val="16"/>
      </w:rPr>
      <w:fldChar w:fldCharType="separate"/>
    </w:r>
    <w:r w:rsidR="007243AA">
      <w:rPr>
        <w:rFonts w:ascii="Arial" w:hAnsi="Arial" w:cs="Arial"/>
        <w:noProof/>
        <w:sz w:val="16"/>
        <w:szCs w:val="16"/>
      </w:rPr>
      <w:t>160</w:t>
    </w:r>
    <w:r w:rsidRPr="00221377">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8C2DA" w14:textId="77777777" w:rsidR="00A26908" w:rsidRDefault="00A26908">
      <w:r>
        <w:separator/>
      </w:r>
    </w:p>
  </w:footnote>
  <w:footnote w:type="continuationSeparator" w:id="0">
    <w:p w14:paraId="0D5BC58E" w14:textId="77777777" w:rsidR="00A26908" w:rsidRDefault="00A26908">
      <w:r>
        <w:continuationSeparator/>
      </w:r>
    </w:p>
  </w:footnote>
  <w:footnote w:type="continuationNotice" w:id="1">
    <w:p w14:paraId="3B308796" w14:textId="77777777" w:rsidR="00A26908" w:rsidRDefault="00A26908"/>
  </w:footnote>
  <w:footnote w:id="2">
    <w:p w14:paraId="24FC4E2F" w14:textId="77777777" w:rsidR="007D4EA2" w:rsidRPr="00803C6A" w:rsidRDefault="007D4EA2" w:rsidP="00135AB8">
      <w:pPr>
        <w:rPr>
          <w:rFonts w:ascii="Tahoma" w:hAnsi="Tahoma" w:cs="Tahoma"/>
          <w:sz w:val="18"/>
          <w:szCs w:val="18"/>
          <w:lang w:val="it-IT"/>
        </w:rPr>
      </w:pPr>
      <w:r w:rsidRPr="00803C6A">
        <w:rPr>
          <w:rStyle w:val="Appelnotedebasdep"/>
          <w:rFonts w:ascii="Tahoma" w:hAnsi="Tahoma" w:cs="Tahoma"/>
          <w:sz w:val="18"/>
          <w:szCs w:val="18"/>
        </w:rPr>
        <w:footnoteRef/>
      </w:r>
      <w:r w:rsidRPr="00803C6A">
        <w:rPr>
          <w:rFonts w:ascii="Tahoma" w:hAnsi="Tahoma" w:cs="Tahoma"/>
          <w:sz w:val="18"/>
          <w:szCs w:val="18"/>
          <w:lang w:val="it-IT"/>
        </w:rPr>
        <w:t xml:space="preserve"> </w:t>
      </w:r>
      <w:r w:rsidRPr="008019AE">
        <w:rPr>
          <w:rFonts w:asciiTheme="minorHAnsi" w:hAnsiTheme="minorHAnsi" w:cstheme="minorHAnsi"/>
          <w:sz w:val="18"/>
          <w:szCs w:val="22"/>
          <w:lang w:val="pt-BR"/>
        </w:rPr>
        <w:t>Burkina Faso, Mali, Niger, Togo, Tchad, Ghana, Sierra Leone</w:t>
      </w:r>
    </w:p>
  </w:footnote>
  <w:footnote w:id="3">
    <w:p w14:paraId="5DD193B0" w14:textId="77777777" w:rsidR="007D4EA2" w:rsidRPr="008019AE" w:rsidRDefault="007D4EA2" w:rsidP="002D32A1">
      <w:pPr>
        <w:rPr>
          <w:rFonts w:asciiTheme="minorHAnsi" w:eastAsia="Calibri" w:hAnsiTheme="minorHAnsi" w:cstheme="minorHAnsi"/>
          <w:sz w:val="20"/>
          <w:szCs w:val="22"/>
          <w:lang w:val="it-IT" w:eastAsia="en-US"/>
        </w:rPr>
      </w:pPr>
      <w:r>
        <w:rPr>
          <w:rStyle w:val="Appelnotedebasdep"/>
        </w:rPr>
        <w:footnoteRef/>
      </w:r>
      <w:r w:rsidRPr="008019AE">
        <w:rPr>
          <w:lang w:val="it-IT"/>
        </w:rPr>
        <w:t xml:space="preserve"> </w:t>
      </w:r>
      <w:r w:rsidRPr="008019AE">
        <w:rPr>
          <w:rFonts w:asciiTheme="minorHAnsi" w:eastAsia="Calibri" w:hAnsiTheme="minorHAnsi" w:cstheme="minorHAnsi"/>
          <w:sz w:val="18"/>
          <w:szCs w:val="22"/>
          <w:lang w:val="it-IT" w:eastAsia="en-US"/>
        </w:rPr>
        <w:t xml:space="preserve">Les treize (13) régions cibles du projet sont : Dakar, Thiès, Louga, Saint Louis, Matam, Diourbel, Fatick, Kaolack, Kaffrine, Tambacounda, Ziguinchor, Sédhiou et Kolda. </w:t>
      </w:r>
    </w:p>
  </w:footnote>
  <w:footnote w:id="4">
    <w:p w14:paraId="5B73F17B" w14:textId="77777777" w:rsidR="007D4EA2" w:rsidRPr="00AD3B9A" w:rsidRDefault="007D4EA2" w:rsidP="005A3EEB">
      <w:pPr>
        <w:pStyle w:val="Notedebasdepage"/>
        <w:ind w:firstLine="0"/>
        <w:rPr>
          <w:lang w:val="it-IT"/>
        </w:rPr>
      </w:pPr>
      <w:r>
        <w:rPr>
          <w:rStyle w:val="Appelnotedebasdep"/>
        </w:rPr>
        <w:footnoteRef/>
      </w:r>
      <w:r w:rsidRPr="00AD3B9A">
        <w:rPr>
          <w:lang w:val="it-IT"/>
        </w:rPr>
        <w:t xml:space="preserve"> </w:t>
      </w:r>
      <w:r w:rsidRPr="00AD3B9A">
        <w:rPr>
          <w:rFonts w:ascii="FiraSans-Light" w:eastAsia="FiraSans-Light" w:hAnsi="Calibri" w:cs="FiraSans-Light"/>
          <w:sz w:val="15"/>
          <w:szCs w:val="15"/>
          <w:lang w:val="it-IT"/>
        </w:rPr>
        <w:t>https://www.ifc.org/wps/wcm/connect/Topics_Ext_Content/IFC_External_Corporate_Site/Sustainability-At-IFC/Policies-Standards/EHS-Guidelines</w:t>
      </w:r>
    </w:p>
  </w:footnote>
  <w:footnote w:id="5">
    <w:p w14:paraId="537804D5" w14:textId="77777777" w:rsidR="007D4EA2" w:rsidRPr="00121C1C" w:rsidRDefault="007D4EA2" w:rsidP="001B5DF8">
      <w:pPr>
        <w:pStyle w:val="Notedebasdepage"/>
        <w:rPr>
          <w:rFonts w:ascii="Tahoma" w:hAnsi="Tahoma" w:cs="Tahoma"/>
          <w:sz w:val="18"/>
          <w:szCs w:val="18"/>
        </w:rPr>
      </w:pPr>
      <w:r w:rsidRPr="00121C1C">
        <w:rPr>
          <w:rStyle w:val="Appelnotedebasdep"/>
          <w:rFonts w:ascii="Tahoma" w:hAnsi="Tahoma" w:cs="Tahoma"/>
          <w:sz w:val="18"/>
          <w:szCs w:val="18"/>
        </w:rPr>
        <w:footnoteRef/>
      </w:r>
      <w:r w:rsidRPr="00121C1C">
        <w:rPr>
          <w:rFonts w:ascii="Tahoma" w:hAnsi="Tahoma" w:cs="Tahoma"/>
          <w:sz w:val="18"/>
          <w:szCs w:val="18"/>
        </w:rPr>
        <w:t xml:space="preserve"> Le modèle type de termes de référence pour les études d’impact est annexé au présent rapport</w:t>
      </w:r>
    </w:p>
  </w:footnote>
  <w:footnote w:id="6">
    <w:p w14:paraId="0D094F6B" w14:textId="7BDEA5C7" w:rsidR="00C70C6F" w:rsidRPr="00C70C6F" w:rsidRDefault="00C70C6F">
      <w:pPr>
        <w:pStyle w:val="Notedebasdepage"/>
      </w:pPr>
      <w:r>
        <w:rPr>
          <w:rStyle w:val="Appelnotedebasdep"/>
        </w:rPr>
        <w:footnoteRef/>
      </w:r>
      <w:r>
        <w:t xml:space="preserve"> </w:t>
      </w:r>
      <w:r>
        <w:rPr>
          <w:rStyle w:val="cf01"/>
        </w:rPr>
        <w:t>Les seuils maxima de bruit à ne pas dépasser sans exposer l’organisme humain à des conséquences dangereuses sont cinquante-cinq (55) à soixante (60) décibels le jour et quarante (40) décibels la nuit tels que stipulés au Titre IV R84 du code de l'environnement sénégalais (voir votre tableau 2). Conformer les limites aux seuils adoptés dans la lo</w:t>
      </w:r>
    </w:p>
  </w:footnote>
  <w:footnote w:id="7">
    <w:p w14:paraId="22939C9F" w14:textId="77777777" w:rsidR="007D4EA2" w:rsidRPr="007133CA" w:rsidRDefault="007D4EA2" w:rsidP="00B91B2B">
      <w:pPr>
        <w:rPr>
          <w:rFonts w:asciiTheme="minorHAnsi" w:eastAsia="Calibri" w:hAnsiTheme="minorHAnsi" w:cstheme="minorHAnsi"/>
          <w:sz w:val="20"/>
          <w:szCs w:val="22"/>
          <w:lang w:eastAsia="en-US"/>
        </w:rPr>
      </w:pPr>
      <w:r>
        <w:rPr>
          <w:rStyle w:val="Appelnotedebasdep"/>
        </w:rPr>
        <w:footnoteRef/>
      </w:r>
      <w:r>
        <w:t xml:space="preserve"> </w:t>
      </w:r>
      <w:r w:rsidRPr="00926637">
        <w:rPr>
          <w:rFonts w:asciiTheme="minorHAnsi" w:eastAsia="Calibri" w:hAnsiTheme="minorHAnsi" w:cstheme="minorHAnsi"/>
          <w:sz w:val="18"/>
          <w:szCs w:val="22"/>
          <w:lang w:eastAsia="en-US"/>
        </w:rPr>
        <w:t xml:space="preserve">Les treize (13) régions cibles du projet sont : Dakar, Thiès, Louga, Saint Louis, Matam, Diourbel, Fatick, Kaolack, Kaffrine, Tambacounda, Ziguinchor, Sédhiou et Kolda. </w:t>
      </w:r>
    </w:p>
  </w:footnote>
  <w:footnote w:id="8">
    <w:p w14:paraId="737BEC66" w14:textId="77777777" w:rsidR="007D4EA2" w:rsidRPr="00D44FFE" w:rsidRDefault="007D4EA2" w:rsidP="00477A61">
      <w:pPr>
        <w:pStyle w:val="Notedebasdepage"/>
        <w:rPr>
          <w:rFonts w:ascii="Tahoma" w:hAnsi="Tahoma" w:cs="Tahoma"/>
          <w:noProof/>
        </w:rPr>
      </w:pPr>
      <w:r w:rsidRPr="00D44FFE">
        <w:rPr>
          <w:rStyle w:val="Appelnotedebasdep"/>
          <w:rFonts w:ascii="Tahoma" w:hAnsi="Tahoma" w:cs="Tahoma"/>
          <w:noProof/>
        </w:rPr>
        <w:footnoteRef/>
      </w:r>
      <w:r w:rsidRPr="00D44FFE">
        <w:rPr>
          <w:rFonts w:ascii="Tahoma" w:hAnsi="Tahoma" w:cs="Tahoma"/>
          <w:noProof/>
        </w:rPr>
        <w:t xml:space="preserve"> </w:t>
      </w:r>
      <w:r w:rsidRPr="00D44FFE">
        <w:rPr>
          <w:rFonts w:ascii="Tahoma" w:hAnsi="Tahoma" w:cs="Tahoma"/>
          <w:noProof/>
          <w:sz w:val="16"/>
          <w:szCs w:val="16"/>
        </w:rPr>
        <w:t>Il importe de relever que les femmes et les filles subissent démesurément la violence ; dans l'ensemble, 35 % des femmes dans le monde ont été survivantes de violence physique ou sexuelle (OMS, Estimations mondiales et régionales de la violence à l’encontre des femmes : prévalence et conséquences sur la santé de la violence du partenaire intime et de la violence sexuelle exercée par d’autres que le partenaire, 2013).  Certains hommes et garçons sont également confrontés à la violence fondée sur leur genre et l'inégalité des relations de pouvoirs.</w:t>
      </w:r>
    </w:p>
  </w:footnote>
  <w:footnote w:id="9">
    <w:p w14:paraId="7428ED5A" w14:textId="77777777" w:rsidR="007D4EA2" w:rsidRPr="00D44FFE" w:rsidRDefault="007D4EA2" w:rsidP="00477A61">
      <w:pPr>
        <w:pStyle w:val="Notedebasdepage"/>
        <w:rPr>
          <w:rFonts w:ascii="Tahoma" w:hAnsi="Tahoma" w:cs="Tahoma"/>
          <w:noProof/>
          <w:sz w:val="16"/>
          <w:szCs w:val="16"/>
        </w:rPr>
      </w:pPr>
      <w:r w:rsidRPr="00D44FFE">
        <w:rPr>
          <w:rStyle w:val="Appelnotedebasdep"/>
          <w:rFonts w:ascii="Tahoma" w:hAnsi="Tahoma" w:cs="Tahoma"/>
          <w:noProof/>
          <w:sz w:val="16"/>
          <w:szCs w:val="16"/>
        </w:rPr>
        <w:footnoteRef/>
      </w:r>
      <w:r w:rsidRPr="00D44FFE">
        <w:rPr>
          <w:rFonts w:ascii="Tahoma" w:hAnsi="Tahoma" w:cs="Tahoma"/>
          <w:noProof/>
          <w:sz w:val="16"/>
          <w:szCs w:val="16"/>
        </w:rPr>
        <w:t xml:space="preserve"> L’exposition à la VBG est aussi considéréé comme la VCE. </w:t>
      </w:r>
    </w:p>
  </w:footnote>
  <w:footnote w:id="10">
    <w:p w14:paraId="61268FE7" w14:textId="77777777" w:rsidR="007D4EA2" w:rsidRPr="00D44FFE" w:rsidRDefault="007D4EA2" w:rsidP="00477A61">
      <w:pPr>
        <w:pStyle w:val="Notedebasdepage"/>
        <w:rPr>
          <w:rFonts w:ascii="Tahoma" w:hAnsi="Tahoma" w:cs="Tahoma"/>
          <w:noProof/>
          <w:sz w:val="16"/>
          <w:szCs w:val="16"/>
        </w:rPr>
      </w:pPr>
      <w:r w:rsidRPr="00D44FFE">
        <w:rPr>
          <w:rStyle w:val="Appelnotedebasdep"/>
          <w:rFonts w:ascii="Tahoma" w:hAnsi="Tahoma" w:cs="Tahoma"/>
          <w:noProof/>
          <w:sz w:val="16"/>
          <w:szCs w:val="16"/>
        </w:rPr>
        <w:footnoteRef/>
      </w:r>
      <w:r w:rsidRPr="00D44FFE">
        <w:rPr>
          <w:rFonts w:ascii="Tahoma" w:hAnsi="Tahoma" w:cs="Tahoma"/>
          <w:noProof/>
          <w:sz w:val="16"/>
          <w:szCs w:val="16"/>
        </w:rPr>
        <w:t xml:space="preserve"> L’emploi des enfants doit être conforme à toutes les législations locales pertinentes, y compris les lois du travail relatives au travail des enfants et les politiques de sauvegarde de la Banque mondiale sur le travail des enfants et l'âge minimum. Il doit également être en mesure de satisfaire aux normes de compétences en matière d’hygiène et de sécurité du travail du projet.</w:t>
      </w:r>
    </w:p>
  </w:footnote>
  <w:footnote w:id="11">
    <w:p w14:paraId="1F6B74A6" w14:textId="77777777" w:rsidR="007D4EA2" w:rsidRPr="00F62F77" w:rsidRDefault="007D4EA2" w:rsidP="00477A61">
      <w:pPr>
        <w:pStyle w:val="Notedebasdepage"/>
        <w:rPr>
          <w:noProof/>
        </w:rPr>
      </w:pPr>
      <w:r w:rsidRPr="00D44FFE">
        <w:rPr>
          <w:rStyle w:val="Appelnotedebasdep"/>
          <w:rFonts w:ascii="Tahoma" w:hAnsi="Tahoma" w:cs="Tahoma"/>
          <w:noProof/>
          <w:sz w:val="16"/>
          <w:szCs w:val="16"/>
        </w:rPr>
        <w:footnoteRef/>
      </w:r>
      <w:r w:rsidRPr="00D44FFE">
        <w:rPr>
          <w:rFonts w:ascii="Tahoma" w:hAnsi="Tahoma" w:cs="Tahoma"/>
          <w:noProof/>
          <w:sz w:val="16"/>
          <w:szCs w:val="16"/>
        </w:rPr>
        <w:t xml:space="preserve"> Par exemple, la loi sur le Code pénal du Vanuatu de 1995, Division 474 (infractions liées aux télécommunications, subdivision C).</w:t>
      </w:r>
    </w:p>
  </w:footnote>
  <w:footnote w:id="12">
    <w:p w14:paraId="7866D513" w14:textId="77777777" w:rsidR="007D4EA2" w:rsidRPr="00D44FFE" w:rsidRDefault="007D4EA2" w:rsidP="00477A61">
      <w:pPr>
        <w:pStyle w:val="Notedebasdepage"/>
        <w:rPr>
          <w:rFonts w:ascii="Tahoma" w:hAnsi="Tahoma" w:cs="Tahoma"/>
          <w:noProof/>
        </w:rPr>
      </w:pPr>
      <w:r w:rsidRPr="00D44FFE">
        <w:rPr>
          <w:rStyle w:val="Appelnotedebasdep"/>
          <w:rFonts w:ascii="Tahoma" w:hAnsi="Tahoma" w:cs="Tahoma"/>
          <w:noProof/>
        </w:rPr>
        <w:footnoteRef/>
      </w:r>
      <w:r w:rsidRPr="00D44FFE">
        <w:rPr>
          <w:rFonts w:ascii="Tahoma" w:hAnsi="Tahoma" w:cs="Tahoma"/>
          <w:noProof/>
          <w:sz w:val="16"/>
          <w:szCs w:val="16"/>
        </w:rPr>
        <w:t xml:space="preserve"> Par exemple, aux termes de l’Article 97 de la loi de codification du droit pénal pour l’âge légal du consentement à Vanuatu, l’activité sexuelle avec un enfant de moins de 15 ans pour le comportement hétérosexuel et de 18 ans pour le même sexe est interdite (</w:t>
      </w:r>
      <w:hyperlink r:id="rId1" w:history="1">
        <w:r w:rsidRPr="00D44FFE">
          <w:rPr>
            <w:rStyle w:val="Lienhypertexte"/>
            <w:rFonts w:ascii="Tahoma" w:hAnsi="Tahoma" w:cs="Tahoma"/>
            <w:noProof/>
            <w:sz w:val="16"/>
            <w:szCs w:val="16"/>
          </w:rPr>
          <w:t>http://tinyurl.com/vu-consent</w:t>
        </w:r>
      </w:hyperlink>
      <w:r w:rsidRPr="00D44FFE">
        <w:rPr>
          <w:rFonts w:ascii="Tahoma" w:hAnsi="Tahoma" w:cs="Tahoma"/>
          <w:noProof/>
          <w:sz w:val="16"/>
          <w:szCs w:val="16"/>
        </w:rPr>
        <w:t xml:space="preserve">). Toutefois, la Banque mondiale suit les Nations Unies pour l’âge du consentement (18 ans), ainsi cela s’applique aux projets financés par la Banque mondiale. </w:t>
      </w:r>
    </w:p>
  </w:footnote>
  <w:footnote w:id="13">
    <w:p w14:paraId="1C0932C4" w14:textId="77777777" w:rsidR="007D4EA2" w:rsidRPr="00D44FFE" w:rsidRDefault="007D4EA2" w:rsidP="00477A61">
      <w:pPr>
        <w:pStyle w:val="Notedebasdepage"/>
        <w:rPr>
          <w:rFonts w:ascii="Tahoma" w:hAnsi="Tahoma" w:cs="Tahoma"/>
          <w:noProof/>
        </w:rPr>
      </w:pPr>
      <w:r w:rsidRPr="00D44FFE">
        <w:rPr>
          <w:rStyle w:val="Appelnotedebasdep"/>
          <w:rFonts w:ascii="Tahoma" w:hAnsi="Tahoma" w:cs="Tahoma"/>
          <w:noProof/>
        </w:rPr>
        <w:footnoteRef/>
      </w:r>
      <w:r w:rsidRPr="00D44FFE">
        <w:rPr>
          <w:rFonts w:ascii="Tahoma" w:hAnsi="Tahoma" w:cs="Tahoma"/>
          <w:noProof/>
        </w:rPr>
        <w:t xml:space="preserve"> </w:t>
      </w:r>
      <w:bookmarkStart w:id="1397" w:name="_Hlk530928952"/>
      <w:r w:rsidRPr="00D44FFE">
        <w:rPr>
          <w:rFonts w:ascii="Tahoma" w:hAnsi="Tahoma" w:cs="Tahoma"/>
          <w:noProof/>
          <w:sz w:val="16"/>
          <w:szCs w:val="16"/>
        </w:rPr>
        <w:t>Le</w:t>
      </w:r>
      <w:r w:rsidRPr="00D44FFE">
        <w:rPr>
          <w:rFonts w:ascii="Tahoma" w:hAnsi="Tahoma" w:cs="Tahoma"/>
          <w:b/>
          <w:noProof/>
          <w:sz w:val="16"/>
          <w:szCs w:val="16"/>
        </w:rPr>
        <w:t xml:space="preserve"> consentement</w:t>
      </w:r>
      <w:r w:rsidRPr="00D44FFE">
        <w:rPr>
          <w:rFonts w:ascii="Tahoma" w:hAnsi="Tahoma" w:cs="Tahoma"/>
          <w:noProof/>
          <w:sz w:val="16"/>
          <w:szCs w:val="16"/>
        </w:rPr>
        <w:t xml:space="preserve"> </w:t>
      </w:r>
      <w:bookmarkEnd w:id="1397"/>
      <w:r w:rsidRPr="00D44FFE">
        <w:rPr>
          <w:rFonts w:ascii="Tahoma" w:hAnsi="Tahoma" w:cs="Tahoma"/>
          <w:noProof/>
          <w:sz w:val="16"/>
          <w:szCs w:val="16"/>
        </w:rPr>
        <w:t>se définit comme le choix libre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prevoit la majorité sexuelle à un âge inférieur. La méconnaissance de l'âge de l'enfant et le consentement de celui-ci ne peuvent être invoqués comme moyen de défense.</w:t>
      </w:r>
    </w:p>
  </w:footnote>
  <w:footnote w:id="14">
    <w:p w14:paraId="27ED3C3B" w14:textId="77777777" w:rsidR="007D4EA2" w:rsidRPr="00A31D05" w:rsidRDefault="007D4EA2" w:rsidP="00477A61">
      <w:pPr>
        <w:pStyle w:val="Notedebasdepage"/>
      </w:pPr>
      <w:r w:rsidRPr="00E37499">
        <w:rPr>
          <w:rStyle w:val="Appelnotedebasdep"/>
        </w:rPr>
        <w:footnoteRef/>
      </w:r>
      <w:r w:rsidRPr="00E37499">
        <w:t xml:space="preserve"> </w:t>
      </w:r>
      <w:r w:rsidRPr="00D44FFE">
        <w:rPr>
          <w:rFonts w:ascii="Tahoma" w:hAnsi="Tahoma" w:cs="Tahoma"/>
          <w:sz w:val="16"/>
          <w:szCs w:val="16"/>
        </w:rPr>
        <w:t>Le terme « </w:t>
      </w:r>
      <w:r w:rsidRPr="00D44FFE">
        <w:rPr>
          <w:rFonts w:ascii="Tahoma" w:hAnsi="Tahoma" w:cs="Tahoma"/>
          <w:b/>
          <w:bCs/>
          <w:sz w:val="16"/>
          <w:szCs w:val="16"/>
        </w:rPr>
        <w:t>consentement</w:t>
      </w:r>
      <w:r w:rsidRPr="00D44FFE">
        <w:rPr>
          <w:rFonts w:ascii="Tahoma" w:hAnsi="Tahoma" w:cs="Tahoma"/>
          <w:sz w:val="16"/>
          <w:szCs w:val="16"/>
        </w:rPr>
        <w:t> » se définit comme le choix éclairé qui sous-tend l'intention, l'acceptation ou l’accord libres et volontaires d'une personne de faire quelque chose.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prévoit la majorité sexuelle à un âge inférieur. La méconnaissance de l'âge de l'enfant et le consentement de celui-ci ne peuvent être invoqués comme moyen de défense.</w:t>
      </w:r>
    </w:p>
  </w:footnote>
  <w:footnote w:id="15">
    <w:p w14:paraId="532C71A8" w14:textId="77777777" w:rsidR="007D4EA2" w:rsidRPr="00A31D05" w:rsidRDefault="007D4EA2" w:rsidP="00477A61">
      <w:pPr>
        <w:pStyle w:val="Notedebasdepage"/>
      </w:pPr>
      <w:r w:rsidRPr="00E37499">
        <w:rPr>
          <w:rStyle w:val="Appelnotedebasdep"/>
        </w:rPr>
        <w:footnoteRef/>
      </w:r>
      <w:r w:rsidRPr="00E37499">
        <w:t xml:space="preserve"> </w:t>
      </w:r>
      <w:r w:rsidRPr="00E37499">
        <w:rPr>
          <w:sz w:val="16"/>
          <w:szCs w:val="16"/>
        </w:rPr>
        <w:t xml:space="preserve">Il est essentiel d'adopter une approche axée sur les </w:t>
      </w:r>
      <w:r>
        <w:rPr>
          <w:sz w:val="16"/>
          <w:szCs w:val="16"/>
        </w:rPr>
        <w:t>survivant(e)</w:t>
      </w:r>
      <w:r w:rsidRPr="00E37499">
        <w:rPr>
          <w:sz w:val="16"/>
          <w:szCs w:val="16"/>
        </w:rPr>
        <w:t xml:space="preserve">s. Les </w:t>
      </w:r>
      <w:r>
        <w:rPr>
          <w:sz w:val="16"/>
          <w:szCs w:val="16"/>
        </w:rPr>
        <w:t>survivant(e)</w:t>
      </w:r>
      <w:r w:rsidRPr="00E37499">
        <w:rPr>
          <w:sz w:val="16"/>
          <w:szCs w:val="16"/>
        </w:rPr>
        <w:t xml:space="preserve">s devraient participer pleinement à la prise de décision. Sauf dans des circonstances exceptionnelles, il devrait être exigé de l'auteur de la violence qu'il prenne les mesures appropriées pour faire en sorte que la </w:t>
      </w:r>
      <w:r>
        <w:rPr>
          <w:sz w:val="16"/>
          <w:szCs w:val="16"/>
        </w:rPr>
        <w:t>survivante</w:t>
      </w:r>
      <w:r w:rsidRPr="00E37499">
        <w:rPr>
          <w:sz w:val="16"/>
          <w:szCs w:val="16"/>
        </w:rPr>
        <w:t xml:space="preserve"> s'adapte à la situation (par exemple, le déménagement, le changement d'horaires, etc.), plutôt que ce soit </w:t>
      </w:r>
      <w:r w:rsidRPr="00A66406">
        <w:rPr>
          <w:sz w:val="16"/>
          <w:szCs w:val="16"/>
        </w:rPr>
        <w:t xml:space="preserve">le/a survivant/e </w:t>
      </w:r>
      <w:r w:rsidRPr="00E37499">
        <w:rPr>
          <w:sz w:val="16"/>
          <w:szCs w:val="16"/>
        </w:rPr>
        <w:t>qui opère des changement</w:t>
      </w:r>
      <w:r>
        <w:rPr>
          <w:sz w:val="16"/>
          <w:szCs w:val="16"/>
        </w:rPr>
        <w:t>s</w:t>
      </w:r>
      <w:r w:rsidRPr="00E37499">
        <w:rPr>
          <w:sz w:val="16"/>
          <w:szCs w:val="16"/>
        </w:rPr>
        <w:t>.</w:t>
      </w:r>
    </w:p>
  </w:footnote>
  <w:footnote w:id="16">
    <w:p w14:paraId="5FFA7622" w14:textId="77777777" w:rsidR="00156A89" w:rsidRPr="00E307F3" w:rsidRDefault="00156A89" w:rsidP="00156A89">
      <w:pPr>
        <w:pStyle w:val="Notedebasdepage"/>
      </w:pPr>
      <w:r>
        <w:rPr>
          <w:rStyle w:val="Appelnotedebasdep"/>
        </w:rPr>
        <w:footnoteRef/>
      </w:r>
      <w:r>
        <w:t xml:space="preserve"> </w:t>
      </w:r>
      <w:r w:rsidRPr="00E307F3">
        <w:t xml:space="preserve">Dans l’affirmative, veuillez spécifier </w:t>
      </w:r>
      <w:r>
        <w:t>la documentation juridique existante et rajouter en annexe si possible.</w:t>
      </w:r>
    </w:p>
  </w:footnote>
  <w:footnote w:id="17">
    <w:p w14:paraId="33C1F9BF" w14:textId="77777777" w:rsidR="00065A58" w:rsidRPr="008019AE" w:rsidRDefault="00065A58" w:rsidP="00065A58">
      <w:pPr>
        <w:pStyle w:val="Notedebasdepage"/>
      </w:pPr>
      <w:r>
        <w:rPr>
          <w:rStyle w:val="Appelnotedebasdep"/>
        </w:rPr>
        <w:footnoteRef/>
      </w:r>
      <w:r>
        <w:t xml:space="preserve"> </w:t>
      </w:r>
      <w:hyperlink r:id="rId2" w:history="1">
        <w:r w:rsidRPr="008019AE">
          <w:rPr>
            <w:rStyle w:val="Lienhypertexte"/>
            <w:rFonts w:asciiTheme="minorHAnsi" w:hAnsiTheme="minorHAnsi" w:cstheme="minorHAnsi"/>
            <w:color w:val="000000" w:themeColor="text1"/>
          </w:rPr>
          <w:t>https://www.ifc.org/wps/wcm/connect/topics_ext_content/ifc_external_corporate_site/sustainability-at-ifc/policies-standards/ehs-guidelines</w:t>
        </w:r>
      </w:hyperlink>
      <w:r w:rsidRPr="008019AE">
        <w:rPr>
          <w:rFonts w:asciiTheme="minorHAnsi" w:hAnsiTheme="minorHAnsi" w:cstheme="minorHAnsi"/>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70" w:type="pct"/>
      <w:jc w:val="center"/>
      <w:tblLook w:val="04A0" w:firstRow="1" w:lastRow="0" w:firstColumn="1" w:lastColumn="0" w:noHBand="0" w:noVBand="1"/>
    </w:tblPr>
    <w:tblGrid>
      <w:gridCol w:w="7411"/>
      <w:gridCol w:w="1424"/>
    </w:tblGrid>
    <w:tr w:rsidR="007D4EA2" w:rsidRPr="00F43E8A" w14:paraId="124AE8C8" w14:textId="77777777" w:rsidTr="00C55E60">
      <w:trPr>
        <w:trHeight w:val="284"/>
        <w:jc w:val="center"/>
      </w:trPr>
      <w:tc>
        <w:tcPr>
          <w:tcW w:w="4194" w:type="pct"/>
          <w:shd w:val="clear" w:color="auto" w:fill="DEEAF6" w:themeFill="accent1" w:themeFillTint="33"/>
          <w:vAlign w:val="center"/>
        </w:tcPr>
        <w:p w14:paraId="2A9FEFD9" w14:textId="097D49D7" w:rsidR="007D4EA2" w:rsidRPr="00F43E8A" w:rsidRDefault="007D4EA2" w:rsidP="007F5D6A">
          <w:pPr>
            <w:rPr>
              <w:rFonts w:asciiTheme="minorHAnsi" w:hAnsiTheme="minorHAnsi" w:cstheme="minorHAnsi"/>
              <w:sz w:val="20"/>
              <w:szCs w:val="20"/>
            </w:rPr>
          </w:pPr>
          <w:r w:rsidRPr="00F43E8A">
            <w:rPr>
              <w:rFonts w:asciiTheme="minorHAnsi" w:hAnsiTheme="minorHAnsi" w:cstheme="minorHAnsi"/>
              <w:color w:val="002060"/>
              <w:sz w:val="20"/>
              <w:szCs w:val="20"/>
            </w:rPr>
            <w:t xml:space="preserve">Programme de résilience des systèmes alimentaires au Sénégal (FSRP-SN) </w:t>
          </w:r>
        </w:p>
      </w:tc>
      <w:tc>
        <w:tcPr>
          <w:tcW w:w="806" w:type="pct"/>
          <w:shd w:val="clear" w:color="auto" w:fill="002060"/>
          <w:vAlign w:val="center"/>
        </w:tcPr>
        <w:p w14:paraId="54C12F92" w14:textId="0645D110" w:rsidR="007D4EA2" w:rsidRPr="00F43E8A" w:rsidRDefault="007D4EA2" w:rsidP="00C74DE6">
          <w:pPr>
            <w:tabs>
              <w:tab w:val="left" w:pos="5979"/>
            </w:tabs>
            <w:jc w:val="center"/>
            <w:rPr>
              <w:rFonts w:asciiTheme="minorHAnsi" w:hAnsiTheme="minorHAnsi" w:cstheme="minorHAnsi"/>
              <w:sz w:val="20"/>
              <w:szCs w:val="20"/>
            </w:rPr>
          </w:pPr>
          <w:r w:rsidRPr="00F43E8A">
            <w:rPr>
              <w:rFonts w:asciiTheme="minorHAnsi" w:hAnsiTheme="minorHAnsi" w:cstheme="minorHAnsi"/>
              <w:sz w:val="16"/>
              <w:szCs w:val="20"/>
            </w:rPr>
            <w:t xml:space="preserve">CGES </w:t>
          </w:r>
          <w:r w:rsidRPr="00F43E8A">
            <w:rPr>
              <w:rFonts w:asciiTheme="minorHAnsi" w:hAnsiTheme="minorHAnsi" w:cstheme="minorHAnsi"/>
              <w:bCs/>
              <w:noProof/>
              <w:sz w:val="16"/>
              <w:szCs w:val="20"/>
            </w:rPr>
            <w:t>P180244</w:t>
          </w:r>
        </w:p>
      </w:tc>
    </w:tr>
  </w:tbl>
  <w:p w14:paraId="5ED0F3FB" w14:textId="77777777" w:rsidR="007D4EA2" w:rsidRDefault="007D4EA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5FE576A"/>
    <w:lvl w:ilvl="0">
      <w:numFmt w:val="decimal"/>
      <w:pStyle w:val="Listenumros3"/>
      <w:lvlText w:val=""/>
      <w:lvlJc w:val="left"/>
      <w:pPr>
        <w:tabs>
          <w:tab w:val="num" w:pos="360"/>
        </w:tabs>
      </w:pPr>
    </w:lvl>
  </w:abstractNum>
  <w:abstractNum w:abstractNumId="1" w15:restartNumberingAfterBreak="0">
    <w:nsid w:val="FFFFFF7F"/>
    <w:multiLevelType w:val="singleLevel"/>
    <w:tmpl w:val="A0A09CD2"/>
    <w:lvl w:ilvl="0">
      <w:start w:val="1"/>
      <w:numFmt w:val="lowerLetter"/>
      <w:pStyle w:val="Listenumros2"/>
      <w:lvlText w:val="%1)"/>
      <w:lvlJc w:val="left"/>
      <w:pPr>
        <w:tabs>
          <w:tab w:val="num" w:pos="720"/>
        </w:tabs>
        <w:ind w:left="720" w:hanging="360"/>
      </w:pPr>
      <w:rPr>
        <w:rFonts w:hint="default"/>
        <w:b w:val="0"/>
        <w:i w:val="0"/>
      </w:rPr>
    </w:lvl>
  </w:abstractNum>
  <w:abstractNum w:abstractNumId="2" w15:restartNumberingAfterBreak="0">
    <w:nsid w:val="FFFFFF82"/>
    <w:multiLevelType w:val="singleLevel"/>
    <w:tmpl w:val="28245906"/>
    <w:lvl w:ilvl="0">
      <w:start w:val="1"/>
      <w:numFmt w:val="bullet"/>
      <w:pStyle w:val="Listepuces3"/>
      <w:lvlText w:val=""/>
      <w:lvlJc w:val="left"/>
      <w:pPr>
        <w:tabs>
          <w:tab w:val="num" w:pos="1960"/>
        </w:tabs>
        <w:ind w:left="1960" w:hanging="360"/>
      </w:pPr>
      <w:rPr>
        <w:rFonts w:ascii="Wingdings" w:hAnsi="Wingdings" w:hint="default"/>
      </w:rPr>
    </w:lvl>
  </w:abstractNum>
  <w:abstractNum w:abstractNumId="3" w15:restartNumberingAfterBreak="0">
    <w:nsid w:val="FFFFFF83"/>
    <w:multiLevelType w:val="singleLevel"/>
    <w:tmpl w:val="A57C043E"/>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2EB09FCE"/>
    <w:lvl w:ilvl="0">
      <w:start w:val="1"/>
      <w:numFmt w:val="bullet"/>
      <w:pStyle w:val="BoulletsR1"/>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A2900BCC"/>
    <w:lvl w:ilvl="0">
      <w:numFmt w:val="bullet"/>
      <w:lvlText w:val="*"/>
      <w:lvlJc w:val="left"/>
    </w:lvl>
  </w:abstractNum>
  <w:abstractNum w:abstractNumId="6" w15:restartNumberingAfterBreak="0">
    <w:nsid w:val="00000003"/>
    <w:multiLevelType w:val="multilevel"/>
    <w:tmpl w:val="00000003"/>
    <w:name w:val="WW8Num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928"/>
        </w:tabs>
        <w:ind w:left="928"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414"/>
    <w:multiLevelType w:val="multilevel"/>
    <w:tmpl w:val="00000897"/>
    <w:lvl w:ilvl="0">
      <w:numFmt w:val="bullet"/>
      <w:lvlText w:val=""/>
      <w:lvlJc w:val="left"/>
      <w:pPr>
        <w:ind w:left="836" w:hanging="360"/>
      </w:pPr>
      <w:rPr>
        <w:rFonts w:ascii="Symbol" w:hAnsi="Symbol" w:cs="Symbol"/>
        <w:b w:val="0"/>
        <w:bCs w:val="0"/>
        <w:w w:val="100"/>
        <w:sz w:val="22"/>
        <w:szCs w:val="22"/>
      </w:rPr>
    </w:lvl>
    <w:lvl w:ilvl="1">
      <w:numFmt w:val="bullet"/>
      <w:lvlText w:val="•"/>
      <w:lvlJc w:val="left"/>
      <w:pPr>
        <w:ind w:left="1686" w:hanging="360"/>
      </w:pPr>
    </w:lvl>
    <w:lvl w:ilvl="2">
      <w:numFmt w:val="bullet"/>
      <w:lvlText w:val="•"/>
      <w:lvlJc w:val="left"/>
      <w:pPr>
        <w:ind w:left="2533" w:hanging="360"/>
      </w:pPr>
    </w:lvl>
    <w:lvl w:ilvl="3">
      <w:numFmt w:val="bullet"/>
      <w:lvlText w:val="•"/>
      <w:lvlJc w:val="left"/>
      <w:pPr>
        <w:ind w:left="3379" w:hanging="360"/>
      </w:pPr>
    </w:lvl>
    <w:lvl w:ilvl="4">
      <w:numFmt w:val="bullet"/>
      <w:lvlText w:val="•"/>
      <w:lvlJc w:val="left"/>
      <w:pPr>
        <w:ind w:left="4226" w:hanging="360"/>
      </w:pPr>
    </w:lvl>
    <w:lvl w:ilvl="5">
      <w:numFmt w:val="bullet"/>
      <w:lvlText w:val="•"/>
      <w:lvlJc w:val="left"/>
      <w:pPr>
        <w:ind w:left="5073" w:hanging="360"/>
      </w:pPr>
    </w:lvl>
    <w:lvl w:ilvl="6">
      <w:numFmt w:val="bullet"/>
      <w:lvlText w:val="•"/>
      <w:lvlJc w:val="left"/>
      <w:pPr>
        <w:ind w:left="5919" w:hanging="360"/>
      </w:pPr>
    </w:lvl>
    <w:lvl w:ilvl="7">
      <w:numFmt w:val="bullet"/>
      <w:lvlText w:val="•"/>
      <w:lvlJc w:val="left"/>
      <w:pPr>
        <w:ind w:left="6766" w:hanging="360"/>
      </w:pPr>
    </w:lvl>
    <w:lvl w:ilvl="8">
      <w:numFmt w:val="bullet"/>
      <w:lvlText w:val="•"/>
      <w:lvlJc w:val="left"/>
      <w:pPr>
        <w:ind w:left="7613" w:hanging="360"/>
      </w:pPr>
    </w:lvl>
  </w:abstractNum>
  <w:abstractNum w:abstractNumId="8" w15:restartNumberingAfterBreak="0">
    <w:nsid w:val="00306B73"/>
    <w:multiLevelType w:val="hybridMultilevel"/>
    <w:tmpl w:val="4FF015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07D6123"/>
    <w:multiLevelType w:val="hybridMultilevel"/>
    <w:tmpl w:val="08E8F4F8"/>
    <w:lvl w:ilvl="0" w:tplc="5C3AB244">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14B4D56"/>
    <w:multiLevelType w:val="hybridMultilevel"/>
    <w:tmpl w:val="8FCC1E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018F6F2D"/>
    <w:multiLevelType w:val="multilevel"/>
    <w:tmpl w:val="BE541958"/>
    <w:lvl w:ilvl="0">
      <w:start w:val="1"/>
      <w:numFmt w:val="upperLetter"/>
      <w:pStyle w:val="PDSHeading2"/>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1BC2E4F"/>
    <w:multiLevelType w:val="hybridMultilevel"/>
    <w:tmpl w:val="B6BAA1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2005A21"/>
    <w:multiLevelType w:val="hybridMultilevel"/>
    <w:tmpl w:val="FB849F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312741C"/>
    <w:multiLevelType w:val="hybridMultilevel"/>
    <w:tmpl w:val="2856DD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4557156"/>
    <w:multiLevelType w:val="hybridMultilevel"/>
    <w:tmpl w:val="81283E76"/>
    <w:lvl w:ilvl="0" w:tplc="2670F57A">
      <w:numFmt w:val="bullet"/>
      <w:lvlText w:val="-"/>
      <w:lvlJc w:val="left"/>
      <w:pPr>
        <w:ind w:left="720" w:hanging="360"/>
      </w:pPr>
      <w:rPr>
        <w:rFonts w:ascii="Arial" w:eastAsia="Times New Roman" w:hAnsi="Arial" w:cs="Arial" w:hint="default"/>
        <w:b w:val="0"/>
        <w:bCs w:val="0"/>
      </w:rPr>
    </w:lvl>
    <w:lvl w:ilvl="1" w:tplc="040C000D">
      <w:start w:val="1"/>
      <w:numFmt w:val="bullet"/>
      <w:lvlText w:val=""/>
      <w:lvlJc w:val="left"/>
      <w:pPr>
        <w:ind w:left="1440" w:hanging="360"/>
      </w:pPr>
      <w:rPr>
        <w:rFonts w:ascii="Wingdings" w:hAnsi="Wingdings" w:hint="default"/>
        <w:sz w:val="16"/>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E03C9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5F52617"/>
    <w:multiLevelType w:val="hybridMultilevel"/>
    <w:tmpl w:val="DF5EBC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064669A4"/>
    <w:multiLevelType w:val="multilevel"/>
    <w:tmpl w:val="107CCFD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06DB3F45"/>
    <w:multiLevelType w:val="hybridMultilevel"/>
    <w:tmpl w:val="6C36AF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07074DB6"/>
    <w:multiLevelType w:val="hybridMultilevel"/>
    <w:tmpl w:val="E8127AA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2" w15:restartNumberingAfterBreak="0">
    <w:nsid w:val="08D50701"/>
    <w:multiLevelType w:val="multilevel"/>
    <w:tmpl w:val="AFF2750E"/>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24" w15:restartNumberingAfterBreak="0">
    <w:nsid w:val="0A2B31DB"/>
    <w:multiLevelType w:val="hybridMultilevel"/>
    <w:tmpl w:val="94FE6D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C7345A0"/>
    <w:multiLevelType w:val="hybridMultilevel"/>
    <w:tmpl w:val="B9F814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0C967756"/>
    <w:multiLevelType w:val="hybridMultilevel"/>
    <w:tmpl w:val="FF54E294"/>
    <w:lvl w:ilvl="0" w:tplc="24842482">
      <w:start w:val="1"/>
      <w:numFmt w:val="bullet"/>
      <w:pStyle w:val="Check-list"/>
      <w:lvlText w:val=""/>
      <w:lvlJc w:val="left"/>
      <w:pPr>
        <w:tabs>
          <w:tab w:val="num" w:pos="765"/>
        </w:tabs>
        <w:ind w:left="765" w:hanging="360"/>
      </w:pPr>
      <w:rPr>
        <w:rFonts w:ascii="Symbol" w:hAnsi="Symbol" w:hint="default"/>
      </w:rPr>
    </w:lvl>
    <w:lvl w:ilvl="1" w:tplc="040C000D">
      <w:start w:val="1"/>
      <w:numFmt w:val="bullet"/>
      <w:lvlText w:val=""/>
      <w:lvlJc w:val="left"/>
      <w:pPr>
        <w:tabs>
          <w:tab w:val="num" w:pos="1485"/>
        </w:tabs>
        <w:ind w:left="1485" w:hanging="360"/>
      </w:pPr>
      <w:rPr>
        <w:rFonts w:ascii="Wingdings" w:hAnsi="Wingdings"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27" w15:restartNumberingAfterBreak="0">
    <w:nsid w:val="0D616B93"/>
    <w:multiLevelType w:val="hybridMultilevel"/>
    <w:tmpl w:val="5FF22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EB67EF7"/>
    <w:multiLevelType w:val="hybridMultilevel"/>
    <w:tmpl w:val="1FB6EC56"/>
    <w:lvl w:ilvl="0" w:tplc="1F102D10">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EE04D0E"/>
    <w:multiLevelType w:val="hybridMultilevel"/>
    <w:tmpl w:val="E206A2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0F5309E5"/>
    <w:multiLevelType w:val="hybridMultilevel"/>
    <w:tmpl w:val="AF1E9D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11CB569A"/>
    <w:multiLevelType w:val="hybridMultilevel"/>
    <w:tmpl w:val="463E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2E179D"/>
    <w:multiLevelType w:val="hybridMultilevel"/>
    <w:tmpl w:val="26002A44"/>
    <w:lvl w:ilvl="0" w:tplc="CE261B9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8F2200"/>
    <w:multiLevelType w:val="hybridMultilevel"/>
    <w:tmpl w:val="5B60F7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12F5723B"/>
    <w:multiLevelType w:val="hybridMultilevel"/>
    <w:tmpl w:val="15060584"/>
    <w:lvl w:ilvl="0" w:tplc="DBE09CEA">
      <w:start w:val="1"/>
      <w:numFmt w:val="lowerRoman"/>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90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125012"/>
    <w:multiLevelType w:val="multilevel"/>
    <w:tmpl w:val="D324C0F4"/>
    <w:lvl w:ilvl="0">
      <w:start w:val="4"/>
      <w:numFmt w:val="decimal"/>
      <w:lvlText w:val="%1-"/>
      <w:lvlJc w:val="right"/>
      <w:pPr>
        <w:ind w:left="720" w:hanging="360"/>
      </w:pPr>
      <w:rPr>
        <w:rFonts w:ascii="Times New Roman" w:eastAsia="Times New Roman" w:hAnsi="Times New Roman" w:cs="Times New Roman"/>
      </w:rPr>
    </w:lvl>
    <w:lvl w:ilvl="1">
      <w:start w:val="1"/>
      <w:numFmt w:val="decimal"/>
      <w:isLgl/>
      <w:lvlText w:val="%1.%2."/>
      <w:lvlJc w:val="left"/>
      <w:pPr>
        <w:ind w:left="862" w:hanging="720"/>
      </w:pPr>
      <w:rPr>
        <w:rFonts w:hint="default"/>
      </w:rPr>
    </w:lvl>
    <w:lvl w:ilvl="2">
      <w:start w:val="1"/>
      <w:numFmt w:val="decimal"/>
      <w:pStyle w:val="SS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3DB72C2"/>
    <w:multiLevelType w:val="hybridMultilevel"/>
    <w:tmpl w:val="9D4629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4286AAF"/>
    <w:multiLevelType w:val="hybridMultilevel"/>
    <w:tmpl w:val="4238D822"/>
    <w:lvl w:ilvl="0" w:tplc="3A367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8035C4"/>
    <w:multiLevelType w:val="hybridMultilevel"/>
    <w:tmpl w:val="12D26EFC"/>
    <w:lvl w:ilvl="0" w:tplc="040C0001">
      <w:start w:val="1"/>
      <w:numFmt w:val="bullet"/>
      <w:pStyle w:val="BulletFa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Wingding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Wingdings"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Wingdings"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4BE7CF6"/>
    <w:multiLevelType w:val="hybridMultilevel"/>
    <w:tmpl w:val="59EAC96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0" w15:restartNumberingAfterBreak="0">
    <w:nsid w:val="15DE0BDB"/>
    <w:multiLevelType w:val="hybridMultilevel"/>
    <w:tmpl w:val="FCF6FB3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61606DC"/>
    <w:multiLevelType w:val="hybridMultilevel"/>
    <w:tmpl w:val="A1747244"/>
    <w:lvl w:ilvl="0" w:tplc="13FAB696">
      <w:start w:val="1"/>
      <w:numFmt w:val="lowerLetter"/>
      <w:lvlText w:val="%1."/>
      <w:lvlJc w:val="left"/>
      <w:pPr>
        <w:ind w:left="720" w:hanging="360"/>
      </w:pPr>
      <w:rPr>
        <w:rFonts w:ascii="Times New Roman" w:eastAsia="Calibri" w:hAnsi="Times New Roman" w:cs="Times New Roman"/>
      </w:r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94724C"/>
    <w:multiLevelType w:val="hybridMultilevel"/>
    <w:tmpl w:val="3EE2F7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7817184"/>
    <w:multiLevelType w:val="hybridMultilevel"/>
    <w:tmpl w:val="6792EDBC"/>
    <w:lvl w:ilvl="0" w:tplc="040C0005">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7E31576"/>
    <w:multiLevelType w:val="hybridMultilevel"/>
    <w:tmpl w:val="095E9A26"/>
    <w:lvl w:ilvl="0" w:tplc="B6CC481E">
      <w:start w:val="13"/>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F964C2"/>
    <w:multiLevelType w:val="hybridMultilevel"/>
    <w:tmpl w:val="54A0F138"/>
    <w:lvl w:ilvl="0" w:tplc="040C0003">
      <w:start w:val="1"/>
      <w:numFmt w:val="bullet"/>
      <w:lvlText w:val="o"/>
      <w:lvlJc w:val="left"/>
      <w:pPr>
        <w:ind w:left="900" w:hanging="360"/>
      </w:pPr>
      <w:rPr>
        <w:rFonts w:ascii="Courier New" w:hAnsi="Courier New" w:cs="Courier New"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46" w15:restartNumberingAfterBreak="0">
    <w:nsid w:val="1804061C"/>
    <w:multiLevelType w:val="hybridMultilevel"/>
    <w:tmpl w:val="D7B826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18DC5F70"/>
    <w:multiLevelType w:val="hybridMultilevel"/>
    <w:tmpl w:val="1E5630E0"/>
    <w:lvl w:ilvl="0" w:tplc="6A8856C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0F792C"/>
    <w:multiLevelType w:val="hybridMultilevel"/>
    <w:tmpl w:val="9EE415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99A6C16"/>
    <w:multiLevelType w:val="hybridMultilevel"/>
    <w:tmpl w:val="958A436A"/>
    <w:lvl w:ilvl="0" w:tplc="4CDC2C9A">
      <w:start w:val="1"/>
      <w:numFmt w:val="bullet"/>
      <w:lvlText w:val=""/>
      <w:lvlJc w:val="left"/>
      <w:pPr>
        <w:ind w:left="360" w:hanging="360"/>
      </w:pPr>
      <w:rPr>
        <w:rFonts w:ascii="Wingdings" w:hAnsi="Wingdings" w:hint="default"/>
        <w:color w:val="auto"/>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1AC641B5"/>
    <w:multiLevelType w:val="multilevel"/>
    <w:tmpl w:val="E508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C163D11"/>
    <w:multiLevelType w:val="hybridMultilevel"/>
    <w:tmpl w:val="0AC6C2AA"/>
    <w:lvl w:ilvl="0" w:tplc="E560161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1CA6407F"/>
    <w:multiLevelType w:val="hybridMultilevel"/>
    <w:tmpl w:val="7E701A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1E0B5305"/>
    <w:multiLevelType w:val="hybridMultilevel"/>
    <w:tmpl w:val="49C22E1C"/>
    <w:lvl w:ilvl="0" w:tplc="5E5EC9DE">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4" w15:restartNumberingAfterBreak="0">
    <w:nsid w:val="1E101200"/>
    <w:multiLevelType w:val="multilevel"/>
    <w:tmpl w:val="6414CB82"/>
    <w:lvl w:ilvl="0">
      <w:start w:val="1"/>
      <w:numFmt w:val="decimal"/>
      <w:pStyle w:val="TitreTR"/>
      <w:lvlText w:val="(%1)"/>
      <w:lvlJc w:val="left"/>
      <w:pPr>
        <w:tabs>
          <w:tab w:val="num" w:pos="360"/>
        </w:tabs>
        <w:ind w:left="0" w:firstLine="0"/>
      </w:pPr>
      <w:rPr>
        <w:rFonts w:ascii="Arial" w:hAnsi="Arial"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1E13053D"/>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06A3485"/>
    <w:multiLevelType w:val="hybridMultilevel"/>
    <w:tmpl w:val="3D66F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0993C68"/>
    <w:multiLevelType w:val="multilevel"/>
    <w:tmpl w:val="FAE6F2E6"/>
    <w:lvl w:ilvl="0">
      <w:start w:val="1"/>
      <w:numFmt w:val="bullet"/>
      <w:pStyle w:val="xl43"/>
      <w:lvlText w:val=""/>
      <w:lvlJc w:val="left"/>
      <w:pPr>
        <w:tabs>
          <w:tab w:val="num" w:pos="360"/>
        </w:tabs>
        <w:ind w:left="360" w:hanging="360"/>
      </w:pPr>
      <w:rPr>
        <w:rFonts w:ascii="Symbol" w:hAnsi="Symbol" w:hint="default"/>
        <w:b w:val="0"/>
        <w:i w:val="0"/>
        <w:sz w:val="20"/>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Arial" w:hAnsi="Aria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20E227AA"/>
    <w:multiLevelType w:val="hybridMultilevel"/>
    <w:tmpl w:val="98C061DE"/>
    <w:lvl w:ilvl="0" w:tplc="C2A4B334">
      <w:start w:val="1"/>
      <w:numFmt w:val="bullet"/>
      <w:pStyle w:val="Puceetretraitniveau01"/>
      <w:lvlText w:val=""/>
      <w:lvlJc w:val="left"/>
      <w:pPr>
        <w:tabs>
          <w:tab w:val="num" w:pos="851"/>
        </w:tabs>
        <w:ind w:left="851" w:hanging="284"/>
      </w:pPr>
      <w:rPr>
        <w:rFonts w:ascii="Wingdings" w:hAnsi="Wingdings" w:hint="default"/>
        <w:b/>
        <w:i w:val="0"/>
        <w:color w:val="99CC00"/>
        <w:sz w:val="24"/>
      </w:rPr>
    </w:lvl>
    <w:lvl w:ilvl="1" w:tplc="D97E672A">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Arial" w:hAnsi="Arial" w:hint="default"/>
        <w:b/>
        <w:i w:val="0"/>
        <w:color w:val="auto"/>
        <w:sz w:val="24"/>
      </w:rPr>
    </w:lvl>
    <w:lvl w:ilvl="3" w:tplc="9A925FC4">
      <w:start w:val="1"/>
      <w:numFmt w:val="bullet"/>
      <w:lvlText w:val=""/>
      <w:lvlJc w:val="left"/>
      <w:pPr>
        <w:tabs>
          <w:tab w:val="num" w:pos="2804"/>
        </w:tabs>
        <w:ind w:left="2804" w:hanging="284"/>
      </w:pPr>
      <w:rPr>
        <w:rFonts w:ascii="Wingdings" w:hAnsi="Wingdings" w:hint="default"/>
        <w:b/>
        <w:i w:val="0"/>
        <w:color w:val="99CC00"/>
        <w:sz w:val="24"/>
      </w:rPr>
    </w:lvl>
    <w:lvl w:ilvl="4" w:tplc="E06886E6" w:tentative="1">
      <w:start w:val="1"/>
      <w:numFmt w:val="bullet"/>
      <w:lvlText w:val="o"/>
      <w:lvlJc w:val="left"/>
      <w:pPr>
        <w:tabs>
          <w:tab w:val="num" w:pos="3600"/>
        </w:tabs>
        <w:ind w:left="3600" w:hanging="360"/>
      </w:pPr>
      <w:rPr>
        <w:rFonts w:ascii="Courier New" w:hAnsi="Courier New" w:cs="Courier New" w:hint="default"/>
      </w:rPr>
    </w:lvl>
    <w:lvl w:ilvl="5" w:tplc="B2B43DF4" w:tentative="1">
      <w:start w:val="1"/>
      <w:numFmt w:val="bullet"/>
      <w:lvlText w:val=""/>
      <w:lvlJc w:val="left"/>
      <w:pPr>
        <w:tabs>
          <w:tab w:val="num" w:pos="4320"/>
        </w:tabs>
        <w:ind w:left="4320" w:hanging="360"/>
      </w:pPr>
      <w:rPr>
        <w:rFonts w:ascii="Wingdings" w:hAnsi="Wingdings" w:hint="default"/>
      </w:rPr>
    </w:lvl>
    <w:lvl w:ilvl="6" w:tplc="07C429CA" w:tentative="1">
      <w:start w:val="1"/>
      <w:numFmt w:val="bullet"/>
      <w:lvlText w:val=""/>
      <w:lvlJc w:val="left"/>
      <w:pPr>
        <w:tabs>
          <w:tab w:val="num" w:pos="5040"/>
        </w:tabs>
        <w:ind w:left="5040" w:hanging="360"/>
      </w:pPr>
      <w:rPr>
        <w:rFonts w:ascii="Symbol" w:hAnsi="Symbol" w:hint="default"/>
      </w:rPr>
    </w:lvl>
    <w:lvl w:ilvl="7" w:tplc="973EC6D8" w:tentative="1">
      <w:start w:val="1"/>
      <w:numFmt w:val="bullet"/>
      <w:lvlText w:val="o"/>
      <w:lvlJc w:val="left"/>
      <w:pPr>
        <w:tabs>
          <w:tab w:val="num" w:pos="5760"/>
        </w:tabs>
        <w:ind w:left="5760" w:hanging="360"/>
      </w:pPr>
      <w:rPr>
        <w:rFonts w:ascii="Courier New" w:hAnsi="Courier New" w:cs="Courier New" w:hint="default"/>
      </w:rPr>
    </w:lvl>
    <w:lvl w:ilvl="8" w:tplc="DE9A450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1545B78"/>
    <w:multiLevelType w:val="hybridMultilevel"/>
    <w:tmpl w:val="BD202F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21E04599"/>
    <w:multiLevelType w:val="hybridMultilevel"/>
    <w:tmpl w:val="930A49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25A032A"/>
    <w:multiLevelType w:val="hybridMultilevel"/>
    <w:tmpl w:val="1554AAE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2" w15:restartNumberingAfterBreak="0">
    <w:nsid w:val="250272BB"/>
    <w:multiLevelType w:val="hybridMultilevel"/>
    <w:tmpl w:val="6D2A63F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2596244E"/>
    <w:multiLevelType w:val="hybridMultilevel"/>
    <w:tmpl w:val="1B76F0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5D80DCA"/>
    <w:multiLevelType w:val="hybridMultilevel"/>
    <w:tmpl w:val="84DA2C20"/>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26F24EE7"/>
    <w:multiLevelType w:val="hybridMultilevel"/>
    <w:tmpl w:val="4E92A29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6" w15:restartNumberingAfterBreak="0">
    <w:nsid w:val="271B71F6"/>
    <w:multiLevelType w:val="hybridMultilevel"/>
    <w:tmpl w:val="80D25CBE"/>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6D4118"/>
    <w:multiLevelType w:val="hybridMultilevel"/>
    <w:tmpl w:val="F7669D2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8" w15:restartNumberingAfterBreak="0">
    <w:nsid w:val="285448DB"/>
    <w:multiLevelType w:val="hybridMultilevel"/>
    <w:tmpl w:val="797AAD42"/>
    <w:lvl w:ilvl="0" w:tplc="3F74C624">
      <w:start w:val="1"/>
      <w:numFmt w:val="none"/>
      <w:pStyle w:val="BulletsMamelles"/>
      <w:lvlText w:val=""/>
      <w:lvlJc w:val="left"/>
      <w:pPr>
        <w:ind w:left="720" w:hanging="360"/>
      </w:pPr>
      <w:rPr>
        <w:rFonts w:ascii="Symbol" w:hAnsi="Symbol" w:hint="default"/>
        <w:color w:val="auto"/>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28B61782"/>
    <w:multiLevelType w:val="hybridMultilevel"/>
    <w:tmpl w:val="371801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28D6445A"/>
    <w:multiLevelType w:val="hybridMultilevel"/>
    <w:tmpl w:val="4E9C11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2B4F3205"/>
    <w:multiLevelType w:val="hybridMultilevel"/>
    <w:tmpl w:val="2ACC3F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2CD35E6C"/>
    <w:multiLevelType w:val="hybridMultilevel"/>
    <w:tmpl w:val="5D7CCF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2CDD690E"/>
    <w:multiLevelType w:val="hybridMultilevel"/>
    <w:tmpl w:val="F904AB72"/>
    <w:lvl w:ilvl="0" w:tplc="CE261B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DAC5008"/>
    <w:multiLevelType w:val="hybridMultilevel"/>
    <w:tmpl w:val="5BE843C6"/>
    <w:lvl w:ilvl="0" w:tplc="040C0001">
      <w:start w:val="1"/>
      <w:numFmt w:val="bullet"/>
      <w:lvlText w:val=""/>
      <w:lvlJc w:val="left"/>
      <w:pPr>
        <w:ind w:left="720" w:hanging="360"/>
      </w:pPr>
      <w:rPr>
        <w:rFonts w:ascii="Symbol" w:hAnsi="Symbol" w:hint="default"/>
      </w:rPr>
    </w:lvl>
    <w:lvl w:ilvl="1" w:tplc="6666F6E2">
      <w:numFmt w:val="bullet"/>
      <w:lvlText w:val="•"/>
      <w:lvlJc w:val="left"/>
      <w:pPr>
        <w:ind w:left="1440" w:hanging="360"/>
      </w:pPr>
      <w:rPr>
        <w:rFonts w:ascii="Tahoma" w:eastAsia="Times New Roman"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DDB69E6"/>
    <w:multiLevelType w:val="multilevel"/>
    <w:tmpl w:val="7D98981E"/>
    <w:lvl w:ilvl="0">
      <w:start w:val="1"/>
      <w:numFmt w:val="decimal"/>
      <w:pStyle w:val="ColumnsLeft"/>
      <w:lvlText w:val="%1."/>
      <w:lvlJc w:val="left"/>
      <w:pPr>
        <w:tabs>
          <w:tab w:val="num" w:pos="432"/>
        </w:tabs>
        <w:ind w:left="432" w:hanging="432"/>
      </w:pPr>
      <w:rPr>
        <w:rFonts w:cs="Times New Roman" w:hint="default"/>
        <w:b/>
      </w:rPr>
    </w:lvl>
    <w:lvl w:ilvl="1">
      <w:start w:val="1"/>
      <w:numFmt w:val="decimal"/>
      <w:pStyle w:val="ColumnsRight"/>
      <w:lvlText w:val="%1.%2"/>
      <w:lvlJc w:val="left"/>
      <w:pPr>
        <w:tabs>
          <w:tab w:val="num" w:pos="576"/>
        </w:tabs>
        <w:ind w:left="576" w:hanging="576"/>
      </w:pPr>
      <w:rPr>
        <w:rFonts w:ascii="Times New Roman" w:eastAsia="SimSun" w:hAnsi="Times New Roman" w:cs="Times New Roman"/>
        <w:b w:val="0"/>
        <w:i w:val="0"/>
        <w:caps w:val="0"/>
        <w:smallCaps w:val="0"/>
        <w:strike w:val="0"/>
        <w:dstrike w:val="0"/>
        <w:vanish w:val="0"/>
        <w:color w:val="auto"/>
        <w:spacing w:val="0"/>
        <w:w w:val="100"/>
        <w:kern w:val="0"/>
        <w:position w:val="0"/>
        <w:sz w:val="24"/>
        <w:u w:val="none"/>
        <w:vertAlign w:val="baseline"/>
      </w:rPr>
    </w:lvl>
    <w:lvl w:ilvl="2">
      <w:start w:val="1"/>
      <w:numFmt w:val="decimal"/>
      <w:pStyle w:val="ColumnsRightSub"/>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6" w15:restartNumberingAfterBreak="0">
    <w:nsid w:val="2E1056FF"/>
    <w:multiLevelType w:val="singleLevel"/>
    <w:tmpl w:val="EB1E94B4"/>
    <w:lvl w:ilvl="0">
      <w:start w:val="1"/>
      <w:numFmt w:val="decimal"/>
      <w:pStyle w:val="Block"/>
      <w:lvlText w:val="%1."/>
      <w:lvlJc w:val="left"/>
      <w:pPr>
        <w:tabs>
          <w:tab w:val="num" w:pos="360"/>
        </w:tabs>
        <w:ind w:left="360" w:hanging="360"/>
      </w:pPr>
    </w:lvl>
  </w:abstractNum>
  <w:abstractNum w:abstractNumId="77" w15:restartNumberingAfterBreak="0">
    <w:nsid w:val="2ECA4232"/>
    <w:multiLevelType w:val="hybridMultilevel"/>
    <w:tmpl w:val="91D6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1C4679B"/>
    <w:multiLevelType w:val="hybridMultilevel"/>
    <w:tmpl w:val="00B69C1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79" w15:restartNumberingAfterBreak="0">
    <w:nsid w:val="31C6243D"/>
    <w:multiLevelType w:val="hybridMultilevel"/>
    <w:tmpl w:val="0958D11C"/>
    <w:lvl w:ilvl="0" w:tplc="E05CABE4">
      <w:numFmt w:val="bullet"/>
      <w:lvlText w:val="-"/>
      <w:lvlJc w:val="left"/>
      <w:pPr>
        <w:ind w:left="360" w:hanging="360"/>
      </w:pPr>
      <w:rPr>
        <w:rFonts w:ascii="Tahoma" w:eastAsia="Calibri" w:hAnsi="Tahoma" w:cs="Tahom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32D43AD1"/>
    <w:multiLevelType w:val="hybridMultilevel"/>
    <w:tmpl w:val="5A5E2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31723C0"/>
    <w:multiLevelType w:val="hybridMultilevel"/>
    <w:tmpl w:val="50649B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44B6649"/>
    <w:multiLevelType w:val="hybridMultilevel"/>
    <w:tmpl w:val="E0C21F16"/>
    <w:lvl w:ilvl="0" w:tplc="5C1E608A">
      <w:numFmt w:val="bullet"/>
      <w:lvlText w:val="-"/>
      <w:lvlJc w:val="left"/>
      <w:pPr>
        <w:ind w:left="1068" w:hanging="360"/>
      </w:pPr>
      <w:rPr>
        <w:rFonts w:ascii="Calibri" w:eastAsiaTheme="minorHAnsi" w:hAnsi="Calibri" w:cs="Calibri" w:hint="default"/>
      </w:rPr>
    </w:lvl>
    <w:lvl w:ilvl="1" w:tplc="280C0003" w:tentative="1">
      <w:start w:val="1"/>
      <w:numFmt w:val="bullet"/>
      <w:lvlText w:val="o"/>
      <w:lvlJc w:val="left"/>
      <w:pPr>
        <w:ind w:left="1788" w:hanging="360"/>
      </w:pPr>
      <w:rPr>
        <w:rFonts w:ascii="Courier New" w:hAnsi="Courier New" w:cs="Courier New" w:hint="default"/>
      </w:rPr>
    </w:lvl>
    <w:lvl w:ilvl="2" w:tplc="280C0005" w:tentative="1">
      <w:start w:val="1"/>
      <w:numFmt w:val="bullet"/>
      <w:lvlText w:val=""/>
      <w:lvlJc w:val="left"/>
      <w:pPr>
        <w:ind w:left="2508" w:hanging="360"/>
      </w:pPr>
      <w:rPr>
        <w:rFonts w:ascii="Wingdings" w:hAnsi="Wingdings" w:hint="default"/>
      </w:rPr>
    </w:lvl>
    <w:lvl w:ilvl="3" w:tplc="280C0001" w:tentative="1">
      <w:start w:val="1"/>
      <w:numFmt w:val="bullet"/>
      <w:lvlText w:val=""/>
      <w:lvlJc w:val="left"/>
      <w:pPr>
        <w:ind w:left="3228" w:hanging="360"/>
      </w:pPr>
      <w:rPr>
        <w:rFonts w:ascii="Symbol" w:hAnsi="Symbol" w:hint="default"/>
      </w:rPr>
    </w:lvl>
    <w:lvl w:ilvl="4" w:tplc="280C0003" w:tentative="1">
      <w:start w:val="1"/>
      <w:numFmt w:val="bullet"/>
      <w:lvlText w:val="o"/>
      <w:lvlJc w:val="left"/>
      <w:pPr>
        <w:ind w:left="3948" w:hanging="360"/>
      </w:pPr>
      <w:rPr>
        <w:rFonts w:ascii="Courier New" w:hAnsi="Courier New" w:cs="Courier New" w:hint="default"/>
      </w:rPr>
    </w:lvl>
    <w:lvl w:ilvl="5" w:tplc="280C0005" w:tentative="1">
      <w:start w:val="1"/>
      <w:numFmt w:val="bullet"/>
      <w:lvlText w:val=""/>
      <w:lvlJc w:val="left"/>
      <w:pPr>
        <w:ind w:left="4668" w:hanging="360"/>
      </w:pPr>
      <w:rPr>
        <w:rFonts w:ascii="Wingdings" w:hAnsi="Wingdings" w:hint="default"/>
      </w:rPr>
    </w:lvl>
    <w:lvl w:ilvl="6" w:tplc="280C0001" w:tentative="1">
      <w:start w:val="1"/>
      <w:numFmt w:val="bullet"/>
      <w:lvlText w:val=""/>
      <w:lvlJc w:val="left"/>
      <w:pPr>
        <w:ind w:left="5388" w:hanging="360"/>
      </w:pPr>
      <w:rPr>
        <w:rFonts w:ascii="Symbol" w:hAnsi="Symbol" w:hint="default"/>
      </w:rPr>
    </w:lvl>
    <w:lvl w:ilvl="7" w:tplc="280C0003" w:tentative="1">
      <w:start w:val="1"/>
      <w:numFmt w:val="bullet"/>
      <w:lvlText w:val="o"/>
      <w:lvlJc w:val="left"/>
      <w:pPr>
        <w:ind w:left="6108" w:hanging="360"/>
      </w:pPr>
      <w:rPr>
        <w:rFonts w:ascii="Courier New" w:hAnsi="Courier New" w:cs="Courier New" w:hint="default"/>
      </w:rPr>
    </w:lvl>
    <w:lvl w:ilvl="8" w:tplc="280C0005" w:tentative="1">
      <w:start w:val="1"/>
      <w:numFmt w:val="bullet"/>
      <w:lvlText w:val=""/>
      <w:lvlJc w:val="left"/>
      <w:pPr>
        <w:ind w:left="6828" w:hanging="360"/>
      </w:pPr>
      <w:rPr>
        <w:rFonts w:ascii="Wingdings" w:hAnsi="Wingdings" w:hint="default"/>
      </w:rPr>
    </w:lvl>
  </w:abstractNum>
  <w:abstractNum w:abstractNumId="83" w15:restartNumberingAfterBreak="0">
    <w:nsid w:val="3526326E"/>
    <w:multiLevelType w:val="hybridMultilevel"/>
    <w:tmpl w:val="C6B46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5F235C5"/>
    <w:multiLevelType w:val="hybridMultilevel"/>
    <w:tmpl w:val="2A2AD9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68F4A7E"/>
    <w:multiLevelType w:val="hybridMultilevel"/>
    <w:tmpl w:val="EF3EC510"/>
    <w:lvl w:ilvl="0" w:tplc="040C0001">
      <w:start w:val="1"/>
      <w:numFmt w:val="bullet"/>
      <w:lvlText w:val=""/>
      <w:lvlJc w:val="left"/>
      <w:pPr>
        <w:ind w:left="720" w:hanging="360"/>
      </w:pPr>
      <w:rPr>
        <w:rFonts w:ascii="Wingdings" w:hAnsi="Wingdings"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37753387"/>
    <w:multiLevelType w:val="hybridMultilevel"/>
    <w:tmpl w:val="1AC8B9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37E87075"/>
    <w:multiLevelType w:val="hybridMultilevel"/>
    <w:tmpl w:val="0A826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388E65A9"/>
    <w:multiLevelType w:val="hybridMultilevel"/>
    <w:tmpl w:val="B21208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399E1D9F"/>
    <w:multiLevelType w:val="hybridMultilevel"/>
    <w:tmpl w:val="4BDA75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3A004929"/>
    <w:multiLevelType w:val="hybridMultilevel"/>
    <w:tmpl w:val="CEB819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3B4572E4"/>
    <w:multiLevelType w:val="hybridMultilevel"/>
    <w:tmpl w:val="EB5EF3A0"/>
    <w:lvl w:ilvl="0" w:tplc="4CDC2C9A">
      <w:start w:val="1"/>
      <w:numFmt w:val="bullet"/>
      <w:lvlText w:val=""/>
      <w:lvlJc w:val="left"/>
      <w:pPr>
        <w:ind w:left="360" w:hanging="360"/>
      </w:pPr>
      <w:rPr>
        <w:rFonts w:ascii="Wingdings" w:hAnsi="Wingdings" w:hint="default"/>
        <w:color w:val="auto"/>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92" w15:restartNumberingAfterBreak="0">
    <w:nsid w:val="3B655A04"/>
    <w:multiLevelType w:val="hybridMultilevel"/>
    <w:tmpl w:val="3D820022"/>
    <w:lvl w:ilvl="0" w:tplc="DC0C725C">
      <w:start w:val="1"/>
      <w:numFmt w:val="bullet"/>
      <w:pStyle w:val="Normalindentedtextbullet"/>
      <w:lvlText w:val=""/>
      <w:lvlJc w:val="left"/>
      <w:pPr>
        <w:tabs>
          <w:tab w:val="num" w:pos="720"/>
        </w:tabs>
        <w:ind w:left="720" w:hanging="360"/>
      </w:pPr>
      <w:rPr>
        <w:rFonts w:ascii="Symbol" w:hAnsi="Symbol" w:hint="default"/>
      </w:rPr>
    </w:lvl>
    <w:lvl w:ilvl="1" w:tplc="04090003">
      <w:start w:val="1"/>
      <w:numFmt w:val="bullet"/>
      <w:lvlText w:val="o"/>
      <w:lvlJc w:val="left"/>
      <w:pPr>
        <w:ind w:left="400" w:hanging="360"/>
      </w:pPr>
      <w:rPr>
        <w:rFonts w:ascii="Courier New" w:hAnsi="Courier New" w:hint="default"/>
      </w:rPr>
    </w:lvl>
    <w:lvl w:ilvl="2" w:tplc="04090005">
      <w:start w:val="1"/>
      <w:numFmt w:val="bullet"/>
      <w:lvlText w:val=""/>
      <w:lvlJc w:val="left"/>
      <w:pPr>
        <w:ind w:left="1120" w:hanging="360"/>
      </w:pPr>
      <w:rPr>
        <w:rFonts w:ascii="Wingdings" w:hAnsi="Wingdings" w:hint="default"/>
      </w:rPr>
    </w:lvl>
    <w:lvl w:ilvl="3" w:tplc="04090001">
      <w:start w:val="1"/>
      <w:numFmt w:val="bullet"/>
      <w:lvlText w:val=""/>
      <w:lvlJc w:val="left"/>
      <w:pPr>
        <w:ind w:left="1840" w:hanging="360"/>
      </w:pPr>
      <w:rPr>
        <w:rFonts w:ascii="Symbol" w:hAnsi="Symbol" w:hint="default"/>
      </w:rPr>
    </w:lvl>
    <w:lvl w:ilvl="4" w:tplc="781E8CFE">
      <w:numFmt w:val="bullet"/>
      <w:lvlText w:val="-"/>
      <w:lvlJc w:val="left"/>
      <w:pPr>
        <w:ind w:left="2560" w:hanging="360"/>
      </w:pPr>
      <w:rPr>
        <w:rFonts w:ascii="Calibri" w:eastAsia="Symbol" w:hAnsi="Calibri" w:cs="Calibri" w:hint="default"/>
      </w:rPr>
    </w:lvl>
    <w:lvl w:ilvl="5" w:tplc="04090005" w:tentative="1">
      <w:start w:val="1"/>
      <w:numFmt w:val="bullet"/>
      <w:lvlText w:val=""/>
      <w:lvlJc w:val="left"/>
      <w:pPr>
        <w:ind w:left="3280" w:hanging="360"/>
      </w:pPr>
      <w:rPr>
        <w:rFonts w:ascii="Wingdings" w:hAnsi="Wingdings" w:hint="default"/>
      </w:rPr>
    </w:lvl>
    <w:lvl w:ilvl="6" w:tplc="04090001" w:tentative="1">
      <w:start w:val="1"/>
      <w:numFmt w:val="bullet"/>
      <w:lvlText w:val=""/>
      <w:lvlJc w:val="left"/>
      <w:pPr>
        <w:ind w:left="4000" w:hanging="360"/>
      </w:pPr>
      <w:rPr>
        <w:rFonts w:ascii="Symbol" w:hAnsi="Symbol" w:hint="default"/>
      </w:rPr>
    </w:lvl>
    <w:lvl w:ilvl="7" w:tplc="04090003" w:tentative="1">
      <w:start w:val="1"/>
      <w:numFmt w:val="bullet"/>
      <w:lvlText w:val="o"/>
      <w:lvlJc w:val="left"/>
      <w:pPr>
        <w:ind w:left="4720" w:hanging="360"/>
      </w:pPr>
      <w:rPr>
        <w:rFonts w:ascii="Courier New" w:hAnsi="Courier New" w:hint="default"/>
      </w:rPr>
    </w:lvl>
    <w:lvl w:ilvl="8" w:tplc="04090005" w:tentative="1">
      <w:start w:val="1"/>
      <w:numFmt w:val="bullet"/>
      <w:lvlText w:val=""/>
      <w:lvlJc w:val="left"/>
      <w:pPr>
        <w:ind w:left="5440" w:hanging="360"/>
      </w:pPr>
      <w:rPr>
        <w:rFonts w:ascii="Wingdings" w:hAnsi="Wingdings" w:hint="default"/>
      </w:rPr>
    </w:lvl>
  </w:abstractNum>
  <w:abstractNum w:abstractNumId="93" w15:restartNumberingAfterBreak="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2E574E"/>
    <w:multiLevelType w:val="hybridMultilevel"/>
    <w:tmpl w:val="6E1ECE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E0755C8"/>
    <w:multiLevelType w:val="hybridMultilevel"/>
    <w:tmpl w:val="3DBE0266"/>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C0005">
      <w:start w:val="1"/>
      <w:numFmt w:val="bullet"/>
      <w:lvlText w:val=""/>
      <w:lvlJc w:val="left"/>
      <w:pPr>
        <w:ind w:left="2880" w:hanging="180"/>
      </w:pPr>
      <w:rPr>
        <w:rFonts w:ascii="Wingdings" w:hAnsi="Wingding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6" w15:restartNumberingAfterBreak="0">
    <w:nsid w:val="3E5B5A8D"/>
    <w:multiLevelType w:val="hybridMultilevel"/>
    <w:tmpl w:val="21A65994"/>
    <w:lvl w:ilvl="0" w:tplc="2B4C6E20">
      <w:start w:val="1"/>
      <w:numFmt w:val="bullet"/>
      <w:pStyle w:val="PuceN2"/>
      <w:lvlText w:val=""/>
      <w:lvlJc w:val="left"/>
      <w:pPr>
        <w:ind w:left="1069" w:hanging="360"/>
      </w:pPr>
      <w:rPr>
        <w:rFonts w:ascii="Wingdings" w:hAnsi="Wingdings" w:hint="default"/>
        <w:color w:val="000000"/>
        <w:sz w:val="24"/>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97" w15:restartNumberingAfterBreak="0">
    <w:nsid w:val="3E977739"/>
    <w:multiLevelType w:val="hybridMultilevel"/>
    <w:tmpl w:val="3E3A99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12744C0"/>
    <w:multiLevelType w:val="hybridMultilevel"/>
    <w:tmpl w:val="9336189C"/>
    <w:lvl w:ilvl="0" w:tplc="040C0005">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0" w15:restartNumberingAfterBreak="0">
    <w:nsid w:val="431D72B2"/>
    <w:multiLevelType w:val="hybridMultilevel"/>
    <w:tmpl w:val="E45672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15:restartNumberingAfterBreak="0">
    <w:nsid w:val="431F368C"/>
    <w:multiLevelType w:val="hybridMultilevel"/>
    <w:tmpl w:val="D9A649E4"/>
    <w:lvl w:ilvl="0" w:tplc="040C0001">
      <w:start w:val="1"/>
      <w:numFmt w:val="bullet"/>
      <w:pStyle w:val="Tiret"/>
      <w:lvlText w:val="-"/>
      <w:lvlJc w:val="left"/>
      <w:pPr>
        <w:tabs>
          <w:tab w:val="num" w:pos="992"/>
        </w:tabs>
        <w:ind w:left="992" w:hanging="425"/>
      </w:pPr>
      <w:rPr>
        <w:rFonts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3461198"/>
    <w:multiLevelType w:val="hybridMultilevel"/>
    <w:tmpl w:val="56846AF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4721B60"/>
    <w:multiLevelType w:val="hybridMultilevel"/>
    <w:tmpl w:val="F124B4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45685F8E"/>
    <w:multiLevelType w:val="hybridMultilevel"/>
    <w:tmpl w:val="344499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5760CCB"/>
    <w:multiLevelType w:val="hybridMultilevel"/>
    <w:tmpl w:val="CF8A94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58A145C"/>
    <w:multiLevelType w:val="hybridMultilevel"/>
    <w:tmpl w:val="033A1992"/>
    <w:lvl w:ilvl="0" w:tplc="43D6F4A8">
      <w:start w:val="1"/>
      <w:numFmt w:val="bullet"/>
      <w:lvlText w:val=""/>
      <w:lvlJc w:val="left"/>
      <w:pPr>
        <w:ind w:left="1080" w:hanging="360"/>
      </w:pPr>
      <w:rPr>
        <w:rFonts w:ascii="Symbol" w:hAnsi="Symbol" w:cs="Symbol" w:hint="default"/>
        <w:sz w:val="24"/>
      </w:rPr>
    </w:lvl>
    <w:lvl w:ilvl="1" w:tplc="6BA869F2">
      <w:start w:val="1"/>
      <w:numFmt w:val="bullet"/>
      <w:pStyle w:val="essbullet"/>
      <w:lvlText w:val=""/>
      <w:lvlJc w:val="left"/>
      <w:pPr>
        <w:ind w:left="1440" w:hanging="360"/>
      </w:pPr>
      <w:rPr>
        <w:rFonts w:ascii="Symbol" w:hAnsi="Symbol" w:hint="default"/>
      </w:rPr>
    </w:lvl>
    <w:lvl w:ilvl="2" w:tplc="C262B78A">
      <w:start w:val="1"/>
      <w:numFmt w:val="lowerRoman"/>
      <w:lvlText w:val="%3."/>
      <w:lvlJc w:val="right"/>
      <w:pPr>
        <w:ind w:left="2160" w:hanging="180"/>
      </w:pPr>
    </w:lvl>
    <w:lvl w:ilvl="3" w:tplc="E0326860">
      <w:start w:val="1"/>
      <w:numFmt w:val="decimal"/>
      <w:lvlText w:val="%4."/>
      <w:lvlJc w:val="left"/>
      <w:pPr>
        <w:ind w:left="2880" w:hanging="360"/>
      </w:pPr>
    </w:lvl>
    <w:lvl w:ilvl="4" w:tplc="B4ACB9F0" w:tentative="1">
      <w:start w:val="1"/>
      <w:numFmt w:val="lowerLetter"/>
      <w:lvlText w:val="%5."/>
      <w:lvlJc w:val="left"/>
      <w:pPr>
        <w:ind w:left="3600" w:hanging="360"/>
      </w:pPr>
    </w:lvl>
    <w:lvl w:ilvl="5" w:tplc="B02639F0" w:tentative="1">
      <w:start w:val="1"/>
      <w:numFmt w:val="lowerRoman"/>
      <w:lvlText w:val="%6."/>
      <w:lvlJc w:val="right"/>
      <w:pPr>
        <w:ind w:left="4320" w:hanging="180"/>
      </w:pPr>
    </w:lvl>
    <w:lvl w:ilvl="6" w:tplc="266EB322" w:tentative="1">
      <w:start w:val="1"/>
      <w:numFmt w:val="decimal"/>
      <w:lvlText w:val="%7."/>
      <w:lvlJc w:val="left"/>
      <w:pPr>
        <w:ind w:left="5040" w:hanging="360"/>
      </w:pPr>
    </w:lvl>
    <w:lvl w:ilvl="7" w:tplc="9556AB10" w:tentative="1">
      <w:start w:val="1"/>
      <w:numFmt w:val="lowerLetter"/>
      <w:lvlText w:val="%8."/>
      <w:lvlJc w:val="left"/>
      <w:pPr>
        <w:ind w:left="5760" w:hanging="360"/>
      </w:pPr>
    </w:lvl>
    <w:lvl w:ilvl="8" w:tplc="FD263782" w:tentative="1">
      <w:start w:val="1"/>
      <w:numFmt w:val="lowerRoman"/>
      <w:lvlText w:val="%9."/>
      <w:lvlJc w:val="right"/>
      <w:pPr>
        <w:ind w:left="6480" w:hanging="180"/>
      </w:pPr>
    </w:lvl>
  </w:abstractNum>
  <w:abstractNum w:abstractNumId="107" w15:restartNumberingAfterBreak="0">
    <w:nsid w:val="45CF6B9A"/>
    <w:multiLevelType w:val="hybridMultilevel"/>
    <w:tmpl w:val="481A9D5C"/>
    <w:lvl w:ilvl="0" w:tplc="E56016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8" w15:restartNumberingAfterBreak="0">
    <w:nsid w:val="460D2640"/>
    <w:multiLevelType w:val="hybridMultilevel"/>
    <w:tmpl w:val="3AF8CE62"/>
    <w:lvl w:ilvl="0" w:tplc="D394751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68B7778"/>
    <w:multiLevelType w:val="hybridMultilevel"/>
    <w:tmpl w:val="23DE62E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10" w15:restartNumberingAfterBreak="0">
    <w:nsid w:val="479D1CF6"/>
    <w:multiLevelType w:val="hybridMultilevel"/>
    <w:tmpl w:val="651AE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8DA0E83"/>
    <w:multiLevelType w:val="hybridMultilevel"/>
    <w:tmpl w:val="D6A063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9B6076D"/>
    <w:multiLevelType w:val="hybridMultilevel"/>
    <w:tmpl w:val="3B408F9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13" w15:restartNumberingAfterBreak="0">
    <w:nsid w:val="49DE1A64"/>
    <w:multiLevelType w:val="hybridMultilevel"/>
    <w:tmpl w:val="58A2CA2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14" w15:restartNumberingAfterBreak="0">
    <w:nsid w:val="4A4D3895"/>
    <w:multiLevelType w:val="hybridMultilevel"/>
    <w:tmpl w:val="ABA0B8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15:restartNumberingAfterBreak="0">
    <w:nsid w:val="4A6A1424"/>
    <w:multiLevelType w:val="hybridMultilevel"/>
    <w:tmpl w:val="5F5603E0"/>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4AF56A16"/>
    <w:multiLevelType w:val="hybridMultilevel"/>
    <w:tmpl w:val="461CFF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4B786DAB"/>
    <w:multiLevelType w:val="hybridMultilevel"/>
    <w:tmpl w:val="F5D8FEE8"/>
    <w:lvl w:ilvl="0" w:tplc="04090019">
      <w:start w:val="1"/>
      <w:numFmt w:val="lowerLetter"/>
      <w:lvlText w:val="%1."/>
      <w:lvlJc w:val="left"/>
      <w:pPr>
        <w:ind w:left="720" w:hanging="360"/>
      </w:pPr>
    </w:lvl>
    <w:lvl w:ilvl="1" w:tplc="04090019">
      <w:start w:val="1"/>
      <w:numFmt w:val="lowerLetter"/>
      <w:lvlText w:val="%2."/>
      <w:lvlJc w:val="left"/>
      <w:pPr>
        <w:ind w:left="90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B7C28E3"/>
    <w:multiLevelType w:val="hybridMultilevel"/>
    <w:tmpl w:val="9648D5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4B8F749D"/>
    <w:multiLevelType w:val="hybridMultilevel"/>
    <w:tmpl w:val="FF46EA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121" w15:restartNumberingAfterBreak="0">
    <w:nsid w:val="4D074459"/>
    <w:multiLevelType w:val="hybridMultilevel"/>
    <w:tmpl w:val="0E2279FA"/>
    <w:lvl w:ilvl="0" w:tplc="51EE8F9A">
      <w:start w:val="1"/>
      <w:numFmt w:val="upperRoman"/>
      <w:pStyle w:val="Style1"/>
      <w:lvlText w:val="%1."/>
      <w:lvlJc w:val="left"/>
      <w:pPr>
        <w:tabs>
          <w:tab w:val="num" w:pos="360"/>
        </w:tabs>
        <w:ind w:left="360" w:hanging="360"/>
      </w:pPr>
      <w:rPr>
        <w:rFonts w:hint="default"/>
      </w:rPr>
    </w:lvl>
    <w:lvl w:ilvl="1" w:tplc="50BCD3D8">
      <w:start w:val="1"/>
      <w:numFmt w:val="decimal"/>
      <w:lvlText w:val="%2."/>
      <w:lvlJc w:val="left"/>
      <w:pPr>
        <w:tabs>
          <w:tab w:val="num" w:pos="1440"/>
        </w:tabs>
        <w:ind w:left="1440" w:hanging="360"/>
      </w:pPr>
      <w:rPr>
        <w:rFonts w:hint="default"/>
      </w:rPr>
    </w:lvl>
    <w:lvl w:ilvl="2" w:tplc="91A0435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4D207ED3"/>
    <w:multiLevelType w:val="hybridMultilevel"/>
    <w:tmpl w:val="55502E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4DBE3D66"/>
    <w:multiLevelType w:val="multilevel"/>
    <w:tmpl w:val="A866D1E6"/>
    <w:lvl w:ilvl="0">
      <w:start w:val="1"/>
      <w:numFmt w:val="upperRoman"/>
      <w:lvlText w:val="%1."/>
      <w:lvlJc w:val="right"/>
      <w:pPr>
        <w:ind w:left="720" w:hanging="360"/>
      </w:pPr>
      <w:rPr>
        <w:rFonts w:hint="default"/>
        <w:b/>
        <w:sz w:val="28"/>
        <w:szCs w:val="28"/>
      </w:rPr>
    </w:lvl>
    <w:lvl w:ilvl="1">
      <w:start w:val="1"/>
      <w:numFmt w:val="decimal"/>
      <w:pStyle w:val="Titre2"/>
      <w:isLgl/>
      <w:lvlText w:val="%1.%2."/>
      <w:lvlJc w:val="left"/>
      <w:pPr>
        <w:ind w:left="644" w:hanging="360"/>
      </w:pPr>
      <w:rPr>
        <w:rFonts w:hint="default"/>
        <w:color w:val="auto"/>
      </w:rPr>
    </w:lvl>
    <w:lvl w:ilvl="2">
      <w:start w:val="1"/>
      <w:numFmt w:val="decimal"/>
      <w:pStyle w:val="Titre3"/>
      <w:isLgl/>
      <w:lvlText w:val="%1.%2.%3."/>
      <w:lvlJc w:val="left"/>
      <w:pPr>
        <w:ind w:left="2422" w:hanging="720"/>
      </w:pPr>
      <w:rPr>
        <w:rFonts w:hint="default"/>
      </w:rPr>
    </w:lvl>
    <w:lvl w:ilvl="3">
      <w:start w:val="1"/>
      <w:numFmt w:val="decimal"/>
      <w:pStyle w:val="Titre4"/>
      <w:isLgl/>
      <w:lvlText w:val="%1.%2.%3.%4."/>
      <w:lvlJc w:val="left"/>
      <w:pPr>
        <w:ind w:left="1288" w:hanging="720"/>
      </w:pPr>
      <w:rPr>
        <w:rFonts w:hint="default"/>
        <w:b/>
        <w:bCs/>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4DF507B4"/>
    <w:multiLevelType w:val="hybridMultilevel"/>
    <w:tmpl w:val="5C3E3198"/>
    <w:lvl w:ilvl="0" w:tplc="262A9716">
      <w:start w:val="5"/>
      <w:numFmt w:val="bullet"/>
      <w:lvlText w:val="-"/>
      <w:lvlJc w:val="left"/>
      <w:pPr>
        <w:ind w:left="360" w:hanging="360"/>
      </w:pPr>
      <w:rPr>
        <w:rFonts w:ascii="Calibri" w:eastAsiaTheme="minorHAnsi" w:hAnsi="Calibri" w:cs="Calibri"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125" w15:restartNumberingAfterBreak="0">
    <w:nsid w:val="4E962460"/>
    <w:multiLevelType w:val="hybridMultilevel"/>
    <w:tmpl w:val="5F909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4F373A3E"/>
    <w:multiLevelType w:val="hybridMultilevel"/>
    <w:tmpl w:val="20407F46"/>
    <w:lvl w:ilvl="0" w:tplc="280C0005">
      <w:start w:val="1"/>
      <w:numFmt w:val="bullet"/>
      <w:lvlText w:val=""/>
      <w:lvlJc w:val="left"/>
      <w:pPr>
        <w:ind w:left="720" w:hanging="360"/>
      </w:pPr>
      <w:rPr>
        <w:rFonts w:ascii="Wingdings" w:hAnsi="Wingdings" w:hint="default"/>
      </w:rPr>
    </w:lvl>
    <w:lvl w:ilvl="1" w:tplc="280C0005">
      <w:start w:val="1"/>
      <w:numFmt w:val="bullet"/>
      <w:lvlText w:val=""/>
      <w:lvlJc w:val="left"/>
      <w:pPr>
        <w:ind w:left="1440" w:hanging="360"/>
      </w:pPr>
      <w:rPr>
        <w:rFonts w:ascii="Wingdings" w:hAnsi="Wingdings"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27" w15:restartNumberingAfterBreak="0">
    <w:nsid w:val="4F9C5F64"/>
    <w:multiLevelType w:val="multilevel"/>
    <w:tmpl w:val="C9DA5F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431"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itre5"/>
      <w:lvlText w:val="%1.%2.%3.%4.%5"/>
      <w:lvlJc w:val="left"/>
      <w:pPr>
        <w:ind w:left="1150"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8" w15:restartNumberingAfterBreak="0">
    <w:nsid w:val="4FCF7A4C"/>
    <w:multiLevelType w:val="hybridMultilevel"/>
    <w:tmpl w:val="09F455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0" w15:restartNumberingAfterBreak="0">
    <w:nsid w:val="51851190"/>
    <w:multiLevelType w:val="hybridMultilevel"/>
    <w:tmpl w:val="7E807FE8"/>
    <w:lvl w:ilvl="0" w:tplc="040C0001">
      <w:start w:val="1"/>
      <w:numFmt w:val="bullet"/>
      <w:lvlText w:val=""/>
      <w:lvlJc w:val="left"/>
      <w:pPr>
        <w:ind w:left="720" w:hanging="360"/>
      </w:pPr>
      <w:rPr>
        <w:rFonts w:ascii="Wingdings" w:hAnsi="Wingdings" w:hint="default"/>
        <w:color w:val="auto"/>
        <w:sz w:val="24"/>
        <w:szCs w:val="24"/>
      </w:rPr>
    </w:lvl>
    <w:lvl w:ilvl="1" w:tplc="040C0003">
      <w:start w:val="1"/>
      <w:numFmt w:val="bullet"/>
      <w:lvlText w:val="o"/>
      <w:lvlJc w:val="left"/>
      <w:pPr>
        <w:ind w:left="1440" w:hanging="360"/>
      </w:pPr>
      <w:rPr>
        <w:rFonts w:ascii="Courier New" w:hAnsi="Courier New" w:cs="Courier New" w:hint="default"/>
      </w:rPr>
    </w:lvl>
    <w:lvl w:ilvl="2" w:tplc="80E43F66">
      <w:numFmt w:val="bullet"/>
      <w:lvlText w:val="•"/>
      <w:lvlJc w:val="left"/>
      <w:pPr>
        <w:ind w:left="2510" w:hanging="710"/>
      </w:pPr>
      <w:rPr>
        <w:rFonts w:ascii="Tahoma" w:eastAsia="Times New Roman" w:hAnsi="Tahoma" w:cs="Tahoma"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1A27128"/>
    <w:multiLevelType w:val="hybridMultilevel"/>
    <w:tmpl w:val="C5E813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53AF182F"/>
    <w:multiLevelType w:val="hybridMultilevel"/>
    <w:tmpl w:val="163EAB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4D24401"/>
    <w:multiLevelType w:val="hybridMultilevel"/>
    <w:tmpl w:val="FF9C9A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4" w15:restartNumberingAfterBreak="0">
    <w:nsid w:val="5662456E"/>
    <w:multiLevelType w:val="hybridMultilevel"/>
    <w:tmpl w:val="80580D8E"/>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35" w15:restartNumberingAfterBreak="0">
    <w:nsid w:val="57337CDC"/>
    <w:multiLevelType w:val="hybridMultilevel"/>
    <w:tmpl w:val="6B622B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57C2045E"/>
    <w:multiLevelType w:val="hybridMultilevel"/>
    <w:tmpl w:val="26B662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15:restartNumberingAfterBreak="0">
    <w:nsid w:val="583F2DC4"/>
    <w:multiLevelType w:val="hybridMultilevel"/>
    <w:tmpl w:val="0302BC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58A74F12"/>
    <w:multiLevelType w:val="hybridMultilevel"/>
    <w:tmpl w:val="77C647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58D662AF"/>
    <w:multiLevelType w:val="hybridMultilevel"/>
    <w:tmpl w:val="7C925832"/>
    <w:lvl w:ilvl="0" w:tplc="7840B42C">
      <w:start w:val="1"/>
      <w:numFmt w:val="decimal"/>
      <w:pStyle w:val="NumberedParagraph"/>
      <w:lvlText w:val="%1."/>
      <w:lvlJc w:val="left"/>
      <w:pPr>
        <w:ind w:left="360" w:hanging="360"/>
      </w:pPr>
      <w:rPr>
        <w:rFonts w:hint="default"/>
        <w:b w:val="0"/>
        <w:i w:val="0"/>
        <w:color w:val="auto"/>
        <w:sz w:val="22"/>
        <w:szCs w:val="22"/>
      </w:rPr>
    </w:lvl>
    <w:lvl w:ilvl="1" w:tplc="0A70DB1A">
      <w:start w:val="1"/>
      <w:numFmt w:val="bullet"/>
      <w:pStyle w:val="BulletList"/>
      <w:lvlText w:val=""/>
      <w:lvlJc w:val="left"/>
      <w:pPr>
        <w:ind w:left="1146" w:hanging="360"/>
      </w:pPr>
      <w:rPr>
        <w:rFonts w:ascii="Symbol" w:hAnsi="Symbol" w:hint="default"/>
        <w:color w:val="auto"/>
      </w:rPr>
    </w:lvl>
    <w:lvl w:ilvl="2" w:tplc="01685FA0">
      <w:start w:val="1"/>
      <w:numFmt w:val="bullet"/>
      <w:pStyle w:val="Bullet-Indent"/>
      <w:lvlText w:val="o"/>
      <w:lvlJc w:val="left"/>
      <w:pPr>
        <w:ind w:left="1866" w:hanging="180"/>
      </w:pPr>
      <w:rPr>
        <w:rFonts w:ascii="Courier New" w:hAnsi="Courier New" w:cs="Courier New" w:hint="default"/>
      </w:r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40" w15:restartNumberingAfterBreak="0">
    <w:nsid w:val="593640C1"/>
    <w:multiLevelType w:val="hybridMultilevel"/>
    <w:tmpl w:val="DC46E5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5B535BE8"/>
    <w:multiLevelType w:val="hybridMultilevel"/>
    <w:tmpl w:val="317492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5CE214F9"/>
    <w:multiLevelType w:val="hybridMultilevel"/>
    <w:tmpl w:val="39E0D9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3" w15:restartNumberingAfterBreak="0">
    <w:nsid w:val="5CE9164C"/>
    <w:multiLevelType w:val="hybridMultilevel"/>
    <w:tmpl w:val="5030ADD2"/>
    <w:lvl w:ilvl="0" w:tplc="DBE09CEA">
      <w:start w:val="1"/>
      <w:numFmt w:val="lowerRoman"/>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90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D055619"/>
    <w:multiLevelType w:val="hybridMultilevel"/>
    <w:tmpl w:val="04800F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5D0D7980"/>
    <w:multiLevelType w:val="hybridMultilevel"/>
    <w:tmpl w:val="F956F5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5D55451F"/>
    <w:multiLevelType w:val="hybridMultilevel"/>
    <w:tmpl w:val="C8F621C6"/>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5D874817"/>
    <w:multiLevelType w:val="hybridMultilevel"/>
    <w:tmpl w:val="B900B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8" w15:restartNumberingAfterBreak="0">
    <w:nsid w:val="5ED01376"/>
    <w:multiLevelType w:val="multilevel"/>
    <w:tmpl w:val="07E2C584"/>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9" w15:restartNumberingAfterBreak="0">
    <w:nsid w:val="5F075100"/>
    <w:multiLevelType w:val="hybridMultilevel"/>
    <w:tmpl w:val="511058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5FE87F7C"/>
    <w:multiLevelType w:val="hybridMultilevel"/>
    <w:tmpl w:val="302C70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5FEA5C80"/>
    <w:multiLevelType w:val="singleLevel"/>
    <w:tmpl w:val="04DE203A"/>
    <w:lvl w:ilvl="0">
      <w:start w:val="1"/>
      <w:numFmt w:val="bullet"/>
      <w:pStyle w:val="ta"/>
      <w:lvlText w:val=""/>
      <w:lvlJc w:val="left"/>
      <w:pPr>
        <w:tabs>
          <w:tab w:val="num" w:pos="644"/>
        </w:tabs>
        <w:ind w:left="624" w:hanging="340"/>
      </w:pPr>
      <w:rPr>
        <w:rFonts w:ascii="Symbol" w:hAnsi="Symbol" w:hint="default"/>
        <w:sz w:val="20"/>
      </w:rPr>
    </w:lvl>
  </w:abstractNum>
  <w:abstractNum w:abstractNumId="152" w15:restartNumberingAfterBreak="0">
    <w:nsid w:val="60B54A29"/>
    <w:multiLevelType w:val="hybridMultilevel"/>
    <w:tmpl w:val="DDB2AE28"/>
    <w:lvl w:ilvl="0" w:tplc="026E7E9E">
      <w:start w:val="1"/>
      <w:numFmt w:val="bullet"/>
      <w:pStyle w:val="Niv5-Tireta"/>
      <w:lvlText w:val="-"/>
      <w:lvlJc w:val="left"/>
      <w:pPr>
        <w:ind w:left="763" w:hanging="360"/>
      </w:pPr>
      <w:rPr>
        <w:rFonts w:ascii="Arial" w:eastAsia="Times New Roman" w:hAnsi="Arial" w:cs="Arial" w:hint="default"/>
      </w:rPr>
    </w:lvl>
    <w:lvl w:ilvl="1" w:tplc="04090003">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53" w15:restartNumberingAfterBreak="0">
    <w:nsid w:val="60BF57D5"/>
    <w:multiLevelType w:val="hybridMultilevel"/>
    <w:tmpl w:val="8CB0DA42"/>
    <w:lvl w:ilvl="0" w:tplc="4CDC2C9A">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618905D5"/>
    <w:multiLevelType w:val="hybridMultilevel"/>
    <w:tmpl w:val="C50E29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15:restartNumberingAfterBreak="0">
    <w:nsid w:val="61B11718"/>
    <w:multiLevelType w:val="hybridMultilevel"/>
    <w:tmpl w:val="4E56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FA7277"/>
    <w:multiLevelType w:val="hybridMultilevel"/>
    <w:tmpl w:val="34AE6D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7" w15:restartNumberingAfterBreak="0">
    <w:nsid w:val="632E3427"/>
    <w:multiLevelType w:val="hybridMultilevel"/>
    <w:tmpl w:val="01E04A54"/>
    <w:lvl w:ilvl="0" w:tplc="04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58" w15:restartNumberingAfterBreak="0">
    <w:nsid w:val="645D1E09"/>
    <w:multiLevelType w:val="hybridMultilevel"/>
    <w:tmpl w:val="F404F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5B64AB8"/>
    <w:multiLevelType w:val="hybridMultilevel"/>
    <w:tmpl w:val="88FA7F5A"/>
    <w:lvl w:ilvl="0" w:tplc="040C0005">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60" w15:restartNumberingAfterBreak="0">
    <w:nsid w:val="65FF2CF5"/>
    <w:multiLevelType w:val="hybridMultilevel"/>
    <w:tmpl w:val="E4704E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66646506"/>
    <w:multiLevelType w:val="hybridMultilevel"/>
    <w:tmpl w:val="B07AA8CE"/>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90C08B50">
      <w:numFmt w:val="bullet"/>
      <w:lvlText w:val="•"/>
      <w:lvlJc w:val="left"/>
      <w:pPr>
        <w:ind w:left="2700" w:hanging="72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6AF197B"/>
    <w:multiLevelType w:val="multilevel"/>
    <w:tmpl w:val="D3F621AE"/>
    <w:lvl w:ilvl="0">
      <w:start w:val="2"/>
      <w:numFmt w:val="decimal"/>
      <w:lvlText w:val="%1."/>
      <w:lvlJc w:val="left"/>
      <w:pPr>
        <w:ind w:left="360" w:hanging="360"/>
      </w:pPr>
      <w:rPr>
        <w:rFonts w:hint="default"/>
      </w:rPr>
    </w:lvl>
    <w:lvl w:ilvl="1">
      <w:start w:val="1"/>
      <w:numFmt w:val="decimal"/>
      <w:lvlRestart w:val="0"/>
      <w:lvlText w:val="%1.%2."/>
      <w:lvlJc w:val="left"/>
      <w:pPr>
        <w:ind w:left="792" w:hanging="679"/>
      </w:pPr>
      <w:rPr>
        <w:rFonts w:hint="default"/>
      </w:rPr>
    </w:lvl>
    <w:lvl w:ilvl="2">
      <w:start w:val="1"/>
      <w:numFmt w:val="decimal"/>
      <w:lvlText w:val="%1.%2.%3."/>
      <w:lvlJc w:val="left"/>
      <w:pPr>
        <w:tabs>
          <w:tab w:val="num" w:pos="227"/>
        </w:tabs>
        <w:ind w:left="227"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670859F5"/>
    <w:multiLevelType w:val="hybridMultilevel"/>
    <w:tmpl w:val="B6A42A58"/>
    <w:lvl w:ilvl="0" w:tplc="DF64A4B0">
      <w:start w:val="1"/>
      <w:numFmt w:val="decimal"/>
      <w:pStyle w:val="TableauCECAFUNICEF"/>
      <w:lvlText w:val="Tableau %1."/>
      <w:lvlJc w:val="left"/>
      <w:pPr>
        <w:ind w:left="720" w:hanging="360"/>
      </w:pPr>
      <w:rPr>
        <w:rFonts w:ascii="Arial" w:hAnsi="Aria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6724171A"/>
    <w:multiLevelType w:val="hybridMultilevel"/>
    <w:tmpl w:val="F3DA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7811971"/>
    <w:multiLevelType w:val="hybridMultilevel"/>
    <w:tmpl w:val="7B249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68D463F5"/>
    <w:multiLevelType w:val="hybridMultilevel"/>
    <w:tmpl w:val="017EB9B0"/>
    <w:lvl w:ilvl="0" w:tplc="040C0005">
      <w:start w:val="1"/>
      <w:numFmt w:val="bullet"/>
      <w:lvlText w:val=""/>
      <w:lvlJc w:val="left"/>
      <w:pPr>
        <w:ind w:left="1080" w:hanging="360"/>
      </w:pPr>
      <w:rPr>
        <w:rFonts w:ascii="Wingdings" w:hAnsi="Wingdings" w:hint="default"/>
        <w:b/>
        <w:i/>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7" w15:restartNumberingAfterBreak="0">
    <w:nsid w:val="6A1A2FA9"/>
    <w:multiLevelType w:val="hybridMultilevel"/>
    <w:tmpl w:val="5698635E"/>
    <w:lvl w:ilvl="0" w:tplc="13FAB696">
      <w:start w:val="1"/>
      <w:numFmt w:val="lowerLetter"/>
      <w:lvlText w:val="%1."/>
      <w:lvlJc w:val="left"/>
      <w:pPr>
        <w:ind w:left="720" w:hanging="360"/>
      </w:pPr>
      <w:rPr>
        <w:rFonts w:ascii="Times New Roman" w:eastAsia="Calibri" w:hAnsi="Times New Roman" w:cs="Times New Roman"/>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B4E5867"/>
    <w:multiLevelType w:val="hybridMultilevel"/>
    <w:tmpl w:val="7A3600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6BA025A2"/>
    <w:multiLevelType w:val="hybridMultilevel"/>
    <w:tmpl w:val="E060734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70" w15:restartNumberingAfterBreak="0">
    <w:nsid w:val="6BE865CE"/>
    <w:multiLevelType w:val="hybridMultilevel"/>
    <w:tmpl w:val="A25E8C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6CB40AEE"/>
    <w:multiLevelType w:val="hybridMultilevel"/>
    <w:tmpl w:val="F31E75DA"/>
    <w:lvl w:ilvl="0" w:tplc="C63EE2E8">
      <w:start w:val="1"/>
      <w:numFmt w:val="bullet"/>
      <w:pStyle w:val="Niv5-Tireta0"/>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2" w15:restartNumberingAfterBreak="0">
    <w:nsid w:val="6D511726"/>
    <w:multiLevelType w:val="hybridMultilevel"/>
    <w:tmpl w:val="78A86A4C"/>
    <w:lvl w:ilvl="0" w:tplc="13FAB696">
      <w:start w:val="1"/>
      <w:numFmt w:val="lowerLetter"/>
      <w:lvlText w:val="%1."/>
      <w:lvlJc w:val="left"/>
      <w:pPr>
        <w:ind w:left="720" w:hanging="360"/>
      </w:pPr>
      <w:rPr>
        <w:rFonts w:ascii="Times New Roman" w:eastAsia="Calibri" w:hAnsi="Times New Roman" w:cs="Times New Roman"/>
      </w:rPr>
    </w:lvl>
    <w:lvl w:ilvl="1" w:tplc="1D105E0C">
      <w:start w:val="1"/>
      <w:numFmt w:val="lowerLetter"/>
      <w:lvlText w:val="%2."/>
      <w:lvlJc w:val="left"/>
      <w:pPr>
        <w:ind w:left="1440" w:hanging="360"/>
      </w:pPr>
      <w:rPr>
        <w:rFonts w:hint="default"/>
      </w:rPr>
    </w:lvl>
    <w:lvl w:ilvl="2" w:tplc="04090017">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D6765D7"/>
    <w:multiLevelType w:val="hybridMultilevel"/>
    <w:tmpl w:val="7782BA80"/>
    <w:lvl w:ilvl="0" w:tplc="A5FE91FA">
      <w:start w:val="3"/>
      <w:numFmt w:val="bullet"/>
      <w:pStyle w:val="retraittiret1"/>
      <w:lvlText w:val="-"/>
      <w:lvlJc w:val="left"/>
      <w:pPr>
        <w:tabs>
          <w:tab w:val="num" w:pos="360"/>
        </w:tabs>
        <w:ind w:left="360" w:hanging="360"/>
      </w:pPr>
      <w:rPr>
        <w:rFonts w:ascii="Times New Roman" w:eastAsia="Times New Roman" w:hAnsi="Times New Roman" w:cs="Times New Roman" w:hint="default"/>
        <w:sz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15:restartNumberingAfterBreak="0">
    <w:nsid w:val="6D786D19"/>
    <w:multiLevelType w:val="hybridMultilevel"/>
    <w:tmpl w:val="33942F2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FDA3DD2"/>
    <w:multiLevelType w:val="hybridMultilevel"/>
    <w:tmpl w:val="9E767C5A"/>
    <w:lvl w:ilvl="0" w:tplc="040C0001">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02D303B"/>
    <w:multiLevelType w:val="hybridMultilevel"/>
    <w:tmpl w:val="1FD0F7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70E010A9"/>
    <w:multiLevelType w:val="hybridMultilevel"/>
    <w:tmpl w:val="A2FC46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1116D7E"/>
    <w:multiLevelType w:val="hybridMultilevel"/>
    <w:tmpl w:val="75E089D6"/>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15:restartNumberingAfterBreak="0">
    <w:nsid w:val="713E328C"/>
    <w:multiLevelType w:val="multilevel"/>
    <w:tmpl w:val="64C2E896"/>
    <w:lvl w:ilvl="0">
      <w:start w:val="1"/>
      <w:numFmt w:val="decimal"/>
      <w:lvlText w:val="%1."/>
      <w:lvlJc w:val="left"/>
      <w:pPr>
        <w:tabs>
          <w:tab w:val="num" w:pos="390"/>
        </w:tabs>
        <w:ind w:left="390" w:hanging="390"/>
      </w:pPr>
      <w:rPr>
        <w:rFonts w:hint="default"/>
      </w:rPr>
    </w:lvl>
    <w:lvl w:ilvl="1">
      <w:start w:val="1"/>
      <w:numFmt w:val="decimal"/>
      <w:pStyle w:val="Titre20"/>
      <w:lvlText w:val="%1.%2."/>
      <w:lvlJc w:val="left"/>
      <w:pPr>
        <w:tabs>
          <w:tab w:val="num" w:pos="5352"/>
        </w:tabs>
        <w:ind w:left="5352" w:hanging="39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0" w15:restartNumberingAfterBreak="0">
    <w:nsid w:val="73071236"/>
    <w:multiLevelType w:val="hybridMultilevel"/>
    <w:tmpl w:val="9668B2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1" w15:restartNumberingAfterBreak="0">
    <w:nsid w:val="73BD5E32"/>
    <w:multiLevelType w:val="hybridMultilevel"/>
    <w:tmpl w:val="BABE7F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83" w15:restartNumberingAfterBreak="0">
    <w:nsid w:val="74B87873"/>
    <w:multiLevelType w:val="hybridMultilevel"/>
    <w:tmpl w:val="2B108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54A7C67"/>
    <w:multiLevelType w:val="hybridMultilevel"/>
    <w:tmpl w:val="AC5003C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5" w15:restartNumberingAfterBreak="0">
    <w:nsid w:val="76207D9D"/>
    <w:multiLevelType w:val="hybridMultilevel"/>
    <w:tmpl w:val="8BCC75F4"/>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6" w15:restartNumberingAfterBreak="0">
    <w:nsid w:val="763C33C0"/>
    <w:multiLevelType w:val="hybridMultilevel"/>
    <w:tmpl w:val="3AD2F6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68E06B0"/>
    <w:multiLevelType w:val="hybridMultilevel"/>
    <w:tmpl w:val="A0DA52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15:restartNumberingAfterBreak="0">
    <w:nsid w:val="76C54570"/>
    <w:multiLevelType w:val="hybridMultilevel"/>
    <w:tmpl w:val="8A6CECEA"/>
    <w:lvl w:ilvl="0" w:tplc="0409001B">
      <w:start w:val="1"/>
      <w:numFmt w:val="lowerRoman"/>
      <w:lvlText w:val="%1."/>
      <w:lvlJc w:val="right"/>
      <w:pPr>
        <w:ind w:left="780" w:hanging="360"/>
      </w:pPr>
    </w:lvl>
    <w:lvl w:ilvl="1" w:tplc="04090017">
      <w:start w:val="1"/>
      <w:numFmt w:val="lowerLetter"/>
      <w:lvlText w:val="%2)"/>
      <w:lvlJc w:val="left"/>
      <w:pPr>
        <w:ind w:left="1500" w:hanging="360"/>
      </w:pPr>
      <w:rPr>
        <w:rFonts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9" w15:restartNumberingAfterBreak="0">
    <w:nsid w:val="77FF52CC"/>
    <w:multiLevelType w:val="hybridMultilevel"/>
    <w:tmpl w:val="6B1445AC"/>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90" w15:restartNumberingAfterBreak="0">
    <w:nsid w:val="7B1E06EA"/>
    <w:multiLevelType w:val="hybridMultilevel"/>
    <w:tmpl w:val="DA1C1A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7B274CDE"/>
    <w:multiLevelType w:val="hybridMultilevel"/>
    <w:tmpl w:val="E92C007A"/>
    <w:lvl w:ilvl="0" w:tplc="81B204DE">
      <w:start w:val="1"/>
      <w:numFmt w:val="decimal"/>
      <w:pStyle w:val="ESSpara"/>
      <w:lvlText w:val="%1."/>
      <w:lvlJc w:val="left"/>
      <w:pPr>
        <w:ind w:left="4410" w:hanging="360"/>
      </w:pPr>
      <w:rPr>
        <w:rFonts w:asciiTheme="minorHAnsi" w:hAnsiTheme="minorHAnsi" w:hint="default"/>
        <w:b w:val="0"/>
        <w:bCs/>
        <w:i/>
        <w:iCs/>
        <w:color w:val="auto"/>
        <w:sz w:val="22"/>
        <w:szCs w:val="22"/>
      </w:rPr>
    </w:lvl>
    <w:lvl w:ilvl="1" w:tplc="2434604E">
      <w:start w:val="1"/>
      <w:numFmt w:val="lowerLetter"/>
      <w:lvlText w:val="(%2)"/>
      <w:lvlJc w:val="left"/>
      <w:pPr>
        <w:ind w:left="1440" w:hanging="360"/>
      </w:pPr>
      <w:rPr>
        <w:rFonts w:asciiTheme="minorHAnsi" w:hAnsiTheme="minorHAnsi" w:cstheme="minorHAnsi" w:hint="default"/>
      </w:rPr>
    </w:lvl>
    <w:lvl w:ilvl="2" w:tplc="28EA0068">
      <w:start w:val="1"/>
      <w:numFmt w:val="upperLetter"/>
      <w:lvlText w:val="%3."/>
      <w:lvlJc w:val="left"/>
      <w:pPr>
        <w:ind w:left="2160" w:hanging="180"/>
      </w:pPr>
    </w:lvl>
    <w:lvl w:ilvl="3" w:tplc="E56AC6E2" w:tentative="1">
      <w:start w:val="1"/>
      <w:numFmt w:val="decimal"/>
      <w:lvlText w:val="%4."/>
      <w:lvlJc w:val="left"/>
      <w:pPr>
        <w:ind w:left="2880" w:hanging="360"/>
      </w:pPr>
    </w:lvl>
    <w:lvl w:ilvl="4" w:tplc="4E4E88EE">
      <w:start w:val="1"/>
      <w:numFmt w:val="lowerLetter"/>
      <w:lvlText w:val="%5."/>
      <w:lvlJc w:val="left"/>
      <w:pPr>
        <w:ind w:left="3600" w:hanging="360"/>
      </w:pPr>
    </w:lvl>
    <w:lvl w:ilvl="5" w:tplc="B97664FE" w:tentative="1">
      <w:start w:val="1"/>
      <w:numFmt w:val="lowerRoman"/>
      <w:lvlText w:val="%6."/>
      <w:lvlJc w:val="right"/>
      <w:pPr>
        <w:ind w:left="4320" w:hanging="180"/>
      </w:pPr>
    </w:lvl>
    <w:lvl w:ilvl="6" w:tplc="D908A536">
      <w:start w:val="1"/>
      <w:numFmt w:val="lowerLetter"/>
      <w:lvlText w:val="%7)"/>
      <w:lvlJc w:val="left"/>
      <w:pPr>
        <w:ind w:left="5040" w:hanging="360"/>
      </w:pPr>
    </w:lvl>
    <w:lvl w:ilvl="7" w:tplc="7CC2C366" w:tentative="1">
      <w:start w:val="1"/>
      <w:numFmt w:val="lowerLetter"/>
      <w:lvlText w:val="%8."/>
      <w:lvlJc w:val="left"/>
      <w:pPr>
        <w:ind w:left="5760" w:hanging="360"/>
      </w:pPr>
    </w:lvl>
    <w:lvl w:ilvl="8" w:tplc="C88AD2E6" w:tentative="1">
      <w:start w:val="1"/>
      <w:numFmt w:val="lowerRoman"/>
      <w:lvlText w:val="%9."/>
      <w:lvlJc w:val="right"/>
      <w:pPr>
        <w:ind w:left="6480" w:hanging="180"/>
      </w:pPr>
    </w:lvl>
  </w:abstractNum>
  <w:abstractNum w:abstractNumId="192" w15:restartNumberingAfterBreak="0">
    <w:nsid w:val="7BBF2A2F"/>
    <w:multiLevelType w:val="hybridMultilevel"/>
    <w:tmpl w:val="33A4643C"/>
    <w:lvl w:ilvl="0" w:tplc="4CDC2C9A">
      <w:start w:val="1"/>
      <w:numFmt w:val="bullet"/>
      <w:lvlText w:val=""/>
      <w:lvlJc w:val="left"/>
      <w:pPr>
        <w:ind w:left="360" w:hanging="360"/>
      </w:pPr>
      <w:rPr>
        <w:rFonts w:ascii="Wingdings" w:hAnsi="Wingdings" w:hint="default"/>
        <w:color w:val="auto"/>
      </w:rPr>
    </w:lvl>
    <w:lvl w:ilvl="1" w:tplc="72ACB470">
      <w:start w:val="3"/>
      <w:numFmt w:val="bullet"/>
      <w:lvlText w:val="-"/>
      <w:lvlJc w:val="left"/>
      <w:pPr>
        <w:ind w:left="1080" w:hanging="36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3" w15:restartNumberingAfterBreak="0">
    <w:nsid w:val="7C0341C2"/>
    <w:multiLevelType w:val="hybridMultilevel"/>
    <w:tmpl w:val="FB0A6C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7CC30871"/>
    <w:multiLevelType w:val="multilevel"/>
    <w:tmpl w:val="C6CCFE9A"/>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5" w15:restartNumberingAfterBreak="0">
    <w:nsid w:val="7CF92508"/>
    <w:multiLevelType w:val="hybridMultilevel"/>
    <w:tmpl w:val="CF4A08C6"/>
    <w:lvl w:ilvl="0" w:tplc="CE261B9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DB978E1"/>
    <w:multiLevelType w:val="hybridMultilevel"/>
    <w:tmpl w:val="75E089D6"/>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15:restartNumberingAfterBreak="0">
    <w:nsid w:val="7DFA3654"/>
    <w:multiLevelType w:val="hybridMultilevel"/>
    <w:tmpl w:val="DA06AE6A"/>
    <w:lvl w:ilvl="0" w:tplc="DBE09CEA">
      <w:start w:val="1"/>
      <w:numFmt w:val="lowerRoman"/>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90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E7535AC"/>
    <w:multiLevelType w:val="hybridMultilevel"/>
    <w:tmpl w:val="7D303868"/>
    <w:lvl w:ilvl="0" w:tplc="1F987A62">
      <w:start w:val="1"/>
      <w:numFmt w:val="lowerLetter"/>
      <w:lvlText w:val="%1)"/>
      <w:lvlJc w:val="left"/>
      <w:pPr>
        <w:ind w:left="1117" w:hanging="360"/>
      </w:pPr>
    </w:lvl>
    <w:lvl w:ilvl="1" w:tplc="950C709C">
      <w:start w:val="1"/>
      <w:numFmt w:val="lowerLetter"/>
      <w:pStyle w:val="Listecontinue"/>
      <w:lvlText w:val="(%2)"/>
      <w:lvlJc w:val="right"/>
      <w:pPr>
        <w:ind w:left="1837" w:hanging="360"/>
      </w:pPr>
      <w:rPr>
        <w:rFonts w:hint="default"/>
      </w:rPr>
    </w:lvl>
    <w:lvl w:ilvl="2" w:tplc="8E86142E" w:tentative="1">
      <w:start w:val="1"/>
      <w:numFmt w:val="lowerRoman"/>
      <w:lvlText w:val="%3."/>
      <w:lvlJc w:val="right"/>
      <w:pPr>
        <w:ind w:left="2557" w:hanging="180"/>
      </w:pPr>
    </w:lvl>
    <w:lvl w:ilvl="3" w:tplc="A50C59DA">
      <w:start w:val="1"/>
      <w:numFmt w:val="decimal"/>
      <w:lvlText w:val="%4."/>
      <w:lvlJc w:val="left"/>
      <w:pPr>
        <w:ind w:left="3277" w:hanging="360"/>
      </w:pPr>
    </w:lvl>
    <w:lvl w:ilvl="4" w:tplc="520AA3B8" w:tentative="1">
      <w:start w:val="1"/>
      <w:numFmt w:val="lowerLetter"/>
      <w:lvlText w:val="%5."/>
      <w:lvlJc w:val="left"/>
      <w:pPr>
        <w:ind w:left="3997" w:hanging="360"/>
      </w:pPr>
    </w:lvl>
    <w:lvl w:ilvl="5" w:tplc="63367078" w:tentative="1">
      <w:start w:val="1"/>
      <w:numFmt w:val="lowerRoman"/>
      <w:lvlText w:val="%6."/>
      <w:lvlJc w:val="right"/>
      <w:pPr>
        <w:ind w:left="4717" w:hanging="180"/>
      </w:pPr>
    </w:lvl>
    <w:lvl w:ilvl="6" w:tplc="4BBA7D3E" w:tentative="1">
      <w:start w:val="1"/>
      <w:numFmt w:val="decimal"/>
      <w:lvlText w:val="%7."/>
      <w:lvlJc w:val="left"/>
      <w:pPr>
        <w:ind w:left="5437" w:hanging="360"/>
      </w:pPr>
    </w:lvl>
    <w:lvl w:ilvl="7" w:tplc="0F5A3C76" w:tentative="1">
      <w:start w:val="1"/>
      <w:numFmt w:val="lowerLetter"/>
      <w:lvlText w:val="%8."/>
      <w:lvlJc w:val="left"/>
      <w:pPr>
        <w:ind w:left="6157" w:hanging="360"/>
      </w:pPr>
    </w:lvl>
    <w:lvl w:ilvl="8" w:tplc="FF5611B0" w:tentative="1">
      <w:start w:val="1"/>
      <w:numFmt w:val="lowerRoman"/>
      <w:lvlText w:val="%9."/>
      <w:lvlJc w:val="right"/>
      <w:pPr>
        <w:ind w:left="6877" w:hanging="180"/>
      </w:pPr>
    </w:lvl>
  </w:abstractNum>
  <w:abstractNum w:abstractNumId="199" w15:restartNumberingAfterBreak="0">
    <w:nsid w:val="7EC477D2"/>
    <w:multiLevelType w:val="hybridMultilevel"/>
    <w:tmpl w:val="F684A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7F2F71B5"/>
    <w:multiLevelType w:val="hybridMultilevel"/>
    <w:tmpl w:val="3B0ED5CE"/>
    <w:lvl w:ilvl="0" w:tplc="420AF324">
      <w:start w:val="1"/>
      <w:numFmt w:val="bullet"/>
      <w:lvlText w:val=""/>
      <w:lvlJc w:val="left"/>
      <w:pPr>
        <w:ind w:left="360" w:hanging="360"/>
      </w:pPr>
      <w:rPr>
        <w:rFonts w:ascii="Symbol" w:hAnsi="Symbol" w:hint="default"/>
        <w:sz w:val="20"/>
        <w:szCs w:val="20"/>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01" w15:restartNumberingAfterBreak="0">
    <w:nsid w:val="7F7B6DFD"/>
    <w:multiLevelType w:val="multilevel"/>
    <w:tmpl w:val="1E26F386"/>
    <w:lvl w:ilvl="0">
      <w:start w:val="4"/>
      <w:numFmt w:val="upperRoman"/>
      <w:lvlText w:val="%1."/>
      <w:lvlJc w:val="right"/>
      <w:pPr>
        <w:ind w:left="720" w:hanging="360"/>
      </w:pPr>
      <w:rPr>
        <w:rFonts w:hint="default"/>
        <w:b/>
        <w:sz w:val="40"/>
        <w:szCs w:val="40"/>
      </w:rPr>
    </w:lvl>
    <w:lvl w:ilvl="1">
      <w:start w:val="1"/>
      <w:numFmt w:val="decimal"/>
      <w:isLgl/>
      <w:lvlText w:val="%1.%2."/>
      <w:lvlJc w:val="left"/>
      <w:pPr>
        <w:ind w:left="2149" w:hanging="720"/>
      </w:pPr>
      <w:rPr>
        <w:rFonts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4647" w:hanging="1080"/>
      </w:pPr>
      <w:rPr>
        <w:rFonts w:hint="default"/>
        <w:sz w:val="22"/>
        <w:szCs w:val="22"/>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0712" w:hanging="1800"/>
      </w:pPr>
      <w:rPr>
        <w:rFonts w:hint="default"/>
      </w:rPr>
    </w:lvl>
  </w:abstractNum>
  <w:abstractNum w:abstractNumId="202" w15:restartNumberingAfterBreak="0">
    <w:nsid w:val="7F843487"/>
    <w:multiLevelType w:val="hybridMultilevel"/>
    <w:tmpl w:val="A21217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3" w15:restartNumberingAfterBreak="0">
    <w:nsid w:val="7FCD3547"/>
    <w:multiLevelType w:val="hybridMultilevel"/>
    <w:tmpl w:val="46B6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FE434A6"/>
    <w:multiLevelType w:val="hybridMultilevel"/>
    <w:tmpl w:val="216C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0085632">
    <w:abstractNumId w:val="123"/>
  </w:num>
  <w:num w:numId="2" w16cid:durableId="993873528">
    <w:abstractNumId w:val="99"/>
  </w:num>
  <w:num w:numId="3" w16cid:durableId="2042239612">
    <w:abstractNumId w:val="11"/>
  </w:num>
  <w:num w:numId="4" w16cid:durableId="733966419">
    <w:abstractNumId w:val="182"/>
  </w:num>
  <w:num w:numId="5" w16cid:durableId="649288558">
    <w:abstractNumId w:val="120"/>
  </w:num>
  <w:num w:numId="6" w16cid:durableId="820660196">
    <w:abstractNumId w:val="76"/>
  </w:num>
  <w:num w:numId="7" w16cid:durableId="857812825">
    <w:abstractNumId w:val="23"/>
  </w:num>
  <w:num w:numId="8" w16cid:durableId="525100700">
    <w:abstractNumId w:val="1"/>
  </w:num>
  <w:num w:numId="9" w16cid:durableId="1227690705">
    <w:abstractNumId w:val="26"/>
  </w:num>
  <w:num w:numId="10" w16cid:durableId="123625141">
    <w:abstractNumId w:val="54"/>
  </w:num>
  <w:num w:numId="11" w16cid:durableId="197356509">
    <w:abstractNumId w:val="121"/>
  </w:num>
  <w:num w:numId="12" w16cid:durableId="1208444643">
    <w:abstractNumId w:val="0"/>
  </w:num>
  <w:num w:numId="13" w16cid:durableId="1176580211">
    <w:abstractNumId w:val="101"/>
  </w:num>
  <w:num w:numId="14" w16cid:durableId="1807771572">
    <w:abstractNumId w:val="163"/>
  </w:num>
  <w:num w:numId="15" w16cid:durableId="920024353">
    <w:abstractNumId w:val="179"/>
  </w:num>
  <w:num w:numId="16" w16cid:durableId="780883428">
    <w:abstractNumId w:val="96"/>
  </w:num>
  <w:num w:numId="17" w16cid:durableId="605113990">
    <w:abstractNumId w:val="127"/>
  </w:num>
  <w:num w:numId="18" w16cid:durableId="1095828563">
    <w:abstractNumId w:val="3"/>
  </w:num>
  <w:num w:numId="19" w16cid:durableId="1750808567">
    <w:abstractNumId w:val="129"/>
  </w:num>
  <w:num w:numId="20" w16cid:durableId="1285886549">
    <w:abstractNumId w:val="35"/>
  </w:num>
  <w:num w:numId="21" w16cid:durableId="1268582253">
    <w:abstractNumId w:val="4"/>
  </w:num>
  <w:num w:numId="22" w16cid:durableId="1351227140">
    <w:abstractNumId w:val="30"/>
  </w:num>
  <w:num w:numId="23" w16cid:durableId="505246035">
    <w:abstractNumId w:val="68"/>
  </w:num>
  <w:num w:numId="24" w16cid:durableId="670257146">
    <w:abstractNumId w:val="2"/>
  </w:num>
  <w:num w:numId="25" w16cid:durableId="2090494646">
    <w:abstractNumId w:val="150"/>
  </w:num>
  <w:num w:numId="26" w16cid:durableId="153301073">
    <w:abstractNumId w:val="168"/>
  </w:num>
  <w:num w:numId="27" w16cid:durableId="363098362">
    <w:abstractNumId w:val="142"/>
  </w:num>
  <w:num w:numId="28" w16cid:durableId="950354011">
    <w:abstractNumId w:val="133"/>
  </w:num>
  <w:num w:numId="29" w16cid:durableId="1271859103">
    <w:abstractNumId w:val="10"/>
  </w:num>
  <w:num w:numId="30" w16cid:durableId="806898458">
    <w:abstractNumId w:val="100"/>
  </w:num>
  <w:num w:numId="31" w16cid:durableId="738216475">
    <w:abstractNumId w:val="70"/>
  </w:num>
  <w:num w:numId="32" w16cid:durableId="946275967">
    <w:abstractNumId w:val="20"/>
  </w:num>
  <w:num w:numId="33" w16cid:durableId="309797850">
    <w:abstractNumId w:val="18"/>
  </w:num>
  <w:num w:numId="34" w16cid:durableId="752163020">
    <w:abstractNumId w:val="180"/>
  </w:num>
  <w:num w:numId="35" w16cid:durableId="701054262">
    <w:abstractNumId w:val="136"/>
  </w:num>
  <w:num w:numId="36" w16cid:durableId="1978870767">
    <w:abstractNumId w:val="52"/>
  </w:num>
  <w:num w:numId="37" w16cid:durableId="8601844">
    <w:abstractNumId w:val="46"/>
  </w:num>
  <w:num w:numId="38" w16cid:durableId="1339582327">
    <w:abstractNumId w:val="29"/>
  </w:num>
  <w:num w:numId="39" w16cid:durableId="2019232047">
    <w:abstractNumId w:val="135"/>
  </w:num>
  <w:num w:numId="40" w16cid:durableId="411125361">
    <w:abstractNumId w:val="86"/>
  </w:num>
  <w:num w:numId="41" w16cid:durableId="1162282957">
    <w:abstractNumId w:val="90"/>
  </w:num>
  <w:num w:numId="42" w16cid:durableId="2008635377">
    <w:abstractNumId w:val="128"/>
  </w:num>
  <w:num w:numId="43" w16cid:durableId="1159612669">
    <w:abstractNumId w:val="8"/>
  </w:num>
  <w:num w:numId="44" w16cid:durableId="669022441">
    <w:abstractNumId w:val="162"/>
  </w:num>
  <w:num w:numId="45" w16cid:durableId="89857868">
    <w:abstractNumId w:val="194"/>
  </w:num>
  <w:num w:numId="46" w16cid:durableId="1953124329">
    <w:abstractNumId w:val="17"/>
  </w:num>
  <w:num w:numId="47" w16cid:durableId="111630732">
    <w:abstractNumId w:val="62"/>
  </w:num>
  <w:num w:numId="48" w16cid:durableId="1242909421">
    <w:abstractNumId w:val="33"/>
  </w:num>
  <w:num w:numId="49" w16cid:durableId="1655642150">
    <w:abstractNumId w:val="114"/>
  </w:num>
  <w:num w:numId="50" w16cid:durableId="745108676">
    <w:abstractNumId w:val="12"/>
  </w:num>
  <w:num w:numId="51" w16cid:durableId="665280005">
    <w:abstractNumId w:val="88"/>
  </w:num>
  <w:num w:numId="52" w16cid:durableId="1229144833">
    <w:abstractNumId w:val="25"/>
  </w:num>
  <w:num w:numId="53" w16cid:durableId="2022509603">
    <w:abstractNumId w:val="154"/>
  </w:num>
  <w:num w:numId="54" w16cid:durableId="1324814930">
    <w:abstractNumId w:val="119"/>
  </w:num>
  <w:num w:numId="55" w16cid:durableId="2003240681">
    <w:abstractNumId w:val="156"/>
  </w:num>
  <w:num w:numId="56" w16cid:durableId="581374947">
    <w:abstractNumId w:val="28"/>
  </w:num>
  <w:num w:numId="57" w16cid:durableId="1928885095">
    <w:abstractNumId w:val="5"/>
    <w:lvlOverride w:ilvl="0">
      <w:lvl w:ilvl="0">
        <w:start w:val="65535"/>
        <w:numFmt w:val="bullet"/>
        <w:lvlText w:val="•"/>
        <w:legacy w:legacy="1" w:legacySpace="0" w:legacyIndent="341"/>
        <w:lvlJc w:val="left"/>
        <w:rPr>
          <w:rFonts w:ascii="Times New Roman" w:hAnsi="Times New Roman" w:cs="Times New Roman" w:hint="default"/>
        </w:rPr>
      </w:lvl>
    </w:lvlOverride>
  </w:num>
  <w:num w:numId="58" w16cid:durableId="585188460">
    <w:abstractNumId w:val="5"/>
    <w:lvlOverride w:ilvl="0">
      <w:lvl w:ilvl="0">
        <w:start w:val="65535"/>
        <w:numFmt w:val="bullet"/>
        <w:lvlText w:val="•"/>
        <w:legacy w:legacy="1" w:legacySpace="0" w:legacyIndent="340"/>
        <w:lvlJc w:val="left"/>
        <w:rPr>
          <w:rFonts w:ascii="Times New Roman" w:hAnsi="Times New Roman" w:cs="Times New Roman" w:hint="default"/>
        </w:rPr>
      </w:lvl>
    </w:lvlOverride>
  </w:num>
  <w:num w:numId="59" w16cid:durableId="1055736888">
    <w:abstractNumId w:val="184"/>
  </w:num>
  <w:num w:numId="60" w16cid:durableId="1938630968">
    <w:abstractNumId w:val="187"/>
  </w:num>
  <w:num w:numId="61" w16cid:durableId="298270213">
    <w:abstractNumId w:val="176"/>
  </w:num>
  <w:num w:numId="62" w16cid:durableId="316963517">
    <w:abstractNumId w:val="138"/>
  </w:num>
  <w:num w:numId="63" w16cid:durableId="1550145320">
    <w:abstractNumId w:val="69"/>
  </w:num>
  <w:num w:numId="64" w16cid:durableId="1465737543">
    <w:abstractNumId w:val="199"/>
  </w:num>
  <w:num w:numId="65" w16cid:durableId="113450288">
    <w:abstractNumId w:val="89"/>
  </w:num>
  <w:num w:numId="66" w16cid:durableId="880291271">
    <w:abstractNumId w:val="145"/>
  </w:num>
  <w:num w:numId="67" w16cid:durableId="1189029622">
    <w:abstractNumId w:val="165"/>
  </w:num>
  <w:num w:numId="68" w16cid:durableId="1600597360">
    <w:abstractNumId w:val="19"/>
  </w:num>
  <w:num w:numId="69" w16cid:durableId="1669211783">
    <w:abstractNumId w:val="139"/>
  </w:num>
  <w:num w:numId="70" w16cid:durableId="1979678207">
    <w:abstractNumId w:val="55"/>
  </w:num>
  <w:num w:numId="71" w16cid:durableId="272321164">
    <w:abstractNumId w:val="34"/>
  </w:num>
  <w:num w:numId="72" w16cid:durableId="1182863782">
    <w:abstractNumId w:val="197"/>
  </w:num>
  <w:num w:numId="73" w16cid:durableId="813180557">
    <w:abstractNumId w:val="143"/>
  </w:num>
  <w:num w:numId="74" w16cid:durableId="340857646">
    <w:abstractNumId w:val="183"/>
  </w:num>
  <w:num w:numId="75" w16cid:durableId="899750435">
    <w:abstractNumId w:val="117"/>
  </w:num>
  <w:num w:numId="76" w16cid:durableId="1305891207">
    <w:abstractNumId w:val="94"/>
  </w:num>
  <w:num w:numId="77" w16cid:durableId="659694395">
    <w:abstractNumId w:val="73"/>
  </w:num>
  <w:num w:numId="78" w16cid:durableId="1087724898">
    <w:abstractNumId w:val="44"/>
  </w:num>
  <w:num w:numId="79" w16cid:durableId="1594509696">
    <w:abstractNumId w:val="97"/>
  </w:num>
  <w:num w:numId="80" w16cid:durableId="1813208615">
    <w:abstractNumId w:val="188"/>
  </w:num>
  <w:num w:numId="81" w16cid:durableId="1974482316">
    <w:abstractNumId w:val="32"/>
  </w:num>
  <w:num w:numId="82" w16cid:durableId="2055304731">
    <w:abstractNumId w:val="195"/>
  </w:num>
  <w:num w:numId="83" w16cid:durableId="460807598">
    <w:abstractNumId w:val="167"/>
  </w:num>
  <w:num w:numId="84" w16cid:durableId="1022633450">
    <w:abstractNumId w:val="41"/>
  </w:num>
  <w:num w:numId="85" w16cid:durableId="621378311">
    <w:abstractNumId w:val="172"/>
  </w:num>
  <w:num w:numId="86" w16cid:durableId="1102264181">
    <w:abstractNumId w:val="161"/>
  </w:num>
  <w:num w:numId="87" w16cid:durableId="1008406441">
    <w:abstractNumId w:val="186"/>
  </w:num>
  <w:num w:numId="88" w16cid:durableId="327169637">
    <w:abstractNumId w:val="102"/>
  </w:num>
  <w:num w:numId="89" w16cid:durableId="612593338">
    <w:abstractNumId w:val="132"/>
  </w:num>
  <w:num w:numId="90" w16cid:durableId="1253779577">
    <w:abstractNumId w:val="174"/>
  </w:num>
  <w:num w:numId="91" w16cid:durableId="386807767">
    <w:abstractNumId w:val="40"/>
  </w:num>
  <w:num w:numId="92" w16cid:durableId="894319315">
    <w:abstractNumId w:val="93"/>
  </w:num>
  <w:num w:numId="93" w16cid:durableId="985209375">
    <w:abstractNumId w:val="185"/>
  </w:num>
  <w:num w:numId="94" w16cid:durableId="777141078">
    <w:abstractNumId w:val="16"/>
  </w:num>
  <w:num w:numId="95" w16cid:durableId="26217759">
    <w:abstractNumId w:val="15"/>
  </w:num>
  <w:num w:numId="96" w16cid:durableId="1598126527">
    <w:abstractNumId w:val="152"/>
  </w:num>
  <w:num w:numId="97" w16cid:durableId="1083797393">
    <w:abstractNumId w:val="171"/>
  </w:num>
  <w:num w:numId="98" w16cid:durableId="1418945445">
    <w:abstractNumId w:val="140"/>
  </w:num>
  <w:num w:numId="99" w16cid:durableId="708607740">
    <w:abstractNumId w:val="141"/>
  </w:num>
  <w:num w:numId="100" w16cid:durableId="297540112">
    <w:abstractNumId w:val="160"/>
  </w:num>
  <w:num w:numId="101" w16cid:durableId="195045791">
    <w:abstractNumId w:val="61"/>
  </w:num>
  <w:num w:numId="102" w16cid:durableId="248587402">
    <w:abstractNumId w:val="58"/>
  </w:num>
  <w:num w:numId="103" w16cid:durableId="263655531">
    <w:abstractNumId w:val="5"/>
    <w:lvlOverride w:ilvl="0">
      <w:lvl w:ilvl="0">
        <w:start w:val="65535"/>
        <w:numFmt w:val="bullet"/>
        <w:lvlText w:val="-"/>
        <w:legacy w:legacy="1" w:legacySpace="0" w:legacyIndent="350"/>
        <w:lvlJc w:val="left"/>
        <w:rPr>
          <w:rFonts w:ascii="Times New Roman" w:hAnsi="Times New Roman" w:cs="Times New Roman" w:hint="default"/>
        </w:rPr>
      </w:lvl>
    </w:lvlOverride>
  </w:num>
  <w:num w:numId="104" w16cid:durableId="1742294487">
    <w:abstractNumId w:val="151"/>
  </w:num>
  <w:num w:numId="105" w16cid:durableId="1631739637">
    <w:abstractNumId w:val="38"/>
  </w:num>
  <w:num w:numId="106" w16cid:durableId="2136173862">
    <w:abstractNumId w:val="130"/>
  </w:num>
  <w:num w:numId="107" w16cid:durableId="1587379326">
    <w:abstractNumId w:val="95"/>
  </w:num>
  <w:num w:numId="108" w16cid:durableId="266734674">
    <w:abstractNumId w:val="153"/>
  </w:num>
  <w:num w:numId="109" w16cid:durableId="164436988">
    <w:abstractNumId w:val="192"/>
  </w:num>
  <w:num w:numId="110" w16cid:durableId="1697727338">
    <w:abstractNumId w:val="91"/>
  </w:num>
  <w:num w:numId="111" w16cid:durableId="986858074">
    <w:abstractNumId w:val="81"/>
  </w:num>
  <w:num w:numId="112" w16cid:durableId="148207149">
    <w:abstractNumId w:val="113"/>
  </w:num>
  <w:num w:numId="113" w16cid:durableId="1412384771">
    <w:abstractNumId w:val="159"/>
  </w:num>
  <w:num w:numId="114" w16cid:durableId="1022245465">
    <w:abstractNumId w:val="78"/>
  </w:num>
  <w:num w:numId="115" w16cid:durableId="949044615">
    <w:abstractNumId w:val="84"/>
  </w:num>
  <w:num w:numId="116" w16cid:durableId="1600064726">
    <w:abstractNumId w:val="193"/>
  </w:num>
  <w:num w:numId="117" w16cid:durableId="822698574">
    <w:abstractNumId w:val="82"/>
  </w:num>
  <w:num w:numId="118" w16cid:durableId="1999189007">
    <w:abstractNumId w:val="49"/>
  </w:num>
  <w:num w:numId="119" w16cid:durableId="1987739162">
    <w:abstractNumId w:val="67"/>
  </w:num>
  <w:num w:numId="120" w16cid:durableId="2089225634">
    <w:abstractNumId w:val="21"/>
  </w:num>
  <w:num w:numId="121" w16cid:durableId="24596276">
    <w:abstractNumId w:val="65"/>
  </w:num>
  <w:num w:numId="122" w16cid:durableId="190803267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646738159">
    <w:abstractNumId w:val="109"/>
  </w:num>
  <w:num w:numId="124" w16cid:durableId="1193761065">
    <w:abstractNumId w:val="137"/>
  </w:num>
  <w:num w:numId="125" w16cid:durableId="1141727647">
    <w:abstractNumId w:val="42"/>
  </w:num>
  <w:num w:numId="126" w16cid:durableId="1821849048">
    <w:abstractNumId w:val="107"/>
  </w:num>
  <w:num w:numId="127" w16cid:durableId="2129928611">
    <w:abstractNumId w:val="7"/>
  </w:num>
  <w:num w:numId="128" w16cid:durableId="1753231908">
    <w:abstractNumId w:val="147"/>
  </w:num>
  <w:num w:numId="129" w16cid:durableId="1945921083">
    <w:abstractNumId w:val="148"/>
  </w:num>
  <w:num w:numId="130" w16cid:durableId="2063870183">
    <w:abstractNumId w:val="149"/>
  </w:num>
  <w:num w:numId="131" w16cid:durableId="269969516">
    <w:abstractNumId w:val="14"/>
  </w:num>
  <w:num w:numId="132" w16cid:durableId="1763143735">
    <w:abstractNumId w:val="134"/>
  </w:num>
  <w:num w:numId="133" w16cid:durableId="1545289095">
    <w:abstractNumId w:val="39"/>
  </w:num>
  <w:num w:numId="134" w16cid:durableId="1057361923">
    <w:abstractNumId w:val="48"/>
  </w:num>
  <w:num w:numId="135" w16cid:durableId="2050298023">
    <w:abstractNumId w:val="190"/>
  </w:num>
  <w:num w:numId="136" w16cid:durableId="1622374144">
    <w:abstractNumId w:val="27"/>
  </w:num>
  <w:num w:numId="137" w16cid:durableId="1501501765">
    <w:abstractNumId w:val="74"/>
  </w:num>
  <w:num w:numId="138" w16cid:durableId="1080909658">
    <w:abstractNumId w:val="111"/>
  </w:num>
  <w:num w:numId="139" w16cid:durableId="1041783924">
    <w:abstractNumId w:val="105"/>
  </w:num>
  <w:num w:numId="140" w16cid:durableId="198052396">
    <w:abstractNumId w:val="202"/>
  </w:num>
  <w:num w:numId="141" w16cid:durableId="1146507881">
    <w:abstractNumId w:val="57"/>
  </w:num>
  <w:num w:numId="142" w16cid:durableId="1053232264">
    <w:abstractNumId w:val="75"/>
  </w:num>
  <w:num w:numId="143" w16cid:durableId="698357513">
    <w:abstractNumId w:val="106"/>
  </w:num>
  <w:num w:numId="144" w16cid:durableId="919213027">
    <w:abstractNumId w:val="198"/>
  </w:num>
  <w:num w:numId="145" w16cid:durableId="672028491">
    <w:abstractNumId w:val="191"/>
  </w:num>
  <w:num w:numId="146" w16cid:durableId="624655234">
    <w:abstractNumId w:val="92"/>
  </w:num>
  <w:num w:numId="147" w16cid:durableId="573398823">
    <w:abstractNumId w:val="173"/>
  </w:num>
  <w:num w:numId="148" w16cid:durableId="566037518">
    <w:abstractNumId w:val="110"/>
  </w:num>
  <w:num w:numId="149" w16cid:durableId="1800414755">
    <w:abstractNumId w:val="83"/>
  </w:num>
  <w:num w:numId="150" w16cid:durableId="2030519992">
    <w:abstractNumId w:val="158"/>
  </w:num>
  <w:num w:numId="151" w16cid:durableId="993067561">
    <w:abstractNumId w:val="124"/>
  </w:num>
  <w:num w:numId="152" w16cid:durableId="813638128">
    <w:abstractNumId w:val="125"/>
  </w:num>
  <w:num w:numId="153" w16cid:durableId="883059406">
    <w:abstractNumId w:val="79"/>
  </w:num>
  <w:num w:numId="154" w16cid:durableId="142897633">
    <w:abstractNumId w:val="51"/>
  </w:num>
  <w:num w:numId="155" w16cid:durableId="128280296">
    <w:abstractNumId w:val="85"/>
  </w:num>
  <w:num w:numId="156" w16cid:durableId="313071884">
    <w:abstractNumId w:val="122"/>
  </w:num>
  <w:num w:numId="157" w16cid:durableId="1622804824">
    <w:abstractNumId w:val="144"/>
  </w:num>
  <w:num w:numId="158" w16cid:durableId="642349199">
    <w:abstractNumId w:val="166"/>
  </w:num>
  <w:num w:numId="159" w16cid:durableId="1178227828">
    <w:abstractNumId w:val="169"/>
  </w:num>
  <w:num w:numId="160" w16cid:durableId="1831480061">
    <w:abstractNumId w:val="66"/>
  </w:num>
  <w:num w:numId="161" w16cid:durableId="1873422164">
    <w:abstractNumId w:val="24"/>
  </w:num>
  <w:num w:numId="162" w16cid:durableId="221335648">
    <w:abstractNumId w:val="71"/>
  </w:num>
  <w:num w:numId="163" w16cid:durableId="342980401">
    <w:abstractNumId w:val="116"/>
  </w:num>
  <w:num w:numId="164" w16cid:durableId="1979339162">
    <w:abstractNumId w:val="9"/>
  </w:num>
  <w:num w:numId="165" w16cid:durableId="1769887441">
    <w:abstractNumId w:val="131"/>
  </w:num>
  <w:num w:numId="166" w16cid:durableId="351150426">
    <w:abstractNumId w:val="60"/>
  </w:num>
  <w:num w:numId="167" w16cid:durableId="963660955">
    <w:abstractNumId w:val="50"/>
  </w:num>
  <w:num w:numId="168" w16cid:durableId="708144085">
    <w:abstractNumId w:val="43"/>
  </w:num>
  <w:num w:numId="169" w16cid:durableId="1316450106">
    <w:abstractNumId w:val="98"/>
  </w:num>
  <w:num w:numId="170" w16cid:durableId="654799787">
    <w:abstractNumId w:val="157"/>
  </w:num>
  <w:num w:numId="171" w16cid:durableId="2038039123">
    <w:abstractNumId w:val="201"/>
  </w:num>
  <w:num w:numId="172" w16cid:durableId="569114686">
    <w:abstractNumId w:val="22"/>
  </w:num>
  <w:num w:numId="173" w16cid:durableId="592976501">
    <w:abstractNumId w:val="36"/>
  </w:num>
  <w:num w:numId="174" w16cid:durableId="664826122">
    <w:abstractNumId w:val="59"/>
  </w:num>
  <w:num w:numId="175" w16cid:durableId="2075620726">
    <w:abstractNumId w:val="181"/>
  </w:num>
  <w:num w:numId="176" w16cid:durableId="26679816">
    <w:abstractNumId w:val="104"/>
  </w:num>
  <w:num w:numId="177" w16cid:durableId="592052766">
    <w:abstractNumId w:val="177"/>
  </w:num>
  <w:num w:numId="178" w16cid:durableId="1586752">
    <w:abstractNumId w:val="13"/>
  </w:num>
  <w:num w:numId="179" w16cid:durableId="1255937426">
    <w:abstractNumId w:val="45"/>
  </w:num>
  <w:num w:numId="180" w16cid:durableId="1835949692">
    <w:abstractNumId w:val="178"/>
  </w:num>
  <w:num w:numId="181" w16cid:durableId="2137947645">
    <w:abstractNumId w:val="112"/>
  </w:num>
  <w:num w:numId="182" w16cid:durableId="943269594">
    <w:abstractNumId w:val="53"/>
  </w:num>
  <w:num w:numId="183" w16cid:durableId="1105031400">
    <w:abstractNumId w:val="118"/>
  </w:num>
  <w:num w:numId="184" w16cid:durableId="374503312">
    <w:abstractNumId w:val="108"/>
  </w:num>
  <w:num w:numId="185" w16cid:durableId="381903101">
    <w:abstractNumId w:val="175"/>
  </w:num>
  <w:num w:numId="186" w16cid:durableId="1118723714">
    <w:abstractNumId w:val="103"/>
  </w:num>
  <w:num w:numId="187" w16cid:durableId="1405102079">
    <w:abstractNumId w:val="63"/>
  </w:num>
  <w:num w:numId="188" w16cid:durableId="431122529">
    <w:abstractNumId w:val="196"/>
  </w:num>
  <w:num w:numId="189" w16cid:durableId="75789604">
    <w:abstractNumId w:val="170"/>
  </w:num>
  <w:num w:numId="190" w16cid:durableId="1860656125">
    <w:abstractNumId w:val="72"/>
  </w:num>
  <w:num w:numId="191" w16cid:durableId="513691693">
    <w:abstractNumId w:val="87"/>
  </w:num>
  <w:num w:numId="192" w16cid:durableId="1629820624">
    <w:abstractNumId w:val="80"/>
  </w:num>
  <w:num w:numId="193" w16cid:durableId="47145311">
    <w:abstractNumId w:val="123"/>
  </w:num>
  <w:num w:numId="194" w16cid:durableId="1400326354">
    <w:abstractNumId w:val="56"/>
  </w:num>
  <w:num w:numId="195" w16cid:durableId="1766728154">
    <w:abstractNumId w:val="64"/>
  </w:num>
  <w:num w:numId="196" w16cid:durableId="1536429425">
    <w:abstractNumId w:val="146"/>
  </w:num>
  <w:num w:numId="197" w16cid:durableId="1293946274">
    <w:abstractNumId w:val="77"/>
  </w:num>
  <w:num w:numId="198" w16cid:durableId="2108428751">
    <w:abstractNumId w:val="31"/>
  </w:num>
  <w:num w:numId="199" w16cid:durableId="1622956845">
    <w:abstractNumId w:val="203"/>
  </w:num>
  <w:num w:numId="200" w16cid:durableId="258106154">
    <w:abstractNumId w:val="164"/>
  </w:num>
  <w:num w:numId="201" w16cid:durableId="217202494">
    <w:abstractNumId w:val="155"/>
  </w:num>
  <w:num w:numId="202" w16cid:durableId="2123301519">
    <w:abstractNumId w:val="204"/>
  </w:num>
  <w:num w:numId="203" w16cid:durableId="161971178">
    <w:abstractNumId w:val="47"/>
  </w:num>
  <w:num w:numId="204" w16cid:durableId="480577975">
    <w:abstractNumId w:val="37"/>
  </w:num>
  <w:num w:numId="205" w16cid:durableId="443425929">
    <w:abstractNumId w:val="123"/>
  </w:num>
  <w:num w:numId="206" w16cid:durableId="1152141915">
    <w:abstractNumId w:val="123"/>
  </w:num>
  <w:num w:numId="207" w16cid:durableId="1699500448">
    <w:abstractNumId w:val="200"/>
  </w:num>
  <w:num w:numId="208" w16cid:durableId="685256054">
    <w:abstractNumId w:val="115"/>
  </w:num>
  <w:num w:numId="209" w16cid:durableId="1593854937">
    <w:abstractNumId w:val="126"/>
  </w:num>
  <w:num w:numId="210" w16cid:durableId="334964924">
    <w:abstractNumId w:val="189"/>
  </w:num>
  <w:num w:numId="211" w16cid:durableId="790630447">
    <w:abstractNumId w:val="123"/>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45"/>
    <w:rsid w:val="0000020E"/>
    <w:rsid w:val="000003F7"/>
    <w:rsid w:val="00000F7C"/>
    <w:rsid w:val="00001184"/>
    <w:rsid w:val="000011AB"/>
    <w:rsid w:val="00001CF2"/>
    <w:rsid w:val="00001D86"/>
    <w:rsid w:val="00001E19"/>
    <w:rsid w:val="000020CA"/>
    <w:rsid w:val="00002F52"/>
    <w:rsid w:val="00002FDE"/>
    <w:rsid w:val="00003EC4"/>
    <w:rsid w:val="00003FF5"/>
    <w:rsid w:val="000040B6"/>
    <w:rsid w:val="0000474A"/>
    <w:rsid w:val="000049CF"/>
    <w:rsid w:val="00005029"/>
    <w:rsid w:val="000051E1"/>
    <w:rsid w:val="0000584C"/>
    <w:rsid w:val="00005A31"/>
    <w:rsid w:val="00005B5C"/>
    <w:rsid w:val="00005C62"/>
    <w:rsid w:val="00005EC3"/>
    <w:rsid w:val="00006BF5"/>
    <w:rsid w:val="00006D73"/>
    <w:rsid w:val="00006EC7"/>
    <w:rsid w:val="000070C4"/>
    <w:rsid w:val="00007268"/>
    <w:rsid w:val="000075FE"/>
    <w:rsid w:val="00010028"/>
    <w:rsid w:val="00010036"/>
    <w:rsid w:val="00010099"/>
    <w:rsid w:val="00010ADB"/>
    <w:rsid w:val="00010C35"/>
    <w:rsid w:val="00011B99"/>
    <w:rsid w:val="00011C8F"/>
    <w:rsid w:val="00011E8C"/>
    <w:rsid w:val="00011EF0"/>
    <w:rsid w:val="00011F38"/>
    <w:rsid w:val="000127C3"/>
    <w:rsid w:val="00013119"/>
    <w:rsid w:val="000134D4"/>
    <w:rsid w:val="000138FC"/>
    <w:rsid w:val="00013BD6"/>
    <w:rsid w:val="00013C91"/>
    <w:rsid w:val="00013F64"/>
    <w:rsid w:val="000140DC"/>
    <w:rsid w:val="00014102"/>
    <w:rsid w:val="000148D1"/>
    <w:rsid w:val="000150BC"/>
    <w:rsid w:val="0001510B"/>
    <w:rsid w:val="00015299"/>
    <w:rsid w:val="000154C9"/>
    <w:rsid w:val="000156AF"/>
    <w:rsid w:val="00015838"/>
    <w:rsid w:val="00015C3C"/>
    <w:rsid w:val="000167B8"/>
    <w:rsid w:val="00016BA4"/>
    <w:rsid w:val="00017340"/>
    <w:rsid w:val="00017407"/>
    <w:rsid w:val="00017486"/>
    <w:rsid w:val="00017503"/>
    <w:rsid w:val="0001755B"/>
    <w:rsid w:val="000177BA"/>
    <w:rsid w:val="000177F9"/>
    <w:rsid w:val="00017B37"/>
    <w:rsid w:val="00017DAF"/>
    <w:rsid w:val="0002064D"/>
    <w:rsid w:val="00020741"/>
    <w:rsid w:val="00020B4D"/>
    <w:rsid w:val="00020F22"/>
    <w:rsid w:val="00021384"/>
    <w:rsid w:val="0002144E"/>
    <w:rsid w:val="00021B2F"/>
    <w:rsid w:val="00021C4F"/>
    <w:rsid w:val="00022033"/>
    <w:rsid w:val="0002210E"/>
    <w:rsid w:val="000221A5"/>
    <w:rsid w:val="00022892"/>
    <w:rsid w:val="000228D9"/>
    <w:rsid w:val="00022E6F"/>
    <w:rsid w:val="00023349"/>
    <w:rsid w:val="00023715"/>
    <w:rsid w:val="00023723"/>
    <w:rsid w:val="0002380F"/>
    <w:rsid w:val="000239AD"/>
    <w:rsid w:val="00023A06"/>
    <w:rsid w:val="00023F26"/>
    <w:rsid w:val="0002443D"/>
    <w:rsid w:val="000245DF"/>
    <w:rsid w:val="000248AD"/>
    <w:rsid w:val="00024A41"/>
    <w:rsid w:val="00024A9B"/>
    <w:rsid w:val="00024D5B"/>
    <w:rsid w:val="00024EB9"/>
    <w:rsid w:val="00025187"/>
    <w:rsid w:val="000257BF"/>
    <w:rsid w:val="00025A2D"/>
    <w:rsid w:val="00025A4E"/>
    <w:rsid w:val="00025DDD"/>
    <w:rsid w:val="00026B45"/>
    <w:rsid w:val="00026E94"/>
    <w:rsid w:val="000271C8"/>
    <w:rsid w:val="00027669"/>
    <w:rsid w:val="00027A9B"/>
    <w:rsid w:val="00027C6F"/>
    <w:rsid w:val="00027DC4"/>
    <w:rsid w:val="00030082"/>
    <w:rsid w:val="00030411"/>
    <w:rsid w:val="000306F1"/>
    <w:rsid w:val="00030964"/>
    <w:rsid w:val="00031063"/>
    <w:rsid w:val="0003108C"/>
    <w:rsid w:val="00031447"/>
    <w:rsid w:val="000314DE"/>
    <w:rsid w:val="00031872"/>
    <w:rsid w:val="00031954"/>
    <w:rsid w:val="00031C21"/>
    <w:rsid w:val="000322BC"/>
    <w:rsid w:val="000323EA"/>
    <w:rsid w:val="000325D7"/>
    <w:rsid w:val="00032741"/>
    <w:rsid w:val="00032B64"/>
    <w:rsid w:val="00032CAE"/>
    <w:rsid w:val="00033B1B"/>
    <w:rsid w:val="00033E06"/>
    <w:rsid w:val="00034228"/>
    <w:rsid w:val="000345F3"/>
    <w:rsid w:val="00034785"/>
    <w:rsid w:val="000348F9"/>
    <w:rsid w:val="00034FF4"/>
    <w:rsid w:val="0003550C"/>
    <w:rsid w:val="0003560A"/>
    <w:rsid w:val="00035B5D"/>
    <w:rsid w:val="00035C65"/>
    <w:rsid w:val="00035E62"/>
    <w:rsid w:val="00035F12"/>
    <w:rsid w:val="00035F13"/>
    <w:rsid w:val="00036081"/>
    <w:rsid w:val="000363DE"/>
    <w:rsid w:val="00036481"/>
    <w:rsid w:val="0003701C"/>
    <w:rsid w:val="000376B5"/>
    <w:rsid w:val="00037980"/>
    <w:rsid w:val="00037F2E"/>
    <w:rsid w:val="00040474"/>
    <w:rsid w:val="000406B3"/>
    <w:rsid w:val="0004072D"/>
    <w:rsid w:val="0004079E"/>
    <w:rsid w:val="00040A97"/>
    <w:rsid w:val="00040B01"/>
    <w:rsid w:val="000411A1"/>
    <w:rsid w:val="00041251"/>
    <w:rsid w:val="000414D1"/>
    <w:rsid w:val="00041563"/>
    <w:rsid w:val="000415AD"/>
    <w:rsid w:val="00041610"/>
    <w:rsid w:val="00042206"/>
    <w:rsid w:val="00042565"/>
    <w:rsid w:val="00042A2C"/>
    <w:rsid w:val="00042AF3"/>
    <w:rsid w:val="0004350E"/>
    <w:rsid w:val="0004352F"/>
    <w:rsid w:val="000438D6"/>
    <w:rsid w:val="00043DCD"/>
    <w:rsid w:val="0004449A"/>
    <w:rsid w:val="00044543"/>
    <w:rsid w:val="00044553"/>
    <w:rsid w:val="00044697"/>
    <w:rsid w:val="00044BBC"/>
    <w:rsid w:val="00045127"/>
    <w:rsid w:val="00045422"/>
    <w:rsid w:val="0004547B"/>
    <w:rsid w:val="000454FB"/>
    <w:rsid w:val="000455AD"/>
    <w:rsid w:val="0004599C"/>
    <w:rsid w:val="00045F62"/>
    <w:rsid w:val="00046225"/>
    <w:rsid w:val="000469C8"/>
    <w:rsid w:val="00046ACA"/>
    <w:rsid w:val="00046B80"/>
    <w:rsid w:val="00046FFD"/>
    <w:rsid w:val="0004700A"/>
    <w:rsid w:val="0004795E"/>
    <w:rsid w:val="0004796C"/>
    <w:rsid w:val="00047AA4"/>
    <w:rsid w:val="00047D49"/>
    <w:rsid w:val="00047D5A"/>
    <w:rsid w:val="0005011C"/>
    <w:rsid w:val="00050162"/>
    <w:rsid w:val="00050191"/>
    <w:rsid w:val="00050712"/>
    <w:rsid w:val="000508DC"/>
    <w:rsid w:val="00050CBB"/>
    <w:rsid w:val="00050D58"/>
    <w:rsid w:val="00050D81"/>
    <w:rsid w:val="00051909"/>
    <w:rsid w:val="00051A7C"/>
    <w:rsid w:val="00051B0F"/>
    <w:rsid w:val="00052106"/>
    <w:rsid w:val="00052AFC"/>
    <w:rsid w:val="00052E5E"/>
    <w:rsid w:val="0005347C"/>
    <w:rsid w:val="00053490"/>
    <w:rsid w:val="00053CC0"/>
    <w:rsid w:val="0005449D"/>
    <w:rsid w:val="00054A25"/>
    <w:rsid w:val="00054B02"/>
    <w:rsid w:val="00054E28"/>
    <w:rsid w:val="0005531F"/>
    <w:rsid w:val="0005542D"/>
    <w:rsid w:val="00055455"/>
    <w:rsid w:val="000555E8"/>
    <w:rsid w:val="00055632"/>
    <w:rsid w:val="0005569B"/>
    <w:rsid w:val="00055C93"/>
    <w:rsid w:val="00055F00"/>
    <w:rsid w:val="00056A97"/>
    <w:rsid w:val="000572DE"/>
    <w:rsid w:val="0005748F"/>
    <w:rsid w:val="00057B96"/>
    <w:rsid w:val="00057D90"/>
    <w:rsid w:val="00060173"/>
    <w:rsid w:val="000603D4"/>
    <w:rsid w:val="000605E7"/>
    <w:rsid w:val="0006082F"/>
    <w:rsid w:val="00060AC5"/>
    <w:rsid w:val="00060CBB"/>
    <w:rsid w:val="0006101F"/>
    <w:rsid w:val="000617A5"/>
    <w:rsid w:val="00061A22"/>
    <w:rsid w:val="00061A46"/>
    <w:rsid w:val="00061F2F"/>
    <w:rsid w:val="00061F7C"/>
    <w:rsid w:val="0006204E"/>
    <w:rsid w:val="000620A4"/>
    <w:rsid w:val="0006271C"/>
    <w:rsid w:val="00062C3B"/>
    <w:rsid w:val="00063626"/>
    <w:rsid w:val="00063930"/>
    <w:rsid w:val="00063962"/>
    <w:rsid w:val="00063EDB"/>
    <w:rsid w:val="00063F9D"/>
    <w:rsid w:val="000642B8"/>
    <w:rsid w:val="00064F79"/>
    <w:rsid w:val="00064FC3"/>
    <w:rsid w:val="00065098"/>
    <w:rsid w:val="0006514F"/>
    <w:rsid w:val="0006521B"/>
    <w:rsid w:val="0006537A"/>
    <w:rsid w:val="00065723"/>
    <w:rsid w:val="00065A58"/>
    <w:rsid w:val="00065AAA"/>
    <w:rsid w:val="00065B82"/>
    <w:rsid w:val="00065F86"/>
    <w:rsid w:val="00066024"/>
    <w:rsid w:val="0006613A"/>
    <w:rsid w:val="00066677"/>
    <w:rsid w:val="000668E0"/>
    <w:rsid w:val="000669F6"/>
    <w:rsid w:val="00066B2D"/>
    <w:rsid w:val="00066C1F"/>
    <w:rsid w:val="000679EC"/>
    <w:rsid w:val="00067D3A"/>
    <w:rsid w:val="00067DBD"/>
    <w:rsid w:val="00070058"/>
    <w:rsid w:val="0007026E"/>
    <w:rsid w:val="00070378"/>
    <w:rsid w:val="0007096D"/>
    <w:rsid w:val="00070D09"/>
    <w:rsid w:val="0007127B"/>
    <w:rsid w:val="00071438"/>
    <w:rsid w:val="0007200B"/>
    <w:rsid w:val="00072198"/>
    <w:rsid w:val="00072495"/>
    <w:rsid w:val="00072CC3"/>
    <w:rsid w:val="00072DFA"/>
    <w:rsid w:val="00072F6D"/>
    <w:rsid w:val="000739B6"/>
    <w:rsid w:val="00073B92"/>
    <w:rsid w:val="000746BF"/>
    <w:rsid w:val="0007490B"/>
    <w:rsid w:val="0007490E"/>
    <w:rsid w:val="00074932"/>
    <w:rsid w:val="00074B85"/>
    <w:rsid w:val="00074CDC"/>
    <w:rsid w:val="0007512A"/>
    <w:rsid w:val="000751E8"/>
    <w:rsid w:val="000754D9"/>
    <w:rsid w:val="00075714"/>
    <w:rsid w:val="000758EF"/>
    <w:rsid w:val="00075985"/>
    <w:rsid w:val="00075AD9"/>
    <w:rsid w:val="00075FB9"/>
    <w:rsid w:val="0007600C"/>
    <w:rsid w:val="000768BB"/>
    <w:rsid w:val="00076981"/>
    <w:rsid w:val="00076B4A"/>
    <w:rsid w:val="00076CD8"/>
    <w:rsid w:val="00077198"/>
    <w:rsid w:val="0007777C"/>
    <w:rsid w:val="000779C1"/>
    <w:rsid w:val="00077ADF"/>
    <w:rsid w:val="00077BD2"/>
    <w:rsid w:val="0008014F"/>
    <w:rsid w:val="000803C6"/>
    <w:rsid w:val="00080665"/>
    <w:rsid w:val="00080762"/>
    <w:rsid w:val="000807F5"/>
    <w:rsid w:val="000808AA"/>
    <w:rsid w:val="0008094F"/>
    <w:rsid w:val="00080A38"/>
    <w:rsid w:val="00080E78"/>
    <w:rsid w:val="00080F08"/>
    <w:rsid w:val="00081393"/>
    <w:rsid w:val="00081698"/>
    <w:rsid w:val="00081735"/>
    <w:rsid w:val="00081739"/>
    <w:rsid w:val="000819E2"/>
    <w:rsid w:val="00081A8B"/>
    <w:rsid w:val="00081B9E"/>
    <w:rsid w:val="00081BCF"/>
    <w:rsid w:val="000821AE"/>
    <w:rsid w:val="000821C5"/>
    <w:rsid w:val="00082460"/>
    <w:rsid w:val="00082861"/>
    <w:rsid w:val="00082A3B"/>
    <w:rsid w:val="00082AC4"/>
    <w:rsid w:val="00082C8C"/>
    <w:rsid w:val="00082CCB"/>
    <w:rsid w:val="00082E5E"/>
    <w:rsid w:val="00083653"/>
    <w:rsid w:val="00083B68"/>
    <w:rsid w:val="00083FC5"/>
    <w:rsid w:val="000840C2"/>
    <w:rsid w:val="00084838"/>
    <w:rsid w:val="0008534C"/>
    <w:rsid w:val="000861A4"/>
    <w:rsid w:val="0008620F"/>
    <w:rsid w:val="0008657A"/>
    <w:rsid w:val="000866F4"/>
    <w:rsid w:val="0008681C"/>
    <w:rsid w:val="0008692F"/>
    <w:rsid w:val="00086AD1"/>
    <w:rsid w:val="00087784"/>
    <w:rsid w:val="00087BFD"/>
    <w:rsid w:val="00087DB9"/>
    <w:rsid w:val="00087F21"/>
    <w:rsid w:val="0009013D"/>
    <w:rsid w:val="000902C5"/>
    <w:rsid w:val="000903AD"/>
    <w:rsid w:val="000904C0"/>
    <w:rsid w:val="000909DC"/>
    <w:rsid w:val="00090A0A"/>
    <w:rsid w:val="00090B62"/>
    <w:rsid w:val="00090DB0"/>
    <w:rsid w:val="000912BF"/>
    <w:rsid w:val="000912C8"/>
    <w:rsid w:val="000913DD"/>
    <w:rsid w:val="00091583"/>
    <w:rsid w:val="00091702"/>
    <w:rsid w:val="00091BB8"/>
    <w:rsid w:val="000920E1"/>
    <w:rsid w:val="000927B9"/>
    <w:rsid w:val="000930E2"/>
    <w:rsid w:val="000931D4"/>
    <w:rsid w:val="000932F3"/>
    <w:rsid w:val="00093417"/>
    <w:rsid w:val="00093914"/>
    <w:rsid w:val="00093A2C"/>
    <w:rsid w:val="00093AAC"/>
    <w:rsid w:val="00093AE4"/>
    <w:rsid w:val="00093B47"/>
    <w:rsid w:val="00094203"/>
    <w:rsid w:val="00094428"/>
    <w:rsid w:val="0009451C"/>
    <w:rsid w:val="00094B96"/>
    <w:rsid w:val="00094C87"/>
    <w:rsid w:val="00094E6C"/>
    <w:rsid w:val="00094F64"/>
    <w:rsid w:val="000952D2"/>
    <w:rsid w:val="00095A5E"/>
    <w:rsid w:val="00096054"/>
    <w:rsid w:val="0009610B"/>
    <w:rsid w:val="0009610C"/>
    <w:rsid w:val="000964F1"/>
    <w:rsid w:val="00096B35"/>
    <w:rsid w:val="00096F94"/>
    <w:rsid w:val="0009704D"/>
    <w:rsid w:val="00097730"/>
    <w:rsid w:val="00097E32"/>
    <w:rsid w:val="000A05B4"/>
    <w:rsid w:val="000A0BC1"/>
    <w:rsid w:val="000A0C71"/>
    <w:rsid w:val="000A0C7D"/>
    <w:rsid w:val="000A1462"/>
    <w:rsid w:val="000A15E5"/>
    <w:rsid w:val="000A1A45"/>
    <w:rsid w:val="000A1B33"/>
    <w:rsid w:val="000A1C10"/>
    <w:rsid w:val="000A1DA4"/>
    <w:rsid w:val="000A1FE5"/>
    <w:rsid w:val="000A1FF6"/>
    <w:rsid w:val="000A27B0"/>
    <w:rsid w:val="000A27FD"/>
    <w:rsid w:val="000A282E"/>
    <w:rsid w:val="000A2E51"/>
    <w:rsid w:val="000A3005"/>
    <w:rsid w:val="000A36C3"/>
    <w:rsid w:val="000A36C4"/>
    <w:rsid w:val="000A3874"/>
    <w:rsid w:val="000A38BF"/>
    <w:rsid w:val="000A3E47"/>
    <w:rsid w:val="000A416E"/>
    <w:rsid w:val="000A4CB5"/>
    <w:rsid w:val="000A538A"/>
    <w:rsid w:val="000A5771"/>
    <w:rsid w:val="000A595A"/>
    <w:rsid w:val="000A61A2"/>
    <w:rsid w:val="000A6274"/>
    <w:rsid w:val="000A668C"/>
    <w:rsid w:val="000A6C3B"/>
    <w:rsid w:val="000A6DC9"/>
    <w:rsid w:val="000A70D5"/>
    <w:rsid w:val="000A7154"/>
    <w:rsid w:val="000B0A0E"/>
    <w:rsid w:val="000B0FEE"/>
    <w:rsid w:val="000B121E"/>
    <w:rsid w:val="000B137E"/>
    <w:rsid w:val="000B166D"/>
    <w:rsid w:val="000B2167"/>
    <w:rsid w:val="000B2292"/>
    <w:rsid w:val="000B24DB"/>
    <w:rsid w:val="000B296A"/>
    <w:rsid w:val="000B30AF"/>
    <w:rsid w:val="000B33F4"/>
    <w:rsid w:val="000B35BC"/>
    <w:rsid w:val="000B360F"/>
    <w:rsid w:val="000B3EFF"/>
    <w:rsid w:val="000B3FD5"/>
    <w:rsid w:val="000B443D"/>
    <w:rsid w:val="000B471E"/>
    <w:rsid w:val="000B4AEF"/>
    <w:rsid w:val="000B4AF3"/>
    <w:rsid w:val="000B4B27"/>
    <w:rsid w:val="000B4EA9"/>
    <w:rsid w:val="000B5069"/>
    <w:rsid w:val="000B6119"/>
    <w:rsid w:val="000B6455"/>
    <w:rsid w:val="000B6552"/>
    <w:rsid w:val="000B6577"/>
    <w:rsid w:val="000B65B1"/>
    <w:rsid w:val="000B6A6F"/>
    <w:rsid w:val="000B6E40"/>
    <w:rsid w:val="000B6FF7"/>
    <w:rsid w:val="000B7574"/>
    <w:rsid w:val="000B7630"/>
    <w:rsid w:val="000B7738"/>
    <w:rsid w:val="000B7952"/>
    <w:rsid w:val="000B7DD5"/>
    <w:rsid w:val="000C01C7"/>
    <w:rsid w:val="000C048F"/>
    <w:rsid w:val="000C0516"/>
    <w:rsid w:val="000C0C74"/>
    <w:rsid w:val="000C1474"/>
    <w:rsid w:val="000C165C"/>
    <w:rsid w:val="000C18C6"/>
    <w:rsid w:val="000C194C"/>
    <w:rsid w:val="000C1E77"/>
    <w:rsid w:val="000C20B0"/>
    <w:rsid w:val="000C2589"/>
    <w:rsid w:val="000C26E0"/>
    <w:rsid w:val="000C27ED"/>
    <w:rsid w:val="000C28B6"/>
    <w:rsid w:val="000C2AB5"/>
    <w:rsid w:val="000C2D74"/>
    <w:rsid w:val="000C31F4"/>
    <w:rsid w:val="000C38B8"/>
    <w:rsid w:val="000C38D6"/>
    <w:rsid w:val="000C394B"/>
    <w:rsid w:val="000C3959"/>
    <w:rsid w:val="000C3A3A"/>
    <w:rsid w:val="000C3AD4"/>
    <w:rsid w:val="000C3DF2"/>
    <w:rsid w:val="000C4493"/>
    <w:rsid w:val="000C48A8"/>
    <w:rsid w:val="000C48BE"/>
    <w:rsid w:val="000C4B83"/>
    <w:rsid w:val="000C5420"/>
    <w:rsid w:val="000C5848"/>
    <w:rsid w:val="000C5953"/>
    <w:rsid w:val="000C5FD1"/>
    <w:rsid w:val="000C65EB"/>
    <w:rsid w:val="000C66BE"/>
    <w:rsid w:val="000C68B7"/>
    <w:rsid w:val="000C6ACC"/>
    <w:rsid w:val="000C6B45"/>
    <w:rsid w:val="000C70CD"/>
    <w:rsid w:val="000C7DC7"/>
    <w:rsid w:val="000D06D2"/>
    <w:rsid w:val="000D0F1F"/>
    <w:rsid w:val="000D0FE8"/>
    <w:rsid w:val="000D107A"/>
    <w:rsid w:val="000D13E5"/>
    <w:rsid w:val="000D1597"/>
    <w:rsid w:val="000D15F9"/>
    <w:rsid w:val="000D16AF"/>
    <w:rsid w:val="000D1E38"/>
    <w:rsid w:val="000D2396"/>
    <w:rsid w:val="000D2B86"/>
    <w:rsid w:val="000D3541"/>
    <w:rsid w:val="000D355E"/>
    <w:rsid w:val="000D3A37"/>
    <w:rsid w:val="000D497D"/>
    <w:rsid w:val="000D544B"/>
    <w:rsid w:val="000D5538"/>
    <w:rsid w:val="000D5708"/>
    <w:rsid w:val="000D58A5"/>
    <w:rsid w:val="000D59C4"/>
    <w:rsid w:val="000D5A9B"/>
    <w:rsid w:val="000D5B46"/>
    <w:rsid w:val="000D5B5A"/>
    <w:rsid w:val="000D5BE5"/>
    <w:rsid w:val="000D5F0E"/>
    <w:rsid w:val="000D6231"/>
    <w:rsid w:val="000D6259"/>
    <w:rsid w:val="000D6B17"/>
    <w:rsid w:val="000D6DBC"/>
    <w:rsid w:val="000D7130"/>
    <w:rsid w:val="000D78FB"/>
    <w:rsid w:val="000D792E"/>
    <w:rsid w:val="000D79BB"/>
    <w:rsid w:val="000D7E65"/>
    <w:rsid w:val="000D7FF2"/>
    <w:rsid w:val="000E0442"/>
    <w:rsid w:val="000E0453"/>
    <w:rsid w:val="000E082D"/>
    <w:rsid w:val="000E0AEB"/>
    <w:rsid w:val="000E1767"/>
    <w:rsid w:val="000E2339"/>
    <w:rsid w:val="000E241C"/>
    <w:rsid w:val="000E2761"/>
    <w:rsid w:val="000E2873"/>
    <w:rsid w:val="000E29D5"/>
    <w:rsid w:val="000E2A3B"/>
    <w:rsid w:val="000E30E4"/>
    <w:rsid w:val="000E35EC"/>
    <w:rsid w:val="000E3680"/>
    <w:rsid w:val="000E37DA"/>
    <w:rsid w:val="000E3B32"/>
    <w:rsid w:val="000E3ECE"/>
    <w:rsid w:val="000E43F3"/>
    <w:rsid w:val="000E4A59"/>
    <w:rsid w:val="000E4BBF"/>
    <w:rsid w:val="000E4DE2"/>
    <w:rsid w:val="000E5250"/>
    <w:rsid w:val="000E54BE"/>
    <w:rsid w:val="000E5B6C"/>
    <w:rsid w:val="000E5BA9"/>
    <w:rsid w:val="000E5E57"/>
    <w:rsid w:val="000E66B2"/>
    <w:rsid w:val="000E6CF1"/>
    <w:rsid w:val="000E6EB3"/>
    <w:rsid w:val="000E7092"/>
    <w:rsid w:val="000E79E5"/>
    <w:rsid w:val="000E7AD4"/>
    <w:rsid w:val="000E7ECA"/>
    <w:rsid w:val="000E7EFD"/>
    <w:rsid w:val="000F01B9"/>
    <w:rsid w:val="000F03A4"/>
    <w:rsid w:val="000F0805"/>
    <w:rsid w:val="000F0958"/>
    <w:rsid w:val="000F0ABA"/>
    <w:rsid w:val="000F0B2A"/>
    <w:rsid w:val="000F0DD6"/>
    <w:rsid w:val="000F0E78"/>
    <w:rsid w:val="000F0FDA"/>
    <w:rsid w:val="000F1171"/>
    <w:rsid w:val="000F16B1"/>
    <w:rsid w:val="000F1F57"/>
    <w:rsid w:val="000F2390"/>
    <w:rsid w:val="000F269F"/>
    <w:rsid w:val="000F26C9"/>
    <w:rsid w:val="000F2E3F"/>
    <w:rsid w:val="000F2F12"/>
    <w:rsid w:val="000F37BD"/>
    <w:rsid w:val="000F38CF"/>
    <w:rsid w:val="000F3AA3"/>
    <w:rsid w:val="000F3BC1"/>
    <w:rsid w:val="000F3C24"/>
    <w:rsid w:val="000F3EC9"/>
    <w:rsid w:val="000F3FAE"/>
    <w:rsid w:val="000F40B6"/>
    <w:rsid w:val="000F40F2"/>
    <w:rsid w:val="000F4144"/>
    <w:rsid w:val="000F4C35"/>
    <w:rsid w:val="000F529C"/>
    <w:rsid w:val="000F57AD"/>
    <w:rsid w:val="000F582B"/>
    <w:rsid w:val="000F591D"/>
    <w:rsid w:val="000F5E3A"/>
    <w:rsid w:val="000F5F0E"/>
    <w:rsid w:val="000F608B"/>
    <w:rsid w:val="000F66E3"/>
    <w:rsid w:val="000F677F"/>
    <w:rsid w:val="000F678E"/>
    <w:rsid w:val="000F6849"/>
    <w:rsid w:val="000F6A12"/>
    <w:rsid w:val="000F6A9B"/>
    <w:rsid w:val="000F7270"/>
    <w:rsid w:val="000F73C0"/>
    <w:rsid w:val="000F7586"/>
    <w:rsid w:val="000F7B0A"/>
    <w:rsid w:val="000F7F89"/>
    <w:rsid w:val="00100231"/>
    <w:rsid w:val="00100553"/>
    <w:rsid w:val="00100741"/>
    <w:rsid w:val="001007CE"/>
    <w:rsid w:val="00100854"/>
    <w:rsid w:val="0010086B"/>
    <w:rsid w:val="001008AB"/>
    <w:rsid w:val="00100B41"/>
    <w:rsid w:val="0010167F"/>
    <w:rsid w:val="00101BBD"/>
    <w:rsid w:val="00101D54"/>
    <w:rsid w:val="0010211E"/>
    <w:rsid w:val="0010215F"/>
    <w:rsid w:val="00102668"/>
    <w:rsid w:val="0010277C"/>
    <w:rsid w:val="00102C25"/>
    <w:rsid w:val="00102F71"/>
    <w:rsid w:val="00103C9D"/>
    <w:rsid w:val="00103E62"/>
    <w:rsid w:val="00103ED3"/>
    <w:rsid w:val="00103FEC"/>
    <w:rsid w:val="00104347"/>
    <w:rsid w:val="0010466D"/>
    <w:rsid w:val="001048FF"/>
    <w:rsid w:val="001049D0"/>
    <w:rsid w:val="00104A00"/>
    <w:rsid w:val="00104CD0"/>
    <w:rsid w:val="00105395"/>
    <w:rsid w:val="00105481"/>
    <w:rsid w:val="0010548F"/>
    <w:rsid w:val="00105A54"/>
    <w:rsid w:val="00105A7F"/>
    <w:rsid w:val="00105B67"/>
    <w:rsid w:val="00105E94"/>
    <w:rsid w:val="00105F25"/>
    <w:rsid w:val="0010601E"/>
    <w:rsid w:val="0010603C"/>
    <w:rsid w:val="0010613B"/>
    <w:rsid w:val="001063AD"/>
    <w:rsid w:val="00106700"/>
    <w:rsid w:val="00106892"/>
    <w:rsid w:val="00106A5A"/>
    <w:rsid w:val="00106B50"/>
    <w:rsid w:val="00106C26"/>
    <w:rsid w:val="00106C76"/>
    <w:rsid w:val="0010701A"/>
    <w:rsid w:val="001071F5"/>
    <w:rsid w:val="00107DAA"/>
    <w:rsid w:val="0011000D"/>
    <w:rsid w:val="00110380"/>
    <w:rsid w:val="00110728"/>
    <w:rsid w:val="0011075F"/>
    <w:rsid w:val="0011096A"/>
    <w:rsid w:val="00110DFA"/>
    <w:rsid w:val="00110E61"/>
    <w:rsid w:val="00111A7D"/>
    <w:rsid w:val="00111B67"/>
    <w:rsid w:val="00111CA8"/>
    <w:rsid w:val="00112470"/>
    <w:rsid w:val="00112794"/>
    <w:rsid w:val="00112918"/>
    <w:rsid w:val="001131BB"/>
    <w:rsid w:val="001135FA"/>
    <w:rsid w:val="001136B6"/>
    <w:rsid w:val="00113AA0"/>
    <w:rsid w:val="00113B1D"/>
    <w:rsid w:val="00113C57"/>
    <w:rsid w:val="0011424E"/>
    <w:rsid w:val="001145F3"/>
    <w:rsid w:val="0011465A"/>
    <w:rsid w:val="001146E2"/>
    <w:rsid w:val="00114B3C"/>
    <w:rsid w:val="00114D6B"/>
    <w:rsid w:val="001157E4"/>
    <w:rsid w:val="001157EC"/>
    <w:rsid w:val="00115905"/>
    <w:rsid w:val="00115BC1"/>
    <w:rsid w:val="0011628C"/>
    <w:rsid w:val="00116405"/>
    <w:rsid w:val="00116505"/>
    <w:rsid w:val="00117299"/>
    <w:rsid w:val="0011733B"/>
    <w:rsid w:val="0011739B"/>
    <w:rsid w:val="001178B2"/>
    <w:rsid w:val="00120891"/>
    <w:rsid w:val="0012152F"/>
    <w:rsid w:val="001220F0"/>
    <w:rsid w:val="00122698"/>
    <w:rsid w:val="00122ABD"/>
    <w:rsid w:val="001230C6"/>
    <w:rsid w:val="0012335C"/>
    <w:rsid w:val="0012378F"/>
    <w:rsid w:val="00123938"/>
    <w:rsid w:val="00123D71"/>
    <w:rsid w:val="00124012"/>
    <w:rsid w:val="00124157"/>
    <w:rsid w:val="00124596"/>
    <w:rsid w:val="00124B37"/>
    <w:rsid w:val="001253B1"/>
    <w:rsid w:val="00125532"/>
    <w:rsid w:val="00125ADF"/>
    <w:rsid w:val="00125E4C"/>
    <w:rsid w:val="00125F02"/>
    <w:rsid w:val="00126306"/>
    <w:rsid w:val="0012670E"/>
    <w:rsid w:val="00126AC0"/>
    <w:rsid w:val="00126DDB"/>
    <w:rsid w:val="00127189"/>
    <w:rsid w:val="001274DF"/>
    <w:rsid w:val="00127611"/>
    <w:rsid w:val="001276FF"/>
    <w:rsid w:val="001277F0"/>
    <w:rsid w:val="001278E5"/>
    <w:rsid w:val="001279AB"/>
    <w:rsid w:val="00127BAA"/>
    <w:rsid w:val="001303A2"/>
    <w:rsid w:val="00130A1A"/>
    <w:rsid w:val="00130D2F"/>
    <w:rsid w:val="00130F56"/>
    <w:rsid w:val="00130F72"/>
    <w:rsid w:val="00131314"/>
    <w:rsid w:val="0013141F"/>
    <w:rsid w:val="001316C6"/>
    <w:rsid w:val="00131EE5"/>
    <w:rsid w:val="00131EEB"/>
    <w:rsid w:val="00132F7F"/>
    <w:rsid w:val="00133073"/>
    <w:rsid w:val="001336B9"/>
    <w:rsid w:val="00133781"/>
    <w:rsid w:val="00134622"/>
    <w:rsid w:val="00134756"/>
    <w:rsid w:val="00134996"/>
    <w:rsid w:val="00134B6A"/>
    <w:rsid w:val="00134D83"/>
    <w:rsid w:val="00135355"/>
    <w:rsid w:val="001357BF"/>
    <w:rsid w:val="0013594E"/>
    <w:rsid w:val="00135A9C"/>
    <w:rsid w:val="00135AB8"/>
    <w:rsid w:val="00135B43"/>
    <w:rsid w:val="00135D0A"/>
    <w:rsid w:val="0013618B"/>
    <w:rsid w:val="00136249"/>
    <w:rsid w:val="00136272"/>
    <w:rsid w:val="001371F4"/>
    <w:rsid w:val="00137444"/>
    <w:rsid w:val="001374C1"/>
    <w:rsid w:val="00137539"/>
    <w:rsid w:val="001376C8"/>
    <w:rsid w:val="001379E1"/>
    <w:rsid w:val="00137D04"/>
    <w:rsid w:val="00137E7C"/>
    <w:rsid w:val="001400F3"/>
    <w:rsid w:val="001401D6"/>
    <w:rsid w:val="00140634"/>
    <w:rsid w:val="00140A9A"/>
    <w:rsid w:val="00140B94"/>
    <w:rsid w:val="00140C82"/>
    <w:rsid w:val="00140CE2"/>
    <w:rsid w:val="001414D5"/>
    <w:rsid w:val="00141608"/>
    <w:rsid w:val="0014160E"/>
    <w:rsid w:val="00141948"/>
    <w:rsid w:val="00141E8C"/>
    <w:rsid w:val="00142531"/>
    <w:rsid w:val="0014260C"/>
    <w:rsid w:val="00142ACE"/>
    <w:rsid w:val="00143036"/>
    <w:rsid w:val="001434F6"/>
    <w:rsid w:val="00143554"/>
    <w:rsid w:val="0014357A"/>
    <w:rsid w:val="0014465C"/>
    <w:rsid w:val="00144CC3"/>
    <w:rsid w:val="00145563"/>
    <w:rsid w:val="001457CD"/>
    <w:rsid w:val="0014599A"/>
    <w:rsid w:val="00145DEF"/>
    <w:rsid w:val="00146014"/>
    <w:rsid w:val="00146017"/>
    <w:rsid w:val="001468DF"/>
    <w:rsid w:val="001469C3"/>
    <w:rsid w:val="00146B4A"/>
    <w:rsid w:val="00146E00"/>
    <w:rsid w:val="00146E38"/>
    <w:rsid w:val="00147DF8"/>
    <w:rsid w:val="00150151"/>
    <w:rsid w:val="0015088B"/>
    <w:rsid w:val="00150970"/>
    <w:rsid w:val="00151762"/>
    <w:rsid w:val="001518C0"/>
    <w:rsid w:val="00151998"/>
    <w:rsid w:val="001519F9"/>
    <w:rsid w:val="00151A43"/>
    <w:rsid w:val="0015236A"/>
    <w:rsid w:val="00153255"/>
    <w:rsid w:val="0015354D"/>
    <w:rsid w:val="0015360C"/>
    <w:rsid w:val="00153816"/>
    <w:rsid w:val="00153B86"/>
    <w:rsid w:val="001540C3"/>
    <w:rsid w:val="001546BA"/>
    <w:rsid w:val="0015473F"/>
    <w:rsid w:val="001549A3"/>
    <w:rsid w:val="00154D1A"/>
    <w:rsid w:val="00155389"/>
    <w:rsid w:val="001559BA"/>
    <w:rsid w:val="00155A92"/>
    <w:rsid w:val="00155E43"/>
    <w:rsid w:val="001562D1"/>
    <w:rsid w:val="001562E9"/>
    <w:rsid w:val="001562F2"/>
    <w:rsid w:val="00156335"/>
    <w:rsid w:val="0015634B"/>
    <w:rsid w:val="001563DC"/>
    <w:rsid w:val="00156864"/>
    <w:rsid w:val="001568C1"/>
    <w:rsid w:val="00156A89"/>
    <w:rsid w:val="00156B13"/>
    <w:rsid w:val="00156C69"/>
    <w:rsid w:val="00156D29"/>
    <w:rsid w:val="001576D9"/>
    <w:rsid w:val="001579C4"/>
    <w:rsid w:val="00157B4F"/>
    <w:rsid w:val="00157DBF"/>
    <w:rsid w:val="00160145"/>
    <w:rsid w:val="001604FA"/>
    <w:rsid w:val="001606DB"/>
    <w:rsid w:val="00160905"/>
    <w:rsid w:val="00160B2A"/>
    <w:rsid w:val="001613BE"/>
    <w:rsid w:val="001614F1"/>
    <w:rsid w:val="00161576"/>
    <w:rsid w:val="00161605"/>
    <w:rsid w:val="001619C4"/>
    <w:rsid w:val="001629E3"/>
    <w:rsid w:val="00162CFA"/>
    <w:rsid w:val="001631C4"/>
    <w:rsid w:val="00163564"/>
    <w:rsid w:val="001636F6"/>
    <w:rsid w:val="001638E6"/>
    <w:rsid w:val="00163BF5"/>
    <w:rsid w:val="0016420B"/>
    <w:rsid w:val="0016491C"/>
    <w:rsid w:val="00164949"/>
    <w:rsid w:val="00164A21"/>
    <w:rsid w:val="00164C8E"/>
    <w:rsid w:val="0016521A"/>
    <w:rsid w:val="001656B0"/>
    <w:rsid w:val="00165D36"/>
    <w:rsid w:val="00165E15"/>
    <w:rsid w:val="00165E16"/>
    <w:rsid w:val="00166138"/>
    <w:rsid w:val="00166370"/>
    <w:rsid w:val="00166BB2"/>
    <w:rsid w:val="00166C1A"/>
    <w:rsid w:val="00166EB1"/>
    <w:rsid w:val="00167015"/>
    <w:rsid w:val="00167203"/>
    <w:rsid w:val="001674A2"/>
    <w:rsid w:val="00167863"/>
    <w:rsid w:val="001678B8"/>
    <w:rsid w:val="00167BAB"/>
    <w:rsid w:val="00167D20"/>
    <w:rsid w:val="00170B60"/>
    <w:rsid w:val="00170D5F"/>
    <w:rsid w:val="00171016"/>
    <w:rsid w:val="00171398"/>
    <w:rsid w:val="0017186E"/>
    <w:rsid w:val="0017193F"/>
    <w:rsid w:val="00171BFD"/>
    <w:rsid w:val="00171D14"/>
    <w:rsid w:val="00171F09"/>
    <w:rsid w:val="00171FCA"/>
    <w:rsid w:val="00172020"/>
    <w:rsid w:val="001723E5"/>
    <w:rsid w:val="00172BF3"/>
    <w:rsid w:val="00172D30"/>
    <w:rsid w:val="00172F0B"/>
    <w:rsid w:val="0017307E"/>
    <w:rsid w:val="001735D9"/>
    <w:rsid w:val="00173909"/>
    <w:rsid w:val="00173D51"/>
    <w:rsid w:val="001741E1"/>
    <w:rsid w:val="0017468E"/>
    <w:rsid w:val="00174AFA"/>
    <w:rsid w:val="00174F6A"/>
    <w:rsid w:val="001751D9"/>
    <w:rsid w:val="001751EA"/>
    <w:rsid w:val="00175872"/>
    <w:rsid w:val="001761DB"/>
    <w:rsid w:val="00176542"/>
    <w:rsid w:val="001767F5"/>
    <w:rsid w:val="00176A92"/>
    <w:rsid w:val="00176AAF"/>
    <w:rsid w:val="00176BD2"/>
    <w:rsid w:val="00176CDA"/>
    <w:rsid w:val="001770AE"/>
    <w:rsid w:val="001770F4"/>
    <w:rsid w:val="001771E8"/>
    <w:rsid w:val="001772E7"/>
    <w:rsid w:val="00177561"/>
    <w:rsid w:val="00177B4B"/>
    <w:rsid w:val="0018022B"/>
    <w:rsid w:val="001803C4"/>
    <w:rsid w:val="001806C0"/>
    <w:rsid w:val="00180B33"/>
    <w:rsid w:val="00180D6F"/>
    <w:rsid w:val="00180E0F"/>
    <w:rsid w:val="001812E8"/>
    <w:rsid w:val="001819DC"/>
    <w:rsid w:val="00181E15"/>
    <w:rsid w:val="00181FF5"/>
    <w:rsid w:val="00182691"/>
    <w:rsid w:val="001826BE"/>
    <w:rsid w:val="001829C4"/>
    <w:rsid w:val="00182A9C"/>
    <w:rsid w:val="00182D87"/>
    <w:rsid w:val="00183538"/>
    <w:rsid w:val="0018373D"/>
    <w:rsid w:val="00183966"/>
    <w:rsid w:val="00183ADB"/>
    <w:rsid w:val="00183B46"/>
    <w:rsid w:val="00183C53"/>
    <w:rsid w:val="00183C99"/>
    <w:rsid w:val="00183FCA"/>
    <w:rsid w:val="00184C0B"/>
    <w:rsid w:val="00185120"/>
    <w:rsid w:val="001858F7"/>
    <w:rsid w:val="00185C64"/>
    <w:rsid w:val="00185D6A"/>
    <w:rsid w:val="00185E08"/>
    <w:rsid w:val="001860F6"/>
    <w:rsid w:val="001862C9"/>
    <w:rsid w:val="0018644E"/>
    <w:rsid w:val="001864AA"/>
    <w:rsid w:val="0018692C"/>
    <w:rsid w:val="00186C9C"/>
    <w:rsid w:val="00186E50"/>
    <w:rsid w:val="00186EFB"/>
    <w:rsid w:val="001878FE"/>
    <w:rsid w:val="001879C5"/>
    <w:rsid w:val="00187F43"/>
    <w:rsid w:val="0019030E"/>
    <w:rsid w:val="001915E2"/>
    <w:rsid w:val="0019177D"/>
    <w:rsid w:val="00191B96"/>
    <w:rsid w:val="00191D17"/>
    <w:rsid w:val="00191E2C"/>
    <w:rsid w:val="0019207F"/>
    <w:rsid w:val="00192232"/>
    <w:rsid w:val="0019316D"/>
    <w:rsid w:val="00193611"/>
    <w:rsid w:val="00193C0D"/>
    <w:rsid w:val="00193F8E"/>
    <w:rsid w:val="001944B3"/>
    <w:rsid w:val="0019458E"/>
    <w:rsid w:val="00194C07"/>
    <w:rsid w:val="00194E24"/>
    <w:rsid w:val="00194FFB"/>
    <w:rsid w:val="0019520F"/>
    <w:rsid w:val="00195849"/>
    <w:rsid w:val="00195E6D"/>
    <w:rsid w:val="00195E71"/>
    <w:rsid w:val="001963FD"/>
    <w:rsid w:val="00196625"/>
    <w:rsid w:val="00196651"/>
    <w:rsid w:val="00196E04"/>
    <w:rsid w:val="00196E2C"/>
    <w:rsid w:val="00196E5D"/>
    <w:rsid w:val="00197243"/>
    <w:rsid w:val="00197799"/>
    <w:rsid w:val="0019792C"/>
    <w:rsid w:val="00197987"/>
    <w:rsid w:val="00197AE0"/>
    <w:rsid w:val="001A0051"/>
    <w:rsid w:val="001A008C"/>
    <w:rsid w:val="001A085E"/>
    <w:rsid w:val="001A08EB"/>
    <w:rsid w:val="001A097C"/>
    <w:rsid w:val="001A0D14"/>
    <w:rsid w:val="001A0D1C"/>
    <w:rsid w:val="001A0DC4"/>
    <w:rsid w:val="001A0DCE"/>
    <w:rsid w:val="001A0E29"/>
    <w:rsid w:val="001A10E3"/>
    <w:rsid w:val="001A118D"/>
    <w:rsid w:val="001A1309"/>
    <w:rsid w:val="001A186C"/>
    <w:rsid w:val="001A1998"/>
    <w:rsid w:val="001A1F2E"/>
    <w:rsid w:val="001A21A7"/>
    <w:rsid w:val="001A2606"/>
    <w:rsid w:val="001A282A"/>
    <w:rsid w:val="001A2AF4"/>
    <w:rsid w:val="001A303F"/>
    <w:rsid w:val="001A311A"/>
    <w:rsid w:val="001A3266"/>
    <w:rsid w:val="001A360E"/>
    <w:rsid w:val="001A3777"/>
    <w:rsid w:val="001A3FD1"/>
    <w:rsid w:val="001A4056"/>
    <w:rsid w:val="001A40A2"/>
    <w:rsid w:val="001A43A6"/>
    <w:rsid w:val="001A4588"/>
    <w:rsid w:val="001A45A1"/>
    <w:rsid w:val="001A4A4E"/>
    <w:rsid w:val="001A4BC5"/>
    <w:rsid w:val="001A4BD4"/>
    <w:rsid w:val="001A4EE5"/>
    <w:rsid w:val="001A55BE"/>
    <w:rsid w:val="001A59E3"/>
    <w:rsid w:val="001A5F94"/>
    <w:rsid w:val="001A65BD"/>
    <w:rsid w:val="001A6C3A"/>
    <w:rsid w:val="001A7024"/>
    <w:rsid w:val="001A71BF"/>
    <w:rsid w:val="001A76FA"/>
    <w:rsid w:val="001B0A25"/>
    <w:rsid w:val="001B0B07"/>
    <w:rsid w:val="001B0BFA"/>
    <w:rsid w:val="001B0DCA"/>
    <w:rsid w:val="001B0E63"/>
    <w:rsid w:val="001B1067"/>
    <w:rsid w:val="001B12A9"/>
    <w:rsid w:val="001B14CA"/>
    <w:rsid w:val="001B1DA1"/>
    <w:rsid w:val="001B218B"/>
    <w:rsid w:val="001B2619"/>
    <w:rsid w:val="001B2C45"/>
    <w:rsid w:val="001B2D38"/>
    <w:rsid w:val="001B2EC8"/>
    <w:rsid w:val="001B2F37"/>
    <w:rsid w:val="001B310D"/>
    <w:rsid w:val="001B3292"/>
    <w:rsid w:val="001B33D5"/>
    <w:rsid w:val="001B34DB"/>
    <w:rsid w:val="001B365F"/>
    <w:rsid w:val="001B368E"/>
    <w:rsid w:val="001B36D0"/>
    <w:rsid w:val="001B37FD"/>
    <w:rsid w:val="001B415E"/>
    <w:rsid w:val="001B44DB"/>
    <w:rsid w:val="001B47BF"/>
    <w:rsid w:val="001B49AE"/>
    <w:rsid w:val="001B4F96"/>
    <w:rsid w:val="001B508D"/>
    <w:rsid w:val="001B5123"/>
    <w:rsid w:val="001B52C0"/>
    <w:rsid w:val="001B59F2"/>
    <w:rsid w:val="001B5DF8"/>
    <w:rsid w:val="001B5E72"/>
    <w:rsid w:val="001B6053"/>
    <w:rsid w:val="001B6597"/>
    <w:rsid w:val="001B66A0"/>
    <w:rsid w:val="001B6BD3"/>
    <w:rsid w:val="001B7498"/>
    <w:rsid w:val="001B7662"/>
    <w:rsid w:val="001B77BE"/>
    <w:rsid w:val="001B7801"/>
    <w:rsid w:val="001B790E"/>
    <w:rsid w:val="001C05CB"/>
    <w:rsid w:val="001C0F70"/>
    <w:rsid w:val="001C12D9"/>
    <w:rsid w:val="001C1A11"/>
    <w:rsid w:val="001C200F"/>
    <w:rsid w:val="001C2055"/>
    <w:rsid w:val="001C30F6"/>
    <w:rsid w:val="001C324C"/>
    <w:rsid w:val="001C33E3"/>
    <w:rsid w:val="001C3EEA"/>
    <w:rsid w:val="001C4496"/>
    <w:rsid w:val="001C454C"/>
    <w:rsid w:val="001C47F0"/>
    <w:rsid w:val="001C47FB"/>
    <w:rsid w:val="001C48B8"/>
    <w:rsid w:val="001C4AEB"/>
    <w:rsid w:val="001C4BC5"/>
    <w:rsid w:val="001C4CEB"/>
    <w:rsid w:val="001C5391"/>
    <w:rsid w:val="001C5B73"/>
    <w:rsid w:val="001C63D3"/>
    <w:rsid w:val="001C65C5"/>
    <w:rsid w:val="001C6943"/>
    <w:rsid w:val="001C6DB9"/>
    <w:rsid w:val="001C6E0D"/>
    <w:rsid w:val="001C6F83"/>
    <w:rsid w:val="001C72F4"/>
    <w:rsid w:val="001C7B46"/>
    <w:rsid w:val="001C7FF6"/>
    <w:rsid w:val="001D02DE"/>
    <w:rsid w:val="001D049F"/>
    <w:rsid w:val="001D0565"/>
    <w:rsid w:val="001D06EB"/>
    <w:rsid w:val="001D087D"/>
    <w:rsid w:val="001D0997"/>
    <w:rsid w:val="001D0C26"/>
    <w:rsid w:val="001D0CB2"/>
    <w:rsid w:val="001D13BB"/>
    <w:rsid w:val="001D14AA"/>
    <w:rsid w:val="001D16F6"/>
    <w:rsid w:val="001D16FC"/>
    <w:rsid w:val="001D18CC"/>
    <w:rsid w:val="001D1917"/>
    <w:rsid w:val="001D1B42"/>
    <w:rsid w:val="001D1D80"/>
    <w:rsid w:val="001D1DC1"/>
    <w:rsid w:val="001D1FEF"/>
    <w:rsid w:val="001D267F"/>
    <w:rsid w:val="001D2851"/>
    <w:rsid w:val="001D2C0E"/>
    <w:rsid w:val="001D2FC3"/>
    <w:rsid w:val="001D3623"/>
    <w:rsid w:val="001D371F"/>
    <w:rsid w:val="001D3BA1"/>
    <w:rsid w:val="001D4476"/>
    <w:rsid w:val="001D4B3D"/>
    <w:rsid w:val="001D5210"/>
    <w:rsid w:val="001D5C86"/>
    <w:rsid w:val="001D5D12"/>
    <w:rsid w:val="001D5D1F"/>
    <w:rsid w:val="001D60F0"/>
    <w:rsid w:val="001D6483"/>
    <w:rsid w:val="001D6484"/>
    <w:rsid w:val="001D6650"/>
    <w:rsid w:val="001D66D0"/>
    <w:rsid w:val="001D6723"/>
    <w:rsid w:val="001D697E"/>
    <w:rsid w:val="001D6D59"/>
    <w:rsid w:val="001D6F51"/>
    <w:rsid w:val="001D70E4"/>
    <w:rsid w:val="001D76B5"/>
    <w:rsid w:val="001D77EA"/>
    <w:rsid w:val="001D7849"/>
    <w:rsid w:val="001D7F3F"/>
    <w:rsid w:val="001E02B7"/>
    <w:rsid w:val="001E061B"/>
    <w:rsid w:val="001E09C9"/>
    <w:rsid w:val="001E0A9A"/>
    <w:rsid w:val="001E0C47"/>
    <w:rsid w:val="001E1419"/>
    <w:rsid w:val="001E1A57"/>
    <w:rsid w:val="001E229C"/>
    <w:rsid w:val="001E2755"/>
    <w:rsid w:val="001E29CB"/>
    <w:rsid w:val="001E2A8D"/>
    <w:rsid w:val="001E2C05"/>
    <w:rsid w:val="001E2CD5"/>
    <w:rsid w:val="001E3146"/>
    <w:rsid w:val="001E31B7"/>
    <w:rsid w:val="001E3522"/>
    <w:rsid w:val="001E38B3"/>
    <w:rsid w:val="001E3EF6"/>
    <w:rsid w:val="001E3FA3"/>
    <w:rsid w:val="001E41E1"/>
    <w:rsid w:val="001E4BFE"/>
    <w:rsid w:val="001E4D3F"/>
    <w:rsid w:val="001E51A2"/>
    <w:rsid w:val="001E5282"/>
    <w:rsid w:val="001E541C"/>
    <w:rsid w:val="001E57FD"/>
    <w:rsid w:val="001E5847"/>
    <w:rsid w:val="001E5A3A"/>
    <w:rsid w:val="001E603F"/>
    <w:rsid w:val="001E60EF"/>
    <w:rsid w:val="001E62EB"/>
    <w:rsid w:val="001E63F6"/>
    <w:rsid w:val="001E69D1"/>
    <w:rsid w:val="001E6D44"/>
    <w:rsid w:val="001E6F34"/>
    <w:rsid w:val="001E711A"/>
    <w:rsid w:val="001E7170"/>
    <w:rsid w:val="001E7319"/>
    <w:rsid w:val="001E737B"/>
    <w:rsid w:val="001E75E3"/>
    <w:rsid w:val="001E7942"/>
    <w:rsid w:val="001E7DE2"/>
    <w:rsid w:val="001E7FF1"/>
    <w:rsid w:val="001F0141"/>
    <w:rsid w:val="001F0337"/>
    <w:rsid w:val="001F0929"/>
    <w:rsid w:val="001F0A8D"/>
    <w:rsid w:val="001F0B27"/>
    <w:rsid w:val="001F0DCF"/>
    <w:rsid w:val="001F15A5"/>
    <w:rsid w:val="001F172B"/>
    <w:rsid w:val="001F345F"/>
    <w:rsid w:val="001F3620"/>
    <w:rsid w:val="001F3824"/>
    <w:rsid w:val="001F3842"/>
    <w:rsid w:val="001F39D9"/>
    <w:rsid w:val="001F3C1E"/>
    <w:rsid w:val="001F3EEC"/>
    <w:rsid w:val="001F446D"/>
    <w:rsid w:val="001F4F5C"/>
    <w:rsid w:val="001F596A"/>
    <w:rsid w:val="001F5992"/>
    <w:rsid w:val="001F7208"/>
    <w:rsid w:val="001F72A0"/>
    <w:rsid w:val="001F7F6F"/>
    <w:rsid w:val="001F7FAA"/>
    <w:rsid w:val="00200B8A"/>
    <w:rsid w:val="00200FBE"/>
    <w:rsid w:val="00201031"/>
    <w:rsid w:val="0020122D"/>
    <w:rsid w:val="00201247"/>
    <w:rsid w:val="002012DC"/>
    <w:rsid w:val="002019B7"/>
    <w:rsid w:val="00202158"/>
    <w:rsid w:val="002021F5"/>
    <w:rsid w:val="0020227E"/>
    <w:rsid w:val="00202292"/>
    <w:rsid w:val="0020254F"/>
    <w:rsid w:val="002029FC"/>
    <w:rsid w:val="00202CE9"/>
    <w:rsid w:val="00203040"/>
    <w:rsid w:val="00203774"/>
    <w:rsid w:val="00203831"/>
    <w:rsid w:val="00204363"/>
    <w:rsid w:val="00204366"/>
    <w:rsid w:val="00204536"/>
    <w:rsid w:val="00204D02"/>
    <w:rsid w:val="0020517A"/>
    <w:rsid w:val="00205F75"/>
    <w:rsid w:val="002060B7"/>
    <w:rsid w:val="00206297"/>
    <w:rsid w:val="002063C6"/>
    <w:rsid w:val="002065C5"/>
    <w:rsid w:val="002067F6"/>
    <w:rsid w:val="00206993"/>
    <w:rsid w:val="00206AB0"/>
    <w:rsid w:val="00206DD6"/>
    <w:rsid w:val="00206EEF"/>
    <w:rsid w:val="0020716E"/>
    <w:rsid w:val="002074E3"/>
    <w:rsid w:val="0020795F"/>
    <w:rsid w:val="00207DDB"/>
    <w:rsid w:val="00210640"/>
    <w:rsid w:val="002106BA"/>
    <w:rsid w:val="0021087A"/>
    <w:rsid w:val="0021124C"/>
    <w:rsid w:val="002114DB"/>
    <w:rsid w:val="0021150F"/>
    <w:rsid w:val="00211924"/>
    <w:rsid w:val="002119C1"/>
    <w:rsid w:val="00211A64"/>
    <w:rsid w:val="0021230A"/>
    <w:rsid w:val="00212444"/>
    <w:rsid w:val="00212AAB"/>
    <w:rsid w:val="00212CAF"/>
    <w:rsid w:val="002132D4"/>
    <w:rsid w:val="0021331B"/>
    <w:rsid w:val="00213767"/>
    <w:rsid w:val="002137D0"/>
    <w:rsid w:val="00213907"/>
    <w:rsid w:val="00213D71"/>
    <w:rsid w:val="00213ED1"/>
    <w:rsid w:val="00213F67"/>
    <w:rsid w:val="00214083"/>
    <w:rsid w:val="0021411F"/>
    <w:rsid w:val="0021441C"/>
    <w:rsid w:val="002146F0"/>
    <w:rsid w:val="002147D3"/>
    <w:rsid w:val="00214C82"/>
    <w:rsid w:val="0021500B"/>
    <w:rsid w:val="0021506F"/>
    <w:rsid w:val="002153DE"/>
    <w:rsid w:val="00215527"/>
    <w:rsid w:val="00215741"/>
    <w:rsid w:val="00215D5D"/>
    <w:rsid w:val="00215FA3"/>
    <w:rsid w:val="002160C4"/>
    <w:rsid w:val="00216172"/>
    <w:rsid w:val="0021640C"/>
    <w:rsid w:val="00216D85"/>
    <w:rsid w:val="0021712D"/>
    <w:rsid w:val="00217435"/>
    <w:rsid w:val="00217777"/>
    <w:rsid w:val="00217C87"/>
    <w:rsid w:val="002205B9"/>
    <w:rsid w:val="00220A59"/>
    <w:rsid w:val="00220A99"/>
    <w:rsid w:val="00220EA9"/>
    <w:rsid w:val="00221E6D"/>
    <w:rsid w:val="002226F2"/>
    <w:rsid w:val="00222908"/>
    <w:rsid w:val="00222B43"/>
    <w:rsid w:val="002239AC"/>
    <w:rsid w:val="00223A89"/>
    <w:rsid w:val="00223C88"/>
    <w:rsid w:val="00224120"/>
    <w:rsid w:val="002245F2"/>
    <w:rsid w:val="002248A2"/>
    <w:rsid w:val="00224957"/>
    <w:rsid w:val="00224B00"/>
    <w:rsid w:val="00224B15"/>
    <w:rsid w:val="00224B1E"/>
    <w:rsid w:val="00225334"/>
    <w:rsid w:val="00225730"/>
    <w:rsid w:val="00225B22"/>
    <w:rsid w:val="00225B2B"/>
    <w:rsid w:val="002262E0"/>
    <w:rsid w:val="002263E8"/>
    <w:rsid w:val="0022659A"/>
    <w:rsid w:val="00226A69"/>
    <w:rsid w:val="00227273"/>
    <w:rsid w:val="002272AB"/>
    <w:rsid w:val="002273AD"/>
    <w:rsid w:val="0022746B"/>
    <w:rsid w:val="00227517"/>
    <w:rsid w:val="002279C5"/>
    <w:rsid w:val="00227D30"/>
    <w:rsid w:val="00230567"/>
    <w:rsid w:val="0023061A"/>
    <w:rsid w:val="002307EC"/>
    <w:rsid w:val="00230909"/>
    <w:rsid w:val="0023121A"/>
    <w:rsid w:val="002317B9"/>
    <w:rsid w:val="00231AF3"/>
    <w:rsid w:val="00231BE7"/>
    <w:rsid w:val="002320F6"/>
    <w:rsid w:val="00232296"/>
    <w:rsid w:val="002322D5"/>
    <w:rsid w:val="00232E90"/>
    <w:rsid w:val="00232F48"/>
    <w:rsid w:val="00232FD3"/>
    <w:rsid w:val="00233A15"/>
    <w:rsid w:val="00233A92"/>
    <w:rsid w:val="00233C22"/>
    <w:rsid w:val="0023406B"/>
    <w:rsid w:val="002348A8"/>
    <w:rsid w:val="002348D5"/>
    <w:rsid w:val="00234982"/>
    <w:rsid w:val="00234DE8"/>
    <w:rsid w:val="00235526"/>
    <w:rsid w:val="00235539"/>
    <w:rsid w:val="00235825"/>
    <w:rsid w:val="00235959"/>
    <w:rsid w:val="002359B6"/>
    <w:rsid w:val="00235A9D"/>
    <w:rsid w:val="00235D3A"/>
    <w:rsid w:val="002360BA"/>
    <w:rsid w:val="0023618C"/>
    <w:rsid w:val="0023618D"/>
    <w:rsid w:val="00236DDC"/>
    <w:rsid w:val="00236E03"/>
    <w:rsid w:val="00236E64"/>
    <w:rsid w:val="002370BB"/>
    <w:rsid w:val="00237363"/>
    <w:rsid w:val="00237598"/>
    <w:rsid w:val="0023759F"/>
    <w:rsid w:val="0023783F"/>
    <w:rsid w:val="0023788F"/>
    <w:rsid w:val="00237962"/>
    <w:rsid w:val="00237ACD"/>
    <w:rsid w:val="00237C4B"/>
    <w:rsid w:val="00237E3D"/>
    <w:rsid w:val="002404AD"/>
    <w:rsid w:val="0024100E"/>
    <w:rsid w:val="002413F2"/>
    <w:rsid w:val="00241826"/>
    <w:rsid w:val="00241D9B"/>
    <w:rsid w:val="002423B2"/>
    <w:rsid w:val="002427D3"/>
    <w:rsid w:val="0024289B"/>
    <w:rsid w:val="00242A64"/>
    <w:rsid w:val="00242B14"/>
    <w:rsid w:val="00242F26"/>
    <w:rsid w:val="00242F4A"/>
    <w:rsid w:val="0024372B"/>
    <w:rsid w:val="00243B70"/>
    <w:rsid w:val="00243D83"/>
    <w:rsid w:val="00244183"/>
    <w:rsid w:val="00244240"/>
    <w:rsid w:val="0024498F"/>
    <w:rsid w:val="002450DF"/>
    <w:rsid w:val="002452F7"/>
    <w:rsid w:val="00245552"/>
    <w:rsid w:val="00245874"/>
    <w:rsid w:val="00245A0B"/>
    <w:rsid w:val="00245CB1"/>
    <w:rsid w:val="00245E60"/>
    <w:rsid w:val="00246103"/>
    <w:rsid w:val="00246557"/>
    <w:rsid w:val="00246737"/>
    <w:rsid w:val="00246BCA"/>
    <w:rsid w:val="00247364"/>
    <w:rsid w:val="00247468"/>
    <w:rsid w:val="0024779E"/>
    <w:rsid w:val="002479C3"/>
    <w:rsid w:val="00247DA9"/>
    <w:rsid w:val="00250460"/>
    <w:rsid w:val="002505F7"/>
    <w:rsid w:val="00250624"/>
    <w:rsid w:val="00250632"/>
    <w:rsid w:val="0025095E"/>
    <w:rsid w:val="00250BDE"/>
    <w:rsid w:val="00250F1E"/>
    <w:rsid w:val="002510ED"/>
    <w:rsid w:val="0025124D"/>
    <w:rsid w:val="002514AC"/>
    <w:rsid w:val="00251908"/>
    <w:rsid w:val="00251A8A"/>
    <w:rsid w:val="00252544"/>
    <w:rsid w:val="0025277A"/>
    <w:rsid w:val="00252BE9"/>
    <w:rsid w:val="00252CB3"/>
    <w:rsid w:val="00252EAA"/>
    <w:rsid w:val="0025354E"/>
    <w:rsid w:val="00253885"/>
    <w:rsid w:val="00253C5F"/>
    <w:rsid w:val="00253CCD"/>
    <w:rsid w:val="00254652"/>
    <w:rsid w:val="002548EA"/>
    <w:rsid w:val="002549CD"/>
    <w:rsid w:val="00254BEB"/>
    <w:rsid w:val="00254E2E"/>
    <w:rsid w:val="00254F8A"/>
    <w:rsid w:val="0025507D"/>
    <w:rsid w:val="00255323"/>
    <w:rsid w:val="002553C0"/>
    <w:rsid w:val="002554DC"/>
    <w:rsid w:val="002555A2"/>
    <w:rsid w:val="00255ED5"/>
    <w:rsid w:val="002562F4"/>
    <w:rsid w:val="00256D86"/>
    <w:rsid w:val="00256E31"/>
    <w:rsid w:val="00256E90"/>
    <w:rsid w:val="0025723D"/>
    <w:rsid w:val="00257558"/>
    <w:rsid w:val="0025769C"/>
    <w:rsid w:val="002579C6"/>
    <w:rsid w:val="00257BDB"/>
    <w:rsid w:val="00257DE3"/>
    <w:rsid w:val="00257E49"/>
    <w:rsid w:val="00257E7D"/>
    <w:rsid w:val="002601B5"/>
    <w:rsid w:val="00260250"/>
    <w:rsid w:val="002605F4"/>
    <w:rsid w:val="00260812"/>
    <w:rsid w:val="00260985"/>
    <w:rsid w:val="00260A32"/>
    <w:rsid w:val="00260A36"/>
    <w:rsid w:val="0026136F"/>
    <w:rsid w:val="002613C0"/>
    <w:rsid w:val="002616D4"/>
    <w:rsid w:val="00261943"/>
    <w:rsid w:val="00261A06"/>
    <w:rsid w:val="00261E67"/>
    <w:rsid w:val="00262318"/>
    <w:rsid w:val="002626B0"/>
    <w:rsid w:val="00262BA8"/>
    <w:rsid w:val="00262D07"/>
    <w:rsid w:val="00263B7D"/>
    <w:rsid w:val="00263B8A"/>
    <w:rsid w:val="00263ED5"/>
    <w:rsid w:val="00263F46"/>
    <w:rsid w:val="0026425F"/>
    <w:rsid w:val="0026434E"/>
    <w:rsid w:val="0026442B"/>
    <w:rsid w:val="002648DE"/>
    <w:rsid w:val="002658E3"/>
    <w:rsid w:val="00266126"/>
    <w:rsid w:val="002661D7"/>
    <w:rsid w:val="002662A2"/>
    <w:rsid w:val="002662B7"/>
    <w:rsid w:val="002668AE"/>
    <w:rsid w:val="00266C68"/>
    <w:rsid w:val="002670C5"/>
    <w:rsid w:val="00267257"/>
    <w:rsid w:val="002679C4"/>
    <w:rsid w:val="00267A5D"/>
    <w:rsid w:val="00267AD4"/>
    <w:rsid w:val="00267D4E"/>
    <w:rsid w:val="0027000A"/>
    <w:rsid w:val="00270240"/>
    <w:rsid w:val="002702D3"/>
    <w:rsid w:val="00270817"/>
    <w:rsid w:val="00270AC0"/>
    <w:rsid w:val="00270B81"/>
    <w:rsid w:val="00270D5E"/>
    <w:rsid w:val="00270DCE"/>
    <w:rsid w:val="0027141D"/>
    <w:rsid w:val="00271548"/>
    <w:rsid w:val="0027175E"/>
    <w:rsid w:val="00271E89"/>
    <w:rsid w:val="00272124"/>
    <w:rsid w:val="00272700"/>
    <w:rsid w:val="00272B24"/>
    <w:rsid w:val="00272BEE"/>
    <w:rsid w:val="00272D22"/>
    <w:rsid w:val="0027322C"/>
    <w:rsid w:val="00273413"/>
    <w:rsid w:val="0027373A"/>
    <w:rsid w:val="00273835"/>
    <w:rsid w:val="00273943"/>
    <w:rsid w:val="00273D87"/>
    <w:rsid w:val="0027420C"/>
    <w:rsid w:val="00274302"/>
    <w:rsid w:val="00274655"/>
    <w:rsid w:val="002749EA"/>
    <w:rsid w:val="00274C69"/>
    <w:rsid w:val="00274CC6"/>
    <w:rsid w:val="00275131"/>
    <w:rsid w:val="002752C0"/>
    <w:rsid w:val="00275398"/>
    <w:rsid w:val="0027546D"/>
    <w:rsid w:val="00275B79"/>
    <w:rsid w:val="00275E35"/>
    <w:rsid w:val="00275EB0"/>
    <w:rsid w:val="00276104"/>
    <w:rsid w:val="002761EA"/>
    <w:rsid w:val="00276257"/>
    <w:rsid w:val="0027628D"/>
    <w:rsid w:val="002765F1"/>
    <w:rsid w:val="0027698A"/>
    <w:rsid w:val="00276C4F"/>
    <w:rsid w:val="00276D0D"/>
    <w:rsid w:val="00276D8A"/>
    <w:rsid w:val="00276E0A"/>
    <w:rsid w:val="00277CB2"/>
    <w:rsid w:val="0028003E"/>
    <w:rsid w:val="00280599"/>
    <w:rsid w:val="002807BC"/>
    <w:rsid w:val="002810A7"/>
    <w:rsid w:val="0028112C"/>
    <w:rsid w:val="00281617"/>
    <w:rsid w:val="00281C9E"/>
    <w:rsid w:val="002823CD"/>
    <w:rsid w:val="00282D49"/>
    <w:rsid w:val="0028315E"/>
    <w:rsid w:val="002831EC"/>
    <w:rsid w:val="00283AC0"/>
    <w:rsid w:val="00283CD5"/>
    <w:rsid w:val="00283D55"/>
    <w:rsid w:val="00283EA5"/>
    <w:rsid w:val="00283F76"/>
    <w:rsid w:val="0028418F"/>
    <w:rsid w:val="002848D1"/>
    <w:rsid w:val="00284AA9"/>
    <w:rsid w:val="00284D01"/>
    <w:rsid w:val="002850F8"/>
    <w:rsid w:val="00285459"/>
    <w:rsid w:val="00285591"/>
    <w:rsid w:val="00285742"/>
    <w:rsid w:val="0028591A"/>
    <w:rsid w:val="00285E2A"/>
    <w:rsid w:val="00285E2B"/>
    <w:rsid w:val="00285ED2"/>
    <w:rsid w:val="002860B1"/>
    <w:rsid w:val="002861AC"/>
    <w:rsid w:val="002862A5"/>
    <w:rsid w:val="00286D48"/>
    <w:rsid w:val="00287591"/>
    <w:rsid w:val="00287948"/>
    <w:rsid w:val="0028795C"/>
    <w:rsid w:val="00287D4F"/>
    <w:rsid w:val="00287D82"/>
    <w:rsid w:val="00287E6F"/>
    <w:rsid w:val="00287F63"/>
    <w:rsid w:val="00290078"/>
    <w:rsid w:val="002901C6"/>
    <w:rsid w:val="00290203"/>
    <w:rsid w:val="002902F2"/>
    <w:rsid w:val="002902FE"/>
    <w:rsid w:val="00290401"/>
    <w:rsid w:val="00290A6C"/>
    <w:rsid w:val="00290B17"/>
    <w:rsid w:val="00290C6B"/>
    <w:rsid w:val="00291294"/>
    <w:rsid w:val="0029183F"/>
    <w:rsid w:val="00291A79"/>
    <w:rsid w:val="00291E34"/>
    <w:rsid w:val="002922B7"/>
    <w:rsid w:val="00292AF8"/>
    <w:rsid w:val="0029311B"/>
    <w:rsid w:val="002931DF"/>
    <w:rsid w:val="00293556"/>
    <w:rsid w:val="00293654"/>
    <w:rsid w:val="00293923"/>
    <w:rsid w:val="00293E53"/>
    <w:rsid w:val="002940DF"/>
    <w:rsid w:val="00294129"/>
    <w:rsid w:val="00294149"/>
    <w:rsid w:val="002947F1"/>
    <w:rsid w:val="00294E01"/>
    <w:rsid w:val="00295055"/>
    <w:rsid w:val="0029539B"/>
    <w:rsid w:val="00295649"/>
    <w:rsid w:val="00295922"/>
    <w:rsid w:val="00295CAE"/>
    <w:rsid w:val="00295F70"/>
    <w:rsid w:val="002963D7"/>
    <w:rsid w:val="00296455"/>
    <w:rsid w:val="002965AD"/>
    <w:rsid w:val="00296C5C"/>
    <w:rsid w:val="00296D25"/>
    <w:rsid w:val="00296DBF"/>
    <w:rsid w:val="002970C2"/>
    <w:rsid w:val="00297121"/>
    <w:rsid w:val="0029782B"/>
    <w:rsid w:val="00297861"/>
    <w:rsid w:val="002978A3"/>
    <w:rsid w:val="00297B32"/>
    <w:rsid w:val="00297E00"/>
    <w:rsid w:val="002A0744"/>
    <w:rsid w:val="002A07DD"/>
    <w:rsid w:val="002A0943"/>
    <w:rsid w:val="002A11F2"/>
    <w:rsid w:val="002A14A3"/>
    <w:rsid w:val="002A14A4"/>
    <w:rsid w:val="002A19B3"/>
    <w:rsid w:val="002A1ABD"/>
    <w:rsid w:val="002A1D26"/>
    <w:rsid w:val="002A1D56"/>
    <w:rsid w:val="002A1E9D"/>
    <w:rsid w:val="002A21A1"/>
    <w:rsid w:val="002A2CFB"/>
    <w:rsid w:val="002A303A"/>
    <w:rsid w:val="002A3107"/>
    <w:rsid w:val="002A31D8"/>
    <w:rsid w:val="002A3226"/>
    <w:rsid w:val="002A33A3"/>
    <w:rsid w:val="002A364C"/>
    <w:rsid w:val="002A37BC"/>
    <w:rsid w:val="002A37D3"/>
    <w:rsid w:val="002A39C7"/>
    <w:rsid w:val="002A3A8A"/>
    <w:rsid w:val="002A3D89"/>
    <w:rsid w:val="002A4009"/>
    <w:rsid w:val="002A439D"/>
    <w:rsid w:val="002A4A35"/>
    <w:rsid w:val="002A4D21"/>
    <w:rsid w:val="002A55C2"/>
    <w:rsid w:val="002A5909"/>
    <w:rsid w:val="002A5A1F"/>
    <w:rsid w:val="002A5D43"/>
    <w:rsid w:val="002A5E7A"/>
    <w:rsid w:val="002A6B1F"/>
    <w:rsid w:val="002A6FD5"/>
    <w:rsid w:val="002A79B7"/>
    <w:rsid w:val="002A7D12"/>
    <w:rsid w:val="002A7D39"/>
    <w:rsid w:val="002B0427"/>
    <w:rsid w:val="002B0831"/>
    <w:rsid w:val="002B0BE7"/>
    <w:rsid w:val="002B0DC9"/>
    <w:rsid w:val="002B1031"/>
    <w:rsid w:val="002B103B"/>
    <w:rsid w:val="002B1072"/>
    <w:rsid w:val="002B1078"/>
    <w:rsid w:val="002B19F1"/>
    <w:rsid w:val="002B1C01"/>
    <w:rsid w:val="002B224C"/>
    <w:rsid w:val="002B2304"/>
    <w:rsid w:val="002B25CC"/>
    <w:rsid w:val="002B27D3"/>
    <w:rsid w:val="002B2962"/>
    <w:rsid w:val="002B2ADD"/>
    <w:rsid w:val="002B3338"/>
    <w:rsid w:val="002B3660"/>
    <w:rsid w:val="002B3A06"/>
    <w:rsid w:val="002B3D2F"/>
    <w:rsid w:val="002B3E64"/>
    <w:rsid w:val="002B3E8B"/>
    <w:rsid w:val="002B40F2"/>
    <w:rsid w:val="002B4B63"/>
    <w:rsid w:val="002B536A"/>
    <w:rsid w:val="002B55A9"/>
    <w:rsid w:val="002B56CB"/>
    <w:rsid w:val="002B5D85"/>
    <w:rsid w:val="002B5D9F"/>
    <w:rsid w:val="002B63D5"/>
    <w:rsid w:val="002B66A1"/>
    <w:rsid w:val="002B6AEB"/>
    <w:rsid w:val="002B706F"/>
    <w:rsid w:val="002B7117"/>
    <w:rsid w:val="002B79EE"/>
    <w:rsid w:val="002B7C34"/>
    <w:rsid w:val="002B7CF6"/>
    <w:rsid w:val="002C04DD"/>
    <w:rsid w:val="002C0D30"/>
    <w:rsid w:val="002C0E16"/>
    <w:rsid w:val="002C0FD7"/>
    <w:rsid w:val="002C0FF7"/>
    <w:rsid w:val="002C103B"/>
    <w:rsid w:val="002C1392"/>
    <w:rsid w:val="002C149F"/>
    <w:rsid w:val="002C1B8E"/>
    <w:rsid w:val="002C1EF8"/>
    <w:rsid w:val="002C2948"/>
    <w:rsid w:val="002C2968"/>
    <w:rsid w:val="002C2A53"/>
    <w:rsid w:val="002C2CCA"/>
    <w:rsid w:val="002C3457"/>
    <w:rsid w:val="002C37A3"/>
    <w:rsid w:val="002C3C8D"/>
    <w:rsid w:val="002C40F8"/>
    <w:rsid w:val="002C41C5"/>
    <w:rsid w:val="002C441F"/>
    <w:rsid w:val="002C4518"/>
    <w:rsid w:val="002C4718"/>
    <w:rsid w:val="002C4A1A"/>
    <w:rsid w:val="002C4DC9"/>
    <w:rsid w:val="002C515E"/>
    <w:rsid w:val="002C53A7"/>
    <w:rsid w:val="002C54FF"/>
    <w:rsid w:val="002C5D82"/>
    <w:rsid w:val="002C6B5E"/>
    <w:rsid w:val="002C6BF5"/>
    <w:rsid w:val="002C6EAD"/>
    <w:rsid w:val="002C775E"/>
    <w:rsid w:val="002C7CC2"/>
    <w:rsid w:val="002C7FC7"/>
    <w:rsid w:val="002D02A1"/>
    <w:rsid w:val="002D0AB6"/>
    <w:rsid w:val="002D0F0D"/>
    <w:rsid w:val="002D0F4D"/>
    <w:rsid w:val="002D1474"/>
    <w:rsid w:val="002D16E1"/>
    <w:rsid w:val="002D16E3"/>
    <w:rsid w:val="002D1A07"/>
    <w:rsid w:val="002D1E9C"/>
    <w:rsid w:val="002D2042"/>
    <w:rsid w:val="002D264C"/>
    <w:rsid w:val="002D326F"/>
    <w:rsid w:val="002D32A1"/>
    <w:rsid w:val="002D3467"/>
    <w:rsid w:val="002D36FC"/>
    <w:rsid w:val="002D3951"/>
    <w:rsid w:val="002D400E"/>
    <w:rsid w:val="002D40E1"/>
    <w:rsid w:val="002D4287"/>
    <w:rsid w:val="002D43B4"/>
    <w:rsid w:val="002D4A0C"/>
    <w:rsid w:val="002D4BC5"/>
    <w:rsid w:val="002D50AA"/>
    <w:rsid w:val="002D53A0"/>
    <w:rsid w:val="002D59F9"/>
    <w:rsid w:val="002D5A85"/>
    <w:rsid w:val="002D607F"/>
    <w:rsid w:val="002D68B7"/>
    <w:rsid w:val="002D6F96"/>
    <w:rsid w:val="002D7203"/>
    <w:rsid w:val="002D747D"/>
    <w:rsid w:val="002D77D3"/>
    <w:rsid w:val="002D790D"/>
    <w:rsid w:val="002D7B64"/>
    <w:rsid w:val="002D7C07"/>
    <w:rsid w:val="002D7DD5"/>
    <w:rsid w:val="002D7ED5"/>
    <w:rsid w:val="002E0178"/>
    <w:rsid w:val="002E0311"/>
    <w:rsid w:val="002E0C98"/>
    <w:rsid w:val="002E0D88"/>
    <w:rsid w:val="002E0D96"/>
    <w:rsid w:val="002E1174"/>
    <w:rsid w:val="002E1602"/>
    <w:rsid w:val="002E1640"/>
    <w:rsid w:val="002E1834"/>
    <w:rsid w:val="002E1C49"/>
    <w:rsid w:val="002E2CC4"/>
    <w:rsid w:val="002E2DF8"/>
    <w:rsid w:val="002E362C"/>
    <w:rsid w:val="002E38EC"/>
    <w:rsid w:val="002E3BF7"/>
    <w:rsid w:val="002E3CB2"/>
    <w:rsid w:val="002E4073"/>
    <w:rsid w:val="002E4189"/>
    <w:rsid w:val="002E41B7"/>
    <w:rsid w:val="002E4625"/>
    <w:rsid w:val="002E482E"/>
    <w:rsid w:val="002E4A31"/>
    <w:rsid w:val="002E4AFA"/>
    <w:rsid w:val="002E4D04"/>
    <w:rsid w:val="002E4EAE"/>
    <w:rsid w:val="002E5089"/>
    <w:rsid w:val="002E5205"/>
    <w:rsid w:val="002E5225"/>
    <w:rsid w:val="002E52F3"/>
    <w:rsid w:val="002E57E5"/>
    <w:rsid w:val="002E5842"/>
    <w:rsid w:val="002E5D4E"/>
    <w:rsid w:val="002E5E63"/>
    <w:rsid w:val="002E5E82"/>
    <w:rsid w:val="002E5EB5"/>
    <w:rsid w:val="002E6000"/>
    <w:rsid w:val="002E60DE"/>
    <w:rsid w:val="002E63ED"/>
    <w:rsid w:val="002E661E"/>
    <w:rsid w:val="002E68E0"/>
    <w:rsid w:val="002E6A4B"/>
    <w:rsid w:val="002E7187"/>
    <w:rsid w:val="002E755E"/>
    <w:rsid w:val="002E7743"/>
    <w:rsid w:val="002E7859"/>
    <w:rsid w:val="002E788E"/>
    <w:rsid w:val="002E7C34"/>
    <w:rsid w:val="002F04C4"/>
    <w:rsid w:val="002F09CA"/>
    <w:rsid w:val="002F1120"/>
    <w:rsid w:val="002F13F4"/>
    <w:rsid w:val="002F1A4C"/>
    <w:rsid w:val="002F1A7C"/>
    <w:rsid w:val="002F1D63"/>
    <w:rsid w:val="002F21E2"/>
    <w:rsid w:val="002F2593"/>
    <w:rsid w:val="002F2860"/>
    <w:rsid w:val="002F29C9"/>
    <w:rsid w:val="002F2B2F"/>
    <w:rsid w:val="002F2C2C"/>
    <w:rsid w:val="002F2EAE"/>
    <w:rsid w:val="002F2EBC"/>
    <w:rsid w:val="002F3291"/>
    <w:rsid w:val="002F3819"/>
    <w:rsid w:val="002F3A92"/>
    <w:rsid w:val="002F41D1"/>
    <w:rsid w:val="002F46B6"/>
    <w:rsid w:val="002F46B8"/>
    <w:rsid w:val="002F5380"/>
    <w:rsid w:val="002F53D9"/>
    <w:rsid w:val="002F5B82"/>
    <w:rsid w:val="002F5BAB"/>
    <w:rsid w:val="002F5EAF"/>
    <w:rsid w:val="002F6526"/>
    <w:rsid w:val="002F681B"/>
    <w:rsid w:val="002F721B"/>
    <w:rsid w:val="002F74A4"/>
    <w:rsid w:val="002F776A"/>
    <w:rsid w:val="002F78A6"/>
    <w:rsid w:val="002F7AA1"/>
    <w:rsid w:val="002F7BB8"/>
    <w:rsid w:val="002F7C46"/>
    <w:rsid w:val="002F7D4F"/>
    <w:rsid w:val="002F7FE4"/>
    <w:rsid w:val="003006DB"/>
    <w:rsid w:val="003007E0"/>
    <w:rsid w:val="00300916"/>
    <w:rsid w:val="00300C1D"/>
    <w:rsid w:val="0030109B"/>
    <w:rsid w:val="003017D4"/>
    <w:rsid w:val="003019DF"/>
    <w:rsid w:val="00301EAB"/>
    <w:rsid w:val="00302C13"/>
    <w:rsid w:val="00302ED9"/>
    <w:rsid w:val="003036AD"/>
    <w:rsid w:val="00303A62"/>
    <w:rsid w:val="00303C5A"/>
    <w:rsid w:val="00303E07"/>
    <w:rsid w:val="003047EA"/>
    <w:rsid w:val="0030486A"/>
    <w:rsid w:val="00304961"/>
    <w:rsid w:val="00304C53"/>
    <w:rsid w:val="003055B8"/>
    <w:rsid w:val="003057BC"/>
    <w:rsid w:val="00305E7F"/>
    <w:rsid w:val="00305F3F"/>
    <w:rsid w:val="003063D4"/>
    <w:rsid w:val="0030669C"/>
    <w:rsid w:val="00306F5E"/>
    <w:rsid w:val="0030707F"/>
    <w:rsid w:val="0030728C"/>
    <w:rsid w:val="0030736F"/>
    <w:rsid w:val="003102D6"/>
    <w:rsid w:val="003104B5"/>
    <w:rsid w:val="00310A49"/>
    <w:rsid w:val="0031130D"/>
    <w:rsid w:val="0031179C"/>
    <w:rsid w:val="00311BC8"/>
    <w:rsid w:val="00311BEF"/>
    <w:rsid w:val="003124A9"/>
    <w:rsid w:val="003126F5"/>
    <w:rsid w:val="003129C8"/>
    <w:rsid w:val="00312CDB"/>
    <w:rsid w:val="00312EA9"/>
    <w:rsid w:val="00312F1E"/>
    <w:rsid w:val="003132C2"/>
    <w:rsid w:val="003135C2"/>
    <w:rsid w:val="00313846"/>
    <w:rsid w:val="0031389A"/>
    <w:rsid w:val="00313AB0"/>
    <w:rsid w:val="00313C5C"/>
    <w:rsid w:val="00313C7C"/>
    <w:rsid w:val="00313CE0"/>
    <w:rsid w:val="00313ED4"/>
    <w:rsid w:val="00313F64"/>
    <w:rsid w:val="00314024"/>
    <w:rsid w:val="003143D0"/>
    <w:rsid w:val="003147AB"/>
    <w:rsid w:val="00314878"/>
    <w:rsid w:val="003148D2"/>
    <w:rsid w:val="003151F8"/>
    <w:rsid w:val="00315258"/>
    <w:rsid w:val="00315318"/>
    <w:rsid w:val="003153AF"/>
    <w:rsid w:val="00315484"/>
    <w:rsid w:val="00315736"/>
    <w:rsid w:val="003157FC"/>
    <w:rsid w:val="00315B74"/>
    <w:rsid w:val="00315D02"/>
    <w:rsid w:val="00315F49"/>
    <w:rsid w:val="00316014"/>
    <w:rsid w:val="003160FA"/>
    <w:rsid w:val="003161B6"/>
    <w:rsid w:val="0031678F"/>
    <w:rsid w:val="00316A7F"/>
    <w:rsid w:val="00316E6E"/>
    <w:rsid w:val="00317378"/>
    <w:rsid w:val="00317DC1"/>
    <w:rsid w:val="00317F0A"/>
    <w:rsid w:val="00320104"/>
    <w:rsid w:val="003201AF"/>
    <w:rsid w:val="0032030D"/>
    <w:rsid w:val="0032046B"/>
    <w:rsid w:val="0032066E"/>
    <w:rsid w:val="003210E0"/>
    <w:rsid w:val="003211DE"/>
    <w:rsid w:val="00321A7B"/>
    <w:rsid w:val="00321D14"/>
    <w:rsid w:val="00321DAE"/>
    <w:rsid w:val="00321DF3"/>
    <w:rsid w:val="00321EC2"/>
    <w:rsid w:val="00322016"/>
    <w:rsid w:val="00322198"/>
    <w:rsid w:val="003221F3"/>
    <w:rsid w:val="00322425"/>
    <w:rsid w:val="003229EB"/>
    <w:rsid w:val="00322C0C"/>
    <w:rsid w:val="00322E78"/>
    <w:rsid w:val="00323277"/>
    <w:rsid w:val="0032409C"/>
    <w:rsid w:val="003240FB"/>
    <w:rsid w:val="00324158"/>
    <w:rsid w:val="003243B2"/>
    <w:rsid w:val="00324434"/>
    <w:rsid w:val="0032486A"/>
    <w:rsid w:val="003249DB"/>
    <w:rsid w:val="00324C63"/>
    <w:rsid w:val="00324CB7"/>
    <w:rsid w:val="00324D32"/>
    <w:rsid w:val="003253D0"/>
    <w:rsid w:val="003253DF"/>
    <w:rsid w:val="00325984"/>
    <w:rsid w:val="00325B68"/>
    <w:rsid w:val="00325BCC"/>
    <w:rsid w:val="00325E92"/>
    <w:rsid w:val="00326C37"/>
    <w:rsid w:val="00326DEF"/>
    <w:rsid w:val="003276DF"/>
    <w:rsid w:val="00327CA8"/>
    <w:rsid w:val="00327EB4"/>
    <w:rsid w:val="00327EF9"/>
    <w:rsid w:val="003301DD"/>
    <w:rsid w:val="00330455"/>
    <w:rsid w:val="003304E2"/>
    <w:rsid w:val="00330793"/>
    <w:rsid w:val="0033086D"/>
    <w:rsid w:val="00330AEE"/>
    <w:rsid w:val="003310FA"/>
    <w:rsid w:val="003318A5"/>
    <w:rsid w:val="003320B6"/>
    <w:rsid w:val="003323BB"/>
    <w:rsid w:val="003323FA"/>
    <w:rsid w:val="00332752"/>
    <w:rsid w:val="00332A6C"/>
    <w:rsid w:val="00332DF8"/>
    <w:rsid w:val="003330D3"/>
    <w:rsid w:val="00333404"/>
    <w:rsid w:val="00333529"/>
    <w:rsid w:val="003335EE"/>
    <w:rsid w:val="003335F7"/>
    <w:rsid w:val="00333786"/>
    <w:rsid w:val="00333DB4"/>
    <w:rsid w:val="00333FB8"/>
    <w:rsid w:val="00334029"/>
    <w:rsid w:val="00334169"/>
    <w:rsid w:val="00334C2E"/>
    <w:rsid w:val="00334CA9"/>
    <w:rsid w:val="00334DB8"/>
    <w:rsid w:val="00334EC3"/>
    <w:rsid w:val="003351B6"/>
    <w:rsid w:val="003353BF"/>
    <w:rsid w:val="0033564B"/>
    <w:rsid w:val="003357B8"/>
    <w:rsid w:val="00335BD2"/>
    <w:rsid w:val="00336389"/>
    <w:rsid w:val="00336927"/>
    <w:rsid w:val="00336A7C"/>
    <w:rsid w:val="00337043"/>
    <w:rsid w:val="003372AD"/>
    <w:rsid w:val="00337557"/>
    <w:rsid w:val="0033768E"/>
    <w:rsid w:val="00337A14"/>
    <w:rsid w:val="00337A20"/>
    <w:rsid w:val="00337B20"/>
    <w:rsid w:val="00337EE3"/>
    <w:rsid w:val="00340102"/>
    <w:rsid w:val="003401ED"/>
    <w:rsid w:val="00340354"/>
    <w:rsid w:val="00340648"/>
    <w:rsid w:val="00340E45"/>
    <w:rsid w:val="0034110B"/>
    <w:rsid w:val="00341853"/>
    <w:rsid w:val="00341E5C"/>
    <w:rsid w:val="0034238F"/>
    <w:rsid w:val="003429D3"/>
    <w:rsid w:val="003436F3"/>
    <w:rsid w:val="003438EE"/>
    <w:rsid w:val="00343FEA"/>
    <w:rsid w:val="0034486F"/>
    <w:rsid w:val="003448B9"/>
    <w:rsid w:val="00344AAF"/>
    <w:rsid w:val="003450B4"/>
    <w:rsid w:val="00345733"/>
    <w:rsid w:val="00345F59"/>
    <w:rsid w:val="0034639D"/>
    <w:rsid w:val="0034646F"/>
    <w:rsid w:val="003469E7"/>
    <w:rsid w:val="00346AB8"/>
    <w:rsid w:val="00346ED4"/>
    <w:rsid w:val="00347092"/>
    <w:rsid w:val="00347211"/>
    <w:rsid w:val="003473BE"/>
    <w:rsid w:val="00350087"/>
    <w:rsid w:val="003508B3"/>
    <w:rsid w:val="00350995"/>
    <w:rsid w:val="00350C26"/>
    <w:rsid w:val="003513D1"/>
    <w:rsid w:val="00351415"/>
    <w:rsid w:val="0035179B"/>
    <w:rsid w:val="00351FB2"/>
    <w:rsid w:val="00352001"/>
    <w:rsid w:val="0035231D"/>
    <w:rsid w:val="00352A50"/>
    <w:rsid w:val="00352B37"/>
    <w:rsid w:val="003532E2"/>
    <w:rsid w:val="00353A94"/>
    <w:rsid w:val="00353CF6"/>
    <w:rsid w:val="00353D7E"/>
    <w:rsid w:val="00353DDD"/>
    <w:rsid w:val="00353E6C"/>
    <w:rsid w:val="00353EB9"/>
    <w:rsid w:val="00353ED2"/>
    <w:rsid w:val="00354099"/>
    <w:rsid w:val="00354269"/>
    <w:rsid w:val="003543BD"/>
    <w:rsid w:val="00354424"/>
    <w:rsid w:val="003544DA"/>
    <w:rsid w:val="003545C4"/>
    <w:rsid w:val="00354B6F"/>
    <w:rsid w:val="00355BDF"/>
    <w:rsid w:val="00355EE8"/>
    <w:rsid w:val="00355F99"/>
    <w:rsid w:val="00355FFE"/>
    <w:rsid w:val="00356052"/>
    <w:rsid w:val="00356D3D"/>
    <w:rsid w:val="0035700C"/>
    <w:rsid w:val="00357830"/>
    <w:rsid w:val="00357960"/>
    <w:rsid w:val="00357A25"/>
    <w:rsid w:val="00357D98"/>
    <w:rsid w:val="00357F72"/>
    <w:rsid w:val="00360353"/>
    <w:rsid w:val="00360354"/>
    <w:rsid w:val="003605BB"/>
    <w:rsid w:val="00361366"/>
    <w:rsid w:val="003614CF"/>
    <w:rsid w:val="00361AA0"/>
    <w:rsid w:val="00361C17"/>
    <w:rsid w:val="00361DF4"/>
    <w:rsid w:val="00361F62"/>
    <w:rsid w:val="00362105"/>
    <w:rsid w:val="0036244C"/>
    <w:rsid w:val="003627A2"/>
    <w:rsid w:val="003627F8"/>
    <w:rsid w:val="00362B1C"/>
    <w:rsid w:val="00363012"/>
    <w:rsid w:val="00363096"/>
    <w:rsid w:val="003635BC"/>
    <w:rsid w:val="00363611"/>
    <w:rsid w:val="00363BA5"/>
    <w:rsid w:val="00363DD5"/>
    <w:rsid w:val="00364139"/>
    <w:rsid w:val="00364D9F"/>
    <w:rsid w:val="0036580A"/>
    <w:rsid w:val="00365A78"/>
    <w:rsid w:val="00365C4D"/>
    <w:rsid w:val="00365D35"/>
    <w:rsid w:val="00365F66"/>
    <w:rsid w:val="00365F8C"/>
    <w:rsid w:val="003661C4"/>
    <w:rsid w:val="00366436"/>
    <w:rsid w:val="0036653B"/>
    <w:rsid w:val="00366901"/>
    <w:rsid w:val="00366989"/>
    <w:rsid w:val="0036698F"/>
    <w:rsid w:val="00366DFD"/>
    <w:rsid w:val="00367BA1"/>
    <w:rsid w:val="00367DF6"/>
    <w:rsid w:val="00367E53"/>
    <w:rsid w:val="003701AD"/>
    <w:rsid w:val="0037030B"/>
    <w:rsid w:val="0037031A"/>
    <w:rsid w:val="0037036D"/>
    <w:rsid w:val="003704E9"/>
    <w:rsid w:val="0037093C"/>
    <w:rsid w:val="00370B72"/>
    <w:rsid w:val="00370BCC"/>
    <w:rsid w:val="00370C0D"/>
    <w:rsid w:val="00370DDD"/>
    <w:rsid w:val="00370FC1"/>
    <w:rsid w:val="003716CE"/>
    <w:rsid w:val="003716D1"/>
    <w:rsid w:val="00371B35"/>
    <w:rsid w:val="00371D5B"/>
    <w:rsid w:val="00371DB0"/>
    <w:rsid w:val="0037227B"/>
    <w:rsid w:val="00372B52"/>
    <w:rsid w:val="00372C0D"/>
    <w:rsid w:val="00372C9C"/>
    <w:rsid w:val="0037324F"/>
    <w:rsid w:val="003733D2"/>
    <w:rsid w:val="003736E3"/>
    <w:rsid w:val="00373AA0"/>
    <w:rsid w:val="00373ED0"/>
    <w:rsid w:val="003743D4"/>
    <w:rsid w:val="00374645"/>
    <w:rsid w:val="00374BDF"/>
    <w:rsid w:val="00374CB9"/>
    <w:rsid w:val="003758CD"/>
    <w:rsid w:val="00375F12"/>
    <w:rsid w:val="00376958"/>
    <w:rsid w:val="00376C46"/>
    <w:rsid w:val="00376CC8"/>
    <w:rsid w:val="00376E92"/>
    <w:rsid w:val="003772CC"/>
    <w:rsid w:val="00377839"/>
    <w:rsid w:val="00377919"/>
    <w:rsid w:val="00377E5E"/>
    <w:rsid w:val="00377F05"/>
    <w:rsid w:val="00380353"/>
    <w:rsid w:val="003807ED"/>
    <w:rsid w:val="0038229F"/>
    <w:rsid w:val="003823AD"/>
    <w:rsid w:val="00382546"/>
    <w:rsid w:val="0038286E"/>
    <w:rsid w:val="00382E54"/>
    <w:rsid w:val="00382EF9"/>
    <w:rsid w:val="0038300D"/>
    <w:rsid w:val="0038325D"/>
    <w:rsid w:val="0038325E"/>
    <w:rsid w:val="003838CA"/>
    <w:rsid w:val="0038391A"/>
    <w:rsid w:val="00383D6E"/>
    <w:rsid w:val="00383E29"/>
    <w:rsid w:val="00384AB3"/>
    <w:rsid w:val="00384F6F"/>
    <w:rsid w:val="00385377"/>
    <w:rsid w:val="003853D4"/>
    <w:rsid w:val="00385451"/>
    <w:rsid w:val="003854AF"/>
    <w:rsid w:val="003857E7"/>
    <w:rsid w:val="003858A3"/>
    <w:rsid w:val="00385DF6"/>
    <w:rsid w:val="003867D6"/>
    <w:rsid w:val="003869D5"/>
    <w:rsid w:val="00386D2C"/>
    <w:rsid w:val="00386E0B"/>
    <w:rsid w:val="00387857"/>
    <w:rsid w:val="00387B21"/>
    <w:rsid w:val="00387CBE"/>
    <w:rsid w:val="00387FC8"/>
    <w:rsid w:val="00390495"/>
    <w:rsid w:val="003904E2"/>
    <w:rsid w:val="00390978"/>
    <w:rsid w:val="00390F5D"/>
    <w:rsid w:val="00391621"/>
    <w:rsid w:val="003918D1"/>
    <w:rsid w:val="00391C74"/>
    <w:rsid w:val="00391D02"/>
    <w:rsid w:val="00391F6B"/>
    <w:rsid w:val="003920BC"/>
    <w:rsid w:val="00392115"/>
    <w:rsid w:val="00392428"/>
    <w:rsid w:val="003928AC"/>
    <w:rsid w:val="00392970"/>
    <w:rsid w:val="00392A0C"/>
    <w:rsid w:val="00392A51"/>
    <w:rsid w:val="00392F35"/>
    <w:rsid w:val="003933D9"/>
    <w:rsid w:val="00393408"/>
    <w:rsid w:val="003934F9"/>
    <w:rsid w:val="00393BC1"/>
    <w:rsid w:val="00393EBC"/>
    <w:rsid w:val="0039402A"/>
    <w:rsid w:val="00394364"/>
    <w:rsid w:val="003943F5"/>
    <w:rsid w:val="003945D5"/>
    <w:rsid w:val="0039460E"/>
    <w:rsid w:val="0039474E"/>
    <w:rsid w:val="003947AE"/>
    <w:rsid w:val="00394A28"/>
    <w:rsid w:val="00394A82"/>
    <w:rsid w:val="00395221"/>
    <w:rsid w:val="00395745"/>
    <w:rsid w:val="0039587F"/>
    <w:rsid w:val="0039598D"/>
    <w:rsid w:val="00395E99"/>
    <w:rsid w:val="003965E2"/>
    <w:rsid w:val="00396ECB"/>
    <w:rsid w:val="003971F1"/>
    <w:rsid w:val="0039723F"/>
    <w:rsid w:val="003973C5"/>
    <w:rsid w:val="003A0269"/>
    <w:rsid w:val="003A04BD"/>
    <w:rsid w:val="003A08FB"/>
    <w:rsid w:val="003A0E7D"/>
    <w:rsid w:val="003A0F18"/>
    <w:rsid w:val="003A13EC"/>
    <w:rsid w:val="003A1673"/>
    <w:rsid w:val="003A177B"/>
    <w:rsid w:val="003A1798"/>
    <w:rsid w:val="003A18C3"/>
    <w:rsid w:val="003A19E0"/>
    <w:rsid w:val="003A1A5E"/>
    <w:rsid w:val="003A209F"/>
    <w:rsid w:val="003A21D7"/>
    <w:rsid w:val="003A25BB"/>
    <w:rsid w:val="003A26EC"/>
    <w:rsid w:val="003A28A8"/>
    <w:rsid w:val="003A2A60"/>
    <w:rsid w:val="003A2C18"/>
    <w:rsid w:val="003A2DAB"/>
    <w:rsid w:val="003A303F"/>
    <w:rsid w:val="003A321C"/>
    <w:rsid w:val="003A34E7"/>
    <w:rsid w:val="003A3991"/>
    <w:rsid w:val="003A3EF0"/>
    <w:rsid w:val="003A3FB6"/>
    <w:rsid w:val="003A4042"/>
    <w:rsid w:val="003A42B5"/>
    <w:rsid w:val="003A44C1"/>
    <w:rsid w:val="003A46A0"/>
    <w:rsid w:val="003A4A15"/>
    <w:rsid w:val="003A5374"/>
    <w:rsid w:val="003A55E2"/>
    <w:rsid w:val="003A588D"/>
    <w:rsid w:val="003A5922"/>
    <w:rsid w:val="003A608C"/>
    <w:rsid w:val="003A644E"/>
    <w:rsid w:val="003A65FF"/>
    <w:rsid w:val="003A6B81"/>
    <w:rsid w:val="003A7091"/>
    <w:rsid w:val="003A7272"/>
    <w:rsid w:val="003A7273"/>
    <w:rsid w:val="003A7296"/>
    <w:rsid w:val="003A7473"/>
    <w:rsid w:val="003A74BD"/>
    <w:rsid w:val="003A7804"/>
    <w:rsid w:val="003A7AD4"/>
    <w:rsid w:val="003A7BC5"/>
    <w:rsid w:val="003A7CC0"/>
    <w:rsid w:val="003B034C"/>
    <w:rsid w:val="003B048A"/>
    <w:rsid w:val="003B076C"/>
    <w:rsid w:val="003B095D"/>
    <w:rsid w:val="003B10DF"/>
    <w:rsid w:val="003B1401"/>
    <w:rsid w:val="003B17D1"/>
    <w:rsid w:val="003B197B"/>
    <w:rsid w:val="003B1B22"/>
    <w:rsid w:val="003B1B23"/>
    <w:rsid w:val="003B1F50"/>
    <w:rsid w:val="003B2080"/>
    <w:rsid w:val="003B21F9"/>
    <w:rsid w:val="003B2967"/>
    <w:rsid w:val="003B2989"/>
    <w:rsid w:val="003B3254"/>
    <w:rsid w:val="003B32FD"/>
    <w:rsid w:val="003B36E7"/>
    <w:rsid w:val="003B3794"/>
    <w:rsid w:val="003B3C16"/>
    <w:rsid w:val="003B432A"/>
    <w:rsid w:val="003B4341"/>
    <w:rsid w:val="003B5086"/>
    <w:rsid w:val="003B5B6C"/>
    <w:rsid w:val="003B5D2E"/>
    <w:rsid w:val="003B5EA5"/>
    <w:rsid w:val="003B6194"/>
    <w:rsid w:val="003B61BF"/>
    <w:rsid w:val="003B61E0"/>
    <w:rsid w:val="003B62FE"/>
    <w:rsid w:val="003B6481"/>
    <w:rsid w:val="003B65F8"/>
    <w:rsid w:val="003B6737"/>
    <w:rsid w:val="003B6C48"/>
    <w:rsid w:val="003B6C58"/>
    <w:rsid w:val="003B6F45"/>
    <w:rsid w:val="003B7299"/>
    <w:rsid w:val="003B72D0"/>
    <w:rsid w:val="003B7A45"/>
    <w:rsid w:val="003B7B0E"/>
    <w:rsid w:val="003B7B3D"/>
    <w:rsid w:val="003B7CDD"/>
    <w:rsid w:val="003C014E"/>
    <w:rsid w:val="003C0222"/>
    <w:rsid w:val="003C03F7"/>
    <w:rsid w:val="003C04F9"/>
    <w:rsid w:val="003C08FE"/>
    <w:rsid w:val="003C0FB8"/>
    <w:rsid w:val="003C10A8"/>
    <w:rsid w:val="003C13E5"/>
    <w:rsid w:val="003C169B"/>
    <w:rsid w:val="003C18A6"/>
    <w:rsid w:val="003C18EE"/>
    <w:rsid w:val="003C1C8E"/>
    <w:rsid w:val="003C1FFA"/>
    <w:rsid w:val="003C2011"/>
    <w:rsid w:val="003C238E"/>
    <w:rsid w:val="003C23DB"/>
    <w:rsid w:val="003C2898"/>
    <w:rsid w:val="003C2D32"/>
    <w:rsid w:val="003C2E60"/>
    <w:rsid w:val="003C31F9"/>
    <w:rsid w:val="003C3325"/>
    <w:rsid w:val="003C34C5"/>
    <w:rsid w:val="003C37D6"/>
    <w:rsid w:val="003C3AB1"/>
    <w:rsid w:val="003C4002"/>
    <w:rsid w:val="003C48A1"/>
    <w:rsid w:val="003C4A68"/>
    <w:rsid w:val="003C4B03"/>
    <w:rsid w:val="003C4B60"/>
    <w:rsid w:val="003C4E69"/>
    <w:rsid w:val="003C536A"/>
    <w:rsid w:val="003C5827"/>
    <w:rsid w:val="003C58A8"/>
    <w:rsid w:val="003C59F0"/>
    <w:rsid w:val="003C6598"/>
    <w:rsid w:val="003C6B34"/>
    <w:rsid w:val="003C6DC5"/>
    <w:rsid w:val="003C7191"/>
    <w:rsid w:val="003C7D2C"/>
    <w:rsid w:val="003C7FCF"/>
    <w:rsid w:val="003D0A90"/>
    <w:rsid w:val="003D0DB5"/>
    <w:rsid w:val="003D0F63"/>
    <w:rsid w:val="003D0FDF"/>
    <w:rsid w:val="003D124C"/>
    <w:rsid w:val="003D12A8"/>
    <w:rsid w:val="003D1400"/>
    <w:rsid w:val="003D14C1"/>
    <w:rsid w:val="003D19D9"/>
    <w:rsid w:val="003D1D04"/>
    <w:rsid w:val="003D224C"/>
    <w:rsid w:val="003D2267"/>
    <w:rsid w:val="003D2BFC"/>
    <w:rsid w:val="003D2DFF"/>
    <w:rsid w:val="003D2FD8"/>
    <w:rsid w:val="003D3205"/>
    <w:rsid w:val="003D38E2"/>
    <w:rsid w:val="003D3A93"/>
    <w:rsid w:val="003D448B"/>
    <w:rsid w:val="003D458C"/>
    <w:rsid w:val="003D4A0B"/>
    <w:rsid w:val="003D4FAC"/>
    <w:rsid w:val="003D5001"/>
    <w:rsid w:val="003D5009"/>
    <w:rsid w:val="003D5018"/>
    <w:rsid w:val="003D5CF1"/>
    <w:rsid w:val="003D5E01"/>
    <w:rsid w:val="003D642B"/>
    <w:rsid w:val="003D6B22"/>
    <w:rsid w:val="003D7038"/>
    <w:rsid w:val="003D707B"/>
    <w:rsid w:val="003D7AA9"/>
    <w:rsid w:val="003D7BE2"/>
    <w:rsid w:val="003E0188"/>
    <w:rsid w:val="003E01AA"/>
    <w:rsid w:val="003E05EE"/>
    <w:rsid w:val="003E070D"/>
    <w:rsid w:val="003E16FB"/>
    <w:rsid w:val="003E17FF"/>
    <w:rsid w:val="003E185A"/>
    <w:rsid w:val="003E1879"/>
    <w:rsid w:val="003E1AC2"/>
    <w:rsid w:val="003E1C4B"/>
    <w:rsid w:val="003E1FFB"/>
    <w:rsid w:val="003E2395"/>
    <w:rsid w:val="003E3098"/>
    <w:rsid w:val="003E3316"/>
    <w:rsid w:val="003E337B"/>
    <w:rsid w:val="003E3609"/>
    <w:rsid w:val="003E36C9"/>
    <w:rsid w:val="003E376E"/>
    <w:rsid w:val="003E37F6"/>
    <w:rsid w:val="003E3886"/>
    <w:rsid w:val="003E3A9F"/>
    <w:rsid w:val="003E3B6C"/>
    <w:rsid w:val="003E3E6B"/>
    <w:rsid w:val="003E4680"/>
    <w:rsid w:val="003E46F1"/>
    <w:rsid w:val="003E4819"/>
    <w:rsid w:val="003E4B9D"/>
    <w:rsid w:val="003E4DCE"/>
    <w:rsid w:val="003E54B3"/>
    <w:rsid w:val="003E56D4"/>
    <w:rsid w:val="003E6CD1"/>
    <w:rsid w:val="003E6D71"/>
    <w:rsid w:val="003E6E46"/>
    <w:rsid w:val="003E6E9C"/>
    <w:rsid w:val="003E7128"/>
    <w:rsid w:val="003E7262"/>
    <w:rsid w:val="003E73C4"/>
    <w:rsid w:val="003E74CC"/>
    <w:rsid w:val="003E7933"/>
    <w:rsid w:val="003E7938"/>
    <w:rsid w:val="003E7AFF"/>
    <w:rsid w:val="003E7CE9"/>
    <w:rsid w:val="003E7D71"/>
    <w:rsid w:val="003E7DEC"/>
    <w:rsid w:val="003F040F"/>
    <w:rsid w:val="003F0693"/>
    <w:rsid w:val="003F079B"/>
    <w:rsid w:val="003F0EF5"/>
    <w:rsid w:val="003F106F"/>
    <w:rsid w:val="003F1280"/>
    <w:rsid w:val="003F12A8"/>
    <w:rsid w:val="003F1587"/>
    <w:rsid w:val="003F2008"/>
    <w:rsid w:val="003F2165"/>
    <w:rsid w:val="003F29ED"/>
    <w:rsid w:val="003F2DC9"/>
    <w:rsid w:val="003F2F31"/>
    <w:rsid w:val="003F3198"/>
    <w:rsid w:val="003F349E"/>
    <w:rsid w:val="003F38E5"/>
    <w:rsid w:val="003F3FD3"/>
    <w:rsid w:val="003F4557"/>
    <w:rsid w:val="003F4728"/>
    <w:rsid w:val="003F4D85"/>
    <w:rsid w:val="003F4E1E"/>
    <w:rsid w:val="003F50F0"/>
    <w:rsid w:val="003F52E5"/>
    <w:rsid w:val="003F53A2"/>
    <w:rsid w:val="003F547F"/>
    <w:rsid w:val="003F56B7"/>
    <w:rsid w:val="003F57E3"/>
    <w:rsid w:val="003F5A64"/>
    <w:rsid w:val="003F6177"/>
    <w:rsid w:val="003F6185"/>
    <w:rsid w:val="003F62EB"/>
    <w:rsid w:val="003F6A76"/>
    <w:rsid w:val="003F6E15"/>
    <w:rsid w:val="003F7236"/>
    <w:rsid w:val="003F7280"/>
    <w:rsid w:val="003F7403"/>
    <w:rsid w:val="003F7657"/>
    <w:rsid w:val="003F783E"/>
    <w:rsid w:val="003F7852"/>
    <w:rsid w:val="003F7E71"/>
    <w:rsid w:val="0040016F"/>
    <w:rsid w:val="0040021D"/>
    <w:rsid w:val="0040038B"/>
    <w:rsid w:val="00400BE1"/>
    <w:rsid w:val="00400D42"/>
    <w:rsid w:val="00401037"/>
    <w:rsid w:val="0040158D"/>
    <w:rsid w:val="00401BE9"/>
    <w:rsid w:val="00401EFD"/>
    <w:rsid w:val="0040253A"/>
    <w:rsid w:val="00402619"/>
    <w:rsid w:val="00402B42"/>
    <w:rsid w:val="00402DB6"/>
    <w:rsid w:val="0040359D"/>
    <w:rsid w:val="00403C85"/>
    <w:rsid w:val="00403E0B"/>
    <w:rsid w:val="00403E3B"/>
    <w:rsid w:val="004040F0"/>
    <w:rsid w:val="0040437E"/>
    <w:rsid w:val="0040471B"/>
    <w:rsid w:val="004047A6"/>
    <w:rsid w:val="00404BF2"/>
    <w:rsid w:val="00404C24"/>
    <w:rsid w:val="00404E0C"/>
    <w:rsid w:val="00405370"/>
    <w:rsid w:val="00405750"/>
    <w:rsid w:val="0040583A"/>
    <w:rsid w:val="004059EA"/>
    <w:rsid w:val="00405BC6"/>
    <w:rsid w:val="00405C41"/>
    <w:rsid w:val="00405D90"/>
    <w:rsid w:val="00405EBC"/>
    <w:rsid w:val="00406228"/>
    <w:rsid w:val="0040669E"/>
    <w:rsid w:val="0040671E"/>
    <w:rsid w:val="00406BD0"/>
    <w:rsid w:val="00406C4A"/>
    <w:rsid w:val="00406CE1"/>
    <w:rsid w:val="00406E8A"/>
    <w:rsid w:val="00406F6B"/>
    <w:rsid w:val="004076E3"/>
    <w:rsid w:val="004078FF"/>
    <w:rsid w:val="00407C0F"/>
    <w:rsid w:val="004101E5"/>
    <w:rsid w:val="0041048D"/>
    <w:rsid w:val="00410767"/>
    <w:rsid w:val="00410F9B"/>
    <w:rsid w:val="00411741"/>
    <w:rsid w:val="00411B9C"/>
    <w:rsid w:val="004128C2"/>
    <w:rsid w:val="00412D5C"/>
    <w:rsid w:val="00412DC6"/>
    <w:rsid w:val="00412F52"/>
    <w:rsid w:val="00413239"/>
    <w:rsid w:val="004133A3"/>
    <w:rsid w:val="00413B8B"/>
    <w:rsid w:val="00413C41"/>
    <w:rsid w:val="00413CFA"/>
    <w:rsid w:val="00413E39"/>
    <w:rsid w:val="004141D6"/>
    <w:rsid w:val="00414518"/>
    <w:rsid w:val="004148D1"/>
    <w:rsid w:val="00414B09"/>
    <w:rsid w:val="00414C01"/>
    <w:rsid w:val="00414F4A"/>
    <w:rsid w:val="004155CE"/>
    <w:rsid w:val="004156F6"/>
    <w:rsid w:val="004159C4"/>
    <w:rsid w:val="004159F1"/>
    <w:rsid w:val="00416471"/>
    <w:rsid w:val="00416F2D"/>
    <w:rsid w:val="00417257"/>
    <w:rsid w:val="00417837"/>
    <w:rsid w:val="00417EE7"/>
    <w:rsid w:val="00417F3E"/>
    <w:rsid w:val="00420981"/>
    <w:rsid w:val="00420ED2"/>
    <w:rsid w:val="00421A4F"/>
    <w:rsid w:val="00421FC4"/>
    <w:rsid w:val="00422001"/>
    <w:rsid w:val="00422301"/>
    <w:rsid w:val="0042247B"/>
    <w:rsid w:val="0042263F"/>
    <w:rsid w:val="00422D70"/>
    <w:rsid w:val="00422E3E"/>
    <w:rsid w:val="004232DB"/>
    <w:rsid w:val="004235E7"/>
    <w:rsid w:val="00423D4D"/>
    <w:rsid w:val="00423EEC"/>
    <w:rsid w:val="00424356"/>
    <w:rsid w:val="00424473"/>
    <w:rsid w:val="00424DD3"/>
    <w:rsid w:val="004250A1"/>
    <w:rsid w:val="0042516D"/>
    <w:rsid w:val="00425219"/>
    <w:rsid w:val="00425335"/>
    <w:rsid w:val="0042562E"/>
    <w:rsid w:val="004259F5"/>
    <w:rsid w:val="00425A4B"/>
    <w:rsid w:val="00425A61"/>
    <w:rsid w:val="00425AF7"/>
    <w:rsid w:val="00425DED"/>
    <w:rsid w:val="0042624E"/>
    <w:rsid w:val="004262E3"/>
    <w:rsid w:val="0042650D"/>
    <w:rsid w:val="00426755"/>
    <w:rsid w:val="00426A4F"/>
    <w:rsid w:val="00426E44"/>
    <w:rsid w:val="00426F65"/>
    <w:rsid w:val="0042712F"/>
    <w:rsid w:val="00427225"/>
    <w:rsid w:val="0042749B"/>
    <w:rsid w:val="00427A69"/>
    <w:rsid w:val="00427E77"/>
    <w:rsid w:val="00427F43"/>
    <w:rsid w:val="00427F4B"/>
    <w:rsid w:val="00427F64"/>
    <w:rsid w:val="00430B3A"/>
    <w:rsid w:val="004313B9"/>
    <w:rsid w:val="0043141E"/>
    <w:rsid w:val="0043215D"/>
    <w:rsid w:val="00432198"/>
    <w:rsid w:val="00432849"/>
    <w:rsid w:val="00432959"/>
    <w:rsid w:val="00432C31"/>
    <w:rsid w:val="004336FA"/>
    <w:rsid w:val="004337F0"/>
    <w:rsid w:val="004337F6"/>
    <w:rsid w:val="004339BC"/>
    <w:rsid w:val="004339DE"/>
    <w:rsid w:val="00433BAB"/>
    <w:rsid w:val="004340F4"/>
    <w:rsid w:val="0043436F"/>
    <w:rsid w:val="00434FAE"/>
    <w:rsid w:val="00435133"/>
    <w:rsid w:val="0043515B"/>
    <w:rsid w:val="0043578F"/>
    <w:rsid w:val="004358B8"/>
    <w:rsid w:val="0043590A"/>
    <w:rsid w:val="00435FA8"/>
    <w:rsid w:val="00436032"/>
    <w:rsid w:val="00436367"/>
    <w:rsid w:val="00436B67"/>
    <w:rsid w:val="00436B7C"/>
    <w:rsid w:val="00436D07"/>
    <w:rsid w:val="00436E82"/>
    <w:rsid w:val="00437358"/>
    <w:rsid w:val="00437675"/>
    <w:rsid w:val="00437AB4"/>
    <w:rsid w:val="00437B04"/>
    <w:rsid w:val="00437D07"/>
    <w:rsid w:val="00437D35"/>
    <w:rsid w:val="0044012B"/>
    <w:rsid w:val="004403FD"/>
    <w:rsid w:val="0044047F"/>
    <w:rsid w:val="00440514"/>
    <w:rsid w:val="004406C1"/>
    <w:rsid w:val="00441D10"/>
    <w:rsid w:val="00441D6A"/>
    <w:rsid w:val="00441DDB"/>
    <w:rsid w:val="0044219A"/>
    <w:rsid w:val="004422C8"/>
    <w:rsid w:val="004429CE"/>
    <w:rsid w:val="00442E22"/>
    <w:rsid w:val="00442F61"/>
    <w:rsid w:val="00443068"/>
    <w:rsid w:val="00443268"/>
    <w:rsid w:val="0044378C"/>
    <w:rsid w:val="00443C18"/>
    <w:rsid w:val="00443E7C"/>
    <w:rsid w:val="00443F3A"/>
    <w:rsid w:val="0044410D"/>
    <w:rsid w:val="00444341"/>
    <w:rsid w:val="004444DA"/>
    <w:rsid w:val="00444C17"/>
    <w:rsid w:val="00444C62"/>
    <w:rsid w:val="00445053"/>
    <w:rsid w:val="004451F6"/>
    <w:rsid w:val="00445492"/>
    <w:rsid w:val="00445666"/>
    <w:rsid w:val="0044571D"/>
    <w:rsid w:val="0044580B"/>
    <w:rsid w:val="004461FA"/>
    <w:rsid w:val="004464E6"/>
    <w:rsid w:val="00446B45"/>
    <w:rsid w:val="004474B7"/>
    <w:rsid w:val="00447674"/>
    <w:rsid w:val="00447C42"/>
    <w:rsid w:val="00447D0E"/>
    <w:rsid w:val="00447FE9"/>
    <w:rsid w:val="004501CD"/>
    <w:rsid w:val="0045032C"/>
    <w:rsid w:val="00450B29"/>
    <w:rsid w:val="00450CB0"/>
    <w:rsid w:val="00450D60"/>
    <w:rsid w:val="00450F67"/>
    <w:rsid w:val="004512AC"/>
    <w:rsid w:val="004512FC"/>
    <w:rsid w:val="00451520"/>
    <w:rsid w:val="00451F05"/>
    <w:rsid w:val="004523D6"/>
    <w:rsid w:val="00452768"/>
    <w:rsid w:val="00452938"/>
    <w:rsid w:val="00452ABC"/>
    <w:rsid w:val="00452DA1"/>
    <w:rsid w:val="004534A8"/>
    <w:rsid w:val="00453832"/>
    <w:rsid w:val="00453878"/>
    <w:rsid w:val="00453929"/>
    <w:rsid w:val="004539C6"/>
    <w:rsid w:val="00453EAC"/>
    <w:rsid w:val="0045413C"/>
    <w:rsid w:val="0045423E"/>
    <w:rsid w:val="0045487C"/>
    <w:rsid w:val="004549CC"/>
    <w:rsid w:val="00454B18"/>
    <w:rsid w:val="00454E5E"/>
    <w:rsid w:val="00455469"/>
    <w:rsid w:val="00455596"/>
    <w:rsid w:val="004560B5"/>
    <w:rsid w:val="004563FE"/>
    <w:rsid w:val="004568E1"/>
    <w:rsid w:val="00456D31"/>
    <w:rsid w:val="00456D6F"/>
    <w:rsid w:val="00456EAA"/>
    <w:rsid w:val="00456ECD"/>
    <w:rsid w:val="00456F9D"/>
    <w:rsid w:val="0045734A"/>
    <w:rsid w:val="00457661"/>
    <w:rsid w:val="004577D0"/>
    <w:rsid w:val="004577FB"/>
    <w:rsid w:val="00457D31"/>
    <w:rsid w:val="0046065F"/>
    <w:rsid w:val="00460861"/>
    <w:rsid w:val="00460ED0"/>
    <w:rsid w:val="004612E3"/>
    <w:rsid w:val="0046136E"/>
    <w:rsid w:val="00461414"/>
    <w:rsid w:val="00461421"/>
    <w:rsid w:val="00461829"/>
    <w:rsid w:val="00461D08"/>
    <w:rsid w:val="00462169"/>
    <w:rsid w:val="004621E8"/>
    <w:rsid w:val="004622AB"/>
    <w:rsid w:val="00462398"/>
    <w:rsid w:val="004625F4"/>
    <w:rsid w:val="0046261B"/>
    <w:rsid w:val="00462CF7"/>
    <w:rsid w:val="0046351D"/>
    <w:rsid w:val="004637AB"/>
    <w:rsid w:val="00463A3E"/>
    <w:rsid w:val="00463F14"/>
    <w:rsid w:val="004644DD"/>
    <w:rsid w:val="0046478F"/>
    <w:rsid w:val="00464CB0"/>
    <w:rsid w:val="00464E32"/>
    <w:rsid w:val="00464FEE"/>
    <w:rsid w:val="00465106"/>
    <w:rsid w:val="004651F6"/>
    <w:rsid w:val="00465463"/>
    <w:rsid w:val="004658A4"/>
    <w:rsid w:val="004659D7"/>
    <w:rsid w:val="00465ECF"/>
    <w:rsid w:val="00466093"/>
    <w:rsid w:val="00466227"/>
    <w:rsid w:val="0046662A"/>
    <w:rsid w:val="00466783"/>
    <w:rsid w:val="00466BAB"/>
    <w:rsid w:val="00466F45"/>
    <w:rsid w:val="00466FF3"/>
    <w:rsid w:val="00467055"/>
    <w:rsid w:val="0046711A"/>
    <w:rsid w:val="0046715D"/>
    <w:rsid w:val="00467353"/>
    <w:rsid w:val="00467C42"/>
    <w:rsid w:val="00467CF5"/>
    <w:rsid w:val="00467D86"/>
    <w:rsid w:val="0047018F"/>
    <w:rsid w:val="004703AF"/>
    <w:rsid w:val="0047069B"/>
    <w:rsid w:val="00470829"/>
    <w:rsid w:val="004709A7"/>
    <w:rsid w:val="00470F76"/>
    <w:rsid w:val="00471319"/>
    <w:rsid w:val="0047183E"/>
    <w:rsid w:val="00471A20"/>
    <w:rsid w:val="00472125"/>
    <w:rsid w:val="004726B4"/>
    <w:rsid w:val="004729D1"/>
    <w:rsid w:val="00472A97"/>
    <w:rsid w:val="00472B28"/>
    <w:rsid w:val="00472CCE"/>
    <w:rsid w:val="00473146"/>
    <w:rsid w:val="0047323A"/>
    <w:rsid w:val="004734B2"/>
    <w:rsid w:val="0047363D"/>
    <w:rsid w:val="00473859"/>
    <w:rsid w:val="00473B97"/>
    <w:rsid w:val="00473E2A"/>
    <w:rsid w:val="00474381"/>
    <w:rsid w:val="004743E7"/>
    <w:rsid w:val="00474A12"/>
    <w:rsid w:val="00474C06"/>
    <w:rsid w:val="00474F57"/>
    <w:rsid w:val="004753C0"/>
    <w:rsid w:val="0047547F"/>
    <w:rsid w:val="004756F3"/>
    <w:rsid w:val="0047579B"/>
    <w:rsid w:val="00475E40"/>
    <w:rsid w:val="004767D5"/>
    <w:rsid w:val="00476AE7"/>
    <w:rsid w:val="00476CAE"/>
    <w:rsid w:val="0047704C"/>
    <w:rsid w:val="00477325"/>
    <w:rsid w:val="00477361"/>
    <w:rsid w:val="00477A61"/>
    <w:rsid w:val="00477AD7"/>
    <w:rsid w:val="00477B3C"/>
    <w:rsid w:val="00477BC0"/>
    <w:rsid w:val="00477F7D"/>
    <w:rsid w:val="004800D7"/>
    <w:rsid w:val="004804FE"/>
    <w:rsid w:val="00480B82"/>
    <w:rsid w:val="00480D5A"/>
    <w:rsid w:val="00480F00"/>
    <w:rsid w:val="004810B0"/>
    <w:rsid w:val="0048117C"/>
    <w:rsid w:val="00481780"/>
    <w:rsid w:val="00481D72"/>
    <w:rsid w:val="00481FD6"/>
    <w:rsid w:val="00482412"/>
    <w:rsid w:val="0048279C"/>
    <w:rsid w:val="004828CA"/>
    <w:rsid w:val="004828DE"/>
    <w:rsid w:val="00482BE7"/>
    <w:rsid w:val="0048328A"/>
    <w:rsid w:val="004835C1"/>
    <w:rsid w:val="00483653"/>
    <w:rsid w:val="00483D24"/>
    <w:rsid w:val="00483D6C"/>
    <w:rsid w:val="00483DC9"/>
    <w:rsid w:val="00484283"/>
    <w:rsid w:val="00484B5F"/>
    <w:rsid w:val="00484BF0"/>
    <w:rsid w:val="00484C66"/>
    <w:rsid w:val="00485466"/>
    <w:rsid w:val="004855C6"/>
    <w:rsid w:val="004856C2"/>
    <w:rsid w:val="00485A3A"/>
    <w:rsid w:val="00485A43"/>
    <w:rsid w:val="00485DF7"/>
    <w:rsid w:val="00485EE2"/>
    <w:rsid w:val="00486048"/>
    <w:rsid w:val="004861D6"/>
    <w:rsid w:val="004865ED"/>
    <w:rsid w:val="00487126"/>
    <w:rsid w:val="00487193"/>
    <w:rsid w:val="0048751C"/>
    <w:rsid w:val="0048754E"/>
    <w:rsid w:val="004876BA"/>
    <w:rsid w:val="00490046"/>
    <w:rsid w:val="00490541"/>
    <w:rsid w:val="004905D0"/>
    <w:rsid w:val="00490C8F"/>
    <w:rsid w:val="00490FA0"/>
    <w:rsid w:val="004911BA"/>
    <w:rsid w:val="0049153E"/>
    <w:rsid w:val="004918B4"/>
    <w:rsid w:val="00491A0D"/>
    <w:rsid w:val="00491DE4"/>
    <w:rsid w:val="004923BB"/>
    <w:rsid w:val="004925B3"/>
    <w:rsid w:val="00492D42"/>
    <w:rsid w:val="00492D70"/>
    <w:rsid w:val="00492E0E"/>
    <w:rsid w:val="0049377F"/>
    <w:rsid w:val="0049387B"/>
    <w:rsid w:val="00493CE2"/>
    <w:rsid w:val="00493D8C"/>
    <w:rsid w:val="0049428D"/>
    <w:rsid w:val="004943C8"/>
    <w:rsid w:val="00494BA8"/>
    <w:rsid w:val="00494BE1"/>
    <w:rsid w:val="00494C93"/>
    <w:rsid w:val="00495592"/>
    <w:rsid w:val="0049583E"/>
    <w:rsid w:val="00495B4B"/>
    <w:rsid w:val="00495DE5"/>
    <w:rsid w:val="0049674B"/>
    <w:rsid w:val="00497137"/>
    <w:rsid w:val="00497889"/>
    <w:rsid w:val="004A0099"/>
    <w:rsid w:val="004A00C1"/>
    <w:rsid w:val="004A045A"/>
    <w:rsid w:val="004A0601"/>
    <w:rsid w:val="004A0EFE"/>
    <w:rsid w:val="004A11D4"/>
    <w:rsid w:val="004A12B9"/>
    <w:rsid w:val="004A163A"/>
    <w:rsid w:val="004A1697"/>
    <w:rsid w:val="004A18D2"/>
    <w:rsid w:val="004A1E92"/>
    <w:rsid w:val="004A204C"/>
    <w:rsid w:val="004A213B"/>
    <w:rsid w:val="004A21A4"/>
    <w:rsid w:val="004A22CF"/>
    <w:rsid w:val="004A24EB"/>
    <w:rsid w:val="004A2836"/>
    <w:rsid w:val="004A29AC"/>
    <w:rsid w:val="004A307D"/>
    <w:rsid w:val="004A3AE6"/>
    <w:rsid w:val="004A3AF6"/>
    <w:rsid w:val="004A3B48"/>
    <w:rsid w:val="004A411A"/>
    <w:rsid w:val="004A4459"/>
    <w:rsid w:val="004A4489"/>
    <w:rsid w:val="004A49B1"/>
    <w:rsid w:val="004A4B4D"/>
    <w:rsid w:val="004A50C6"/>
    <w:rsid w:val="004A50FE"/>
    <w:rsid w:val="004A534E"/>
    <w:rsid w:val="004A54FB"/>
    <w:rsid w:val="004A5ED9"/>
    <w:rsid w:val="004A69EB"/>
    <w:rsid w:val="004A7733"/>
    <w:rsid w:val="004A7A9A"/>
    <w:rsid w:val="004A7E23"/>
    <w:rsid w:val="004A7E76"/>
    <w:rsid w:val="004B0391"/>
    <w:rsid w:val="004B05A6"/>
    <w:rsid w:val="004B061B"/>
    <w:rsid w:val="004B08D6"/>
    <w:rsid w:val="004B0908"/>
    <w:rsid w:val="004B0D7E"/>
    <w:rsid w:val="004B0F74"/>
    <w:rsid w:val="004B1096"/>
    <w:rsid w:val="004B109B"/>
    <w:rsid w:val="004B12A5"/>
    <w:rsid w:val="004B18E7"/>
    <w:rsid w:val="004B1916"/>
    <w:rsid w:val="004B1D15"/>
    <w:rsid w:val="004B258A"/>
    <w:rsid w:val="004B2F48"/>
    <w:rsid w:val="004B3059"/>
    <w:rsid w:val="004B31D8"/>
    <w:rsid w:val="004B32D2"/>
    <w:rsid w:val="004B369F"/>
    <w:rsid w:val="004B377B"/>
    <w:rsid w:val="004B3DE2"/>
    <w:rsid w:val="004B423C"/>
    <w:rsid w:val="004B473B"/>
    <w:rsid w:val="004B4AA1"/>
    <w:rsid w:val="004B4BF8"/>
    <w:rsid w:val="004B5038"/>
    <w:rsid w:val="004B5156"/>
    <w:rsid w:val="004B538A"/>
    <w:rsid w:val="004B563C"/>
    <w:rsid w:val="004B5713"/>
    <w:rsid w:val="004B5C15"/>
    <w:rsid w:val="004B635B"/>
    <w:rsid w:val="004B68FC"/>
    <w:rsid w:val="004B6940"/>
    <w:rsid w:val="004B69A3"/>
    <w:rsid w:val="004B6A3B"/>
    <w:rsid w:val="004B6C12"/>
    <w:rsid w:val="004B6D64"/>
    <w:rsid w:val="004B71DB"/>
    <w:rsid w:val="004B7314"/>
    <w:rsid w:val="004B745E"/>
    <w:rsid w:val="004B7555"/>
    <w:rsid w:val="004B7B02"/>
    <w:rsid w:val="004C0000"/>
    <w:rsid w:val="004C016A"/>
    <w:rsid w:val="004C01FC"/>
    <w:rsid w:val="004C02A1"/>
    <w:rsid w:val="004C0431"/>
    <w:rsid w:val="004C0ABF"/>
    <w:rsid w:val="004C0F12"/>
    <w:rsid w:val="004C16E3"/>
    <w:rsid w:val="004C1F71"/>
    <w:rsid w:val="004C1FAB"/>
    <w:rsid w:val="004C2711"/>
    <w:rsid w:val="004C2E1C"/>
    <w:rsid w:val="004C2FA5"/>
    <w:rsid w:val="004C37A5"/>
    <w:rsid w:val="004C3950"/>
    <w:rsid w:val="004C3E88"/>
    <w:rsid w:val="004C3FD5"/>
    <w:rsid w:val="004C454F"/>
    <w:rsid w:val="004C4A3A"/>
    <w:rsid w:val="004C4B06"/>
    <w:rsid w:val="004C503D"/>
    <w:rsid w:val="004C5572"/>
    <w:rsid w:val="004C5A4F"/>
    <w:rsid w:val="004C5A61"/>
    <w:rsid w:val="004C5C4A"/>
    <w:rsid w:val="004C6220"/>
    <w:rsid w:val="004C62C9"/>
    <w:rsid w:val="004C64D9"/>
    <w:rsid w:val="004C66ED"/>
    <w:rsid w:val="004C691E"/>
    <w:rsid w:val="004C6ED7"/>
    <w:rsid w:val="004C6F6E"/>
    <w:rsid w:val="004C7254"/>
    <w:rsid w:val="004D037A"/>
    <w:rsid w:val="004D08BB"/>
    <w:rsid w:val="004D0BCE"/>
    <w:rsid w:val="004D1201"/>
    <w:rsid w:val="004D1640"/>
    <w:rsid w:val="004D1A36"/>
    <w:rsid w:val="004D1AC2"/>
    <w:rsid w:val="004D226B"/>
    <w:rsid w:val="004D2324"/>
    <w:rsid w:val="004D26F2"/>
    <w:rsid w:val="004D2863"/>
    <w:rsid w:val="004D2967"/>
    <w:rsid w:val="004D32EB"/>
    <w:rsid w:val="004D34DB"/>
    <w:rsid w:val="004D35E2"/>
    <w:rsid w:val="004D3DC9"/>
    <w:rsid w:val="004D44CA"/>
    <w:rsid w:val="004D45DF"/>
    <w:rsid w:val="004D4C80"/>
    <w:rsid w:val="004D4E4D"/>
    <w:rsid w:val="004D5290"/>
    <w:rsid w:val="004D54E9"/>
    <w:rsid w:val="004D5E5C"/>
    <w:rsid w:val="004D6038"/>
    <w:rsid w:val="004D6076"/>
    <w:rsid w:val="004D60A2"/>
    <w:rsid w:val="004D66B8"/>
    <w:rsid w:val="004D6A7E"/>
    <w:rsid w:val="004D6E7F"/>
    <w:rsid w:val="004D6F84"/>
    <w:rsid w:val="004D71C4"/>
    <w:rsid w:val="004D7315"/>
    <w:rsid w:val="004E0071"/>
    <w:rsid w:val="004E01B2"/>
    <w:rsid w:val="004E02D7"/>
    <w:rsid w:val="004E037B"/>
    <w:rsid w:val="004E0541"/>
    <w:rsid w:val="004E0951"/>
    <w:rsid w:val="004E0B69"/>
    <w:rsid w:val="004E1386"/>
    <w:rsid w:val="004E15AB"/>
    <w:rsid w:val="004E16BC"/>
    <w:rsid w:val="004E23A5"/>
    <w:rsid w:val="004E2661"/>
    <w:rsid w:val="004E28CD"/>
    <w:rsid w:val="004E2C86"/>
    <w:rsid w:val="004E3345"/>
    <w:rsid w:val="004E33AC"/>
    <w:rsid w:val="004E37BE"/>
    <w:rsid w:val="004E3B36"/>
    <w:rsid w:val="004E3ED1"/>
    <w:rsid w:val="004E3F15"/>
    <w:rsid w:val="004E3FAE"/>
    <w:rsid w:val="004E4255"/>
    <w:rsid w:val="004E4681"/>
    <w:rsid w:val="004E49F8"/>
    <w:rsid w:val="004E4B3E"/>
    <w:rsid w:val="004E4E3A"/>
    <w:rsid w:val="004E4FE5"/>
    <w:rsid w:val="004E4FFE"/>
    <w:rsid w:val="004E528D"/>
    <w:rsid w:val="004E58C9"/>
    <w:rsid w:val="004E5917"/>
    <w:rsid w:val="004E5A9C"/>
    <w:rsid w:val="004E5BE8"/>
    <w:rsid w:val="004E6129"/>
    <w:rsid w:val="004E6234"/>
    <w:rsid w:val="004E6839"/>
    <w:rsid w:val="004E6E09"/>
    <w:rsid w:val="004E6F99"/>
    <w:rsid w:val="004E72C9"/>
    <w:rsid w:val="004E798D"/>
    <w:rsid w:val="004E7EA9"/>
    <w:rsid w:val="004F01E7"/>
    <w:rsid w:val="004F088A"/>
    <w:rsid w:val="004F0969"/>
    <w:rsid w:val="004F12AE"/>
    <w:rsid w:val="004F135C"/>
    <w:rsid w:val="004F163A"/>
    <w:rsid w:val="004F1741"/>
    <w:rsid w:val="004F1A16"/>
    <w:rsid w:val="004F1A33"/>
    <w:rsid w:val="004F1BDF"/>
    <w:rsid w:val="004F2989"/>
    <w:rsid w:val="004F2DF1"/>
    <w:rsid w:val="004F3049"/>
    <w:rsid w:val="004F3305"/>
    <w:rsid w:val="004F3B96"/>
    <w:rsid w:val="004F4109"/>
    <w:rsid w:val="004F437D"/>
    <w:rsid w:val="004F44D0"/>
    <w:rsid w:val="004F49A8"/>
    <w:rsid w:val="004F49D1"/>
    <w:rsid w:val="004F4C17"/>
    <w:rsid w:val="004F50A0"/>
    <w:rsid w:val="004F5106"/>
    <w:rsid w:val="004F5604"/>
    <w:rsid w:val="004F5736"/>
    <w:rsid w:val="004F5D6F"/>
    <w:rsid w:val="004F62FC"/>
    <w:rsid w:val="004F6B82"/>
    <w:rsid w:val="004F7882"/>
    <w:rsid w:val="004F7B4E"/>
    <w:rsid w:val="004F7F35"/>
    <w:rsid w:val="00500AD4"/>
    <w:rsid w:val="00500CBD"/>
    <w:rsid w:val="00500D8F"/>
    <w:rsid w:val="00500DE3"/>
    <w:rsid w:val="00500F42"/>
    <w:rsid w:val="005010D7"/>
    <w:rsid w:val="00501402"/>
    <w:rsid w:val="00502338"/>
    <w:rsid w:val="00502844"/>
    <w:rsid w:val="005028FD"/>
    <w:rsid w:val="00502A7C"/>
    <w:rsid w:val="00502CEA"/>
    <w:rsid w:val="00502D11"/>
    <w:rsid w:val="00503B8D"/>
    <w:rsid w:val="00503B97"/>
    <w:rsid w:val="00503BC1"/>
    <w:rsid w:val="00503F0B"/>
    <w:rsid w:val="00504023"/>
    <w:rsid w:val="00504395"/>
    <w:rsid w:val="00504A28"/>
    <w:rsid w:val="00504AC9"/>
    <w:rsid w:val="00504B35"/>
    <w:rsid w:val="00504C9C"/>
    <w:rsid w:val="0050527E"/>
    <w:rsid w:val="00505540"/>
    <w:rsid w:val="00505B22"/>
    <w:rsid w:val="00505C3A"/>
    <w:rsid w:val="00505EBD"/>
    <w:rsid w:val="00506313"/>
    <w:rsid w:val="00506580"/>
    <w:rsid w:val="00506847"/>
    <w:rsid w:val="00506D41"/>
    <w:rsid w:val="00506E28"/>
    <w:rsid w:val="00507302"/>
    <w:rsid w:val="00507538"/>
    <w:rsid w:val="0050754A"/>
    <w:rsid w:val="00507701"/>
    <w:rsid w:val="0050784E"/>
    <w:rsid w:val="00507EBD"/>
    <w:rsid w:val="00507ED3"/>
    <w:rsid w:val="00510050"/>
    <w:rsid w:val="0051019F"/>
    <w:rsid w:val="00510D66"/>
    <w:rsid w:val="00510E99"/>
    <w:rsid w:val="005110E1"/>
    <w:rsid w:val="0051149C"/>
    <w:rsid w:val="005115AE"/>
    <w:rsid w:val="00511726"/>
    <w:rsid w:val="00511804"/>
    <w:rsid w:val="005119D1"/>
    <w:rsid w:val="0051243F"/>
    <w:rsid w:val="005128E0"/>
    <w:rsid w:val="00512FC5"/>
    <w:rsid w:val="005133C2"/>
    <w:rsid w:val="005135B0"/>
    <w:rsid w:val="005136EF"/>
    <w:rsid w:val="0051386C"/>
    <w:rsid w:val="005139E1"/>
    <w:rsid w:val="00513CE6"/>
    <w:rsid w:val="00513FF1"/>
    <w:rsid w:val="005140A5"/>
    <w:rsid w:val="00514351"/>
    <w:rsid w:val="00514392"/>
    <w:rsid w:val="00514A06"/>
    <w:rsid w:val="00514B1B"/>
    <w:rsid w:val="00514BD8"/>
    <w:rsid w:val="00514DA4"/>
    <w:rsid w:val="005161C6"/>
    <w:rsid w:val="00516365"/>
    <w:rsid w:val="0051669D"/>
    <w:rsid w:val="00517051"/>
    <w:rsid w:val="0051716A"/>
    <w:rsid w:val="00517417"/>
    <w:rsid w:val="0051779C"/>
    <w:rsid w:val="0051799E"/>
    <w:rsid w:val="00517A07"/>
    <w:rsid w:val="0052002D"/>
    <w:rsid w:val="005206E6"/>
    <w:rsid w:val="0052089C"/>
    <w:rsid w:val="00520D67"/>
    <w:rsid w:val="00520ED2"/>
    <w:rsid w:val="005212DB"/>
    <w:rsid w:val="0052197A"/>
    <w:rsid w:val="00521C37"/>
    <w:rsid w:val="00522938"/>
    <w:rsid w:val="00523020"/>
    <w:rsid w:val="005235C0"/>
    <w:rsid w:val="00523F8F"/>
    <w:rsid w:val="005241BE"/>
    <w:rsid w:val="00524436"/>
    <w:rsid w:val="0052455C"/>
    <w:rsid w:val="005247BF"/>
    <w:rsid w:val="00524CF0"/>
    <w:rsid w:val="00524E47"/>
    <w:rsid w:val="00525071"/>
    <w:rsid w:val="00525154"/>
    <w:rsid w:val="005251AE"/>
    <w:rsid w:val="00525CAF"/>
    <w:rsid w:val="00526858"/>
    <w:rsid w:val="00526C81"/>
    <w:rsid w:val="0052713A"/>
    <w:rsid w:val="0052737A"/>
    <w:rsid w:val="00527775"/>
    <w:rsid w:val="00527E11"/>
    <w:rsid w:val="0053014C"/>
    <w:rsid w:val="005301C4"/>
    <w:rsid w:val="005305C7"/>
    <w:rsid w:val="00530710"/>
    <w:rsid w:val="005307FB"/>
    <w:rsid w:val="00530B6F"/>
    <w:rsid w:val="00530F56"/>
    <w:rsid w:val="005317DF"/>
    <w:rsid w:val="00531E5F"/>
    <w:rsid w:val="00532051"/>
    <w:rsid w:val="0053207D"/>
    <w:rsid w:val="00532122"/>
    <w:rsid w:val="00532DF7"/>
    <w:rsid w:val="00533004"/>
    <w:rsid w:val="005333BC"/>
    <w:rsid w:val="0053378E"/>
    <w:rsid w:val="00533959"/>
    <w:rsid w:val="00533A5B"/>
    <w:rsid w:val="00533B2D"/>
    <w:rsid w:val="00533EC2"/>
    <w:rsid w:val="00534062"/>
    <w:rsid w:val="005340D5"/>
    <w:rsid w:val="0053426F"/>
    <w:rsid w:val="00534476"/>
    <w:rsid w:val="00535091"/>
    <w:rsid w:val="00535641"/>
    <w:rsid w:val="005358FD"/>
    <w:rsid w:val="00535B64"/>
    <w:rsid w:val="00535CC4"/>
    <w:rsid w:val="005360B8"/>
    <w:rsid w:val="00536259"/>
    <w:rsid w:val="005367E3"/>
    <w:rsid w:val="005367E4"/>
    <w:rsid w:val="00536CF1"/>
    <w:rsid w:val="0053733A"/>
    <w:rsid w:val="00537649"/>
    <w:rsid w:val="005376CE"/>
    <w:rsid w:val="00537A1F"/>
    <w:rsid w:val="00540199"/>
    <w:rsid w:val="00540582"/>
    <w:rsid w:val="00540615"/>
    <w:rsid w:val="005409B4"/>
    <w:rsid w:val="00541582"/>
    <w:rsid w:val="00541773"/>
    <w:rsid w:val="00541D27"/>
    <w:rsid w:val="00541D74"/>
    <w:rsid w:val="00542235"/>
    <w:rsid w:val="00542282"/>
    <w:rsid w:val="00542440"/>
    <w:rsid w:val="00542E93"/>
    <w:rsid w:val="005433DF"/>
    <w:rsid w:val="005439B0"/>
    <w:rsid w:val="005441B7"/>
    <w:rsid w:val="00544388"/>
    <w:rsid w:val="005446F3"/>
    <w:rsid w:val="00544701"/>
    <w:rsid w:val="00544B00"/>
    <w:rsid w:val="00544F13"/>
    <w:rsid w:val="00544FB3"/>
    <w:rsid w:val="005450B1"/>
    <w:rsid w:val="005452D2"/>
    <w:rsid w:val="005455E1"/>
    <w:rsid w:val="00545EA4"/>
    <w:rsid w:val="00546440"/>
    <w:rsid w:val="0054686D"/>
    <w:rsid w:val="00546B15"/>
    <w:rsid w:val="00546B5B"/>
    <w:rsid w:val="00546BC1"/>
    <w:rsid w:val="00546F48"/>
    <w:rsid w:val="005470AB"/>
    <w:rsid w:val="00547114"/>
    <w:rsid w:val="00547E79"/>
    <w:rsid w:val="005501B6"/>
    <w:rsid w:val="0055031F"/>
    <w:rsid w:val="0055089E"/>
    <w:rsid w:val="00550C16"/>
    <w:rsid w:val="00550D0A"/>
    <w:rsid w:val="00550D81"/>
    <w:rsid w:val="00550DC9"/>
    <w:rsid w:val="0055183D"/>
    <w:rsid w:val="0055189D"/>
    <w:rsid w:val="00551ECB"/>
    <w:rsid w:val="00552078"/>
    <w:rsid w:val="005529CF"/>
    <w:rsid w:val="005530EC"/>
    <w:rsid w:val="0055382E"/>
    <w:rsid w:val="0055389A"/>
    <w:rsid w:val="00553B69"/>
    <w:rsid w:val="00553D6F"/>
    <w:rsid w:val="0055401E"/>
    <w:rsid w:val="0055432F"/>
    <w:rsid w:val="0055450D"/>
    <w:rsid w:val="005550B0"/>
    <w:rsid w:val="00555270"/>
    <w:rsid w:val="005555D8"/>
    <w:rsid w:val="00555EC6"/>
    <w:rsid w:val="00555F84"/>
    <w:rsid w:val="00555FE0"/>
    <w:rsid w:val="00556B41"/>
    <w:rsid w:val="00556F7F"/>
    <w:rsid w:val="00556FE3"/>
    <w:rsid w:val="005572F9"/>
    <w:rsid w:val="0055734A"/>
    <w:rsid w:val="00557597"/>
    <w:rsid w:val="00557B1F"/>
    <w:rsid w:val="00557C84"/>
    <w:rsid w:val="00557D01"/>
    <w:rsid w:val="005600F8"/>
    <w:rsid w:val="00560286"/>
    <w:rsid w:val="0056080B"/>
    <w:rsid w:val="00561057"/>
    <w:rsid w:val="00561259"/>
    <w:rsid w:val="00561901"/>
    <w:rsid w:val="005619D6"/>
    <w:rsid w:val="005619F6"/>
    <w:rsid w:val="00561A09"/>
    <w:rsid w:val="00561A7C"/>
    <w:rsid w:val="00561C2E"/>
    <w:rsid w:val="00561D3E"/>
    <w:rsid w:val="005620A3"/>
    <w:rsid w:val="005633CE"/>
    <w:rsid w:val="00563791"/>
    <w:rsid w:val="00563806"/>
    <w:rsid w:val="00563AF5"/>
    <w:rsid w:val="00563E4F"/>
    <w:rsid w:val="00564249"/>
    <w:rsid w:val="00564DAC"/>
    <w:rsid w:val="00565244"/>
    <w:rsid w:val="00565584"/>
    <w:rsid w:val="005659EB"/>
    <w:rsid w:val="00565D16"/>
    <w:rsid w:val="00565E35"/>
    <w:rsid w:val="00565EF1"/>
    <w:rsid w:val="0056646E"/>
    <w:rsid w:val="005664B7"/>
    <w:rsid w:val="00566793"/>
    <w:rsid w:val="0056679F"/>
    <w:rsid w:val="005667DE"/>
    <w:rsid w:val="00566C3C"/>
    <w:rsid w:val="0056732D"/>
    <w:rsid w:val="005673F6"/>
    <w:rsid w:val="00567789"/>
    <w:rsid w:val="005679C1"/>
    <w:rsid w:val="00567A06"/>
    <w:rsid w:val="00567BC7"/>
    <w:rsid w:val="00567C9F"/>
    <w:rsid w:val="005703DA"/>
    <w:rsid w:val="00570AFD"/>
    <w:rsid w:val="005713A8"/>
    <w:rsid w:val="00571851"/>
    <w:rsid w:val="00571CA3"/>
    <w:rsid w:val="00571DEC"/>
    <w:rsid w:val="00571E12"/>
    <w:rsid w:val="00571E2F"/>
    <w:rsid w:val="00571F1B"/>
    <w:rsid w:val="005721B0"/>
    <w:rsid w:val="005722B9"/>
    <w:rsid w:val="00572A2D"/>
    <w:rsid w:val="005730C6"/>
    <w:rsid w:val="00573533"/>
    <w:rsid w:val="0057374E"/>
    <w:rsid w:val="00573EAA"/>
    <w:rsid w:val="005741D0"/>
    <w:rsid w:val="005744D1"/>
    <w:rsid w:val="00574B22"/>
    <w:rsid w:val="00575029"/>
    <w:rsid w:val="00575563"/>
    <w:rsid w:val="00575927"/>
    <w:rsid w:val="00575B4F"/>
    <w:rsid w:val="00575B9D"/>
    <w:rsid w:val="00575E73"/>
    <w:rsid w:val="0057622A"/>
    <w:rsid w:val="00576404"/>
    <w:rsid w:val="00576417"/>
    <w:rsid w:val="005764B6"/>
    <w:rsid w:val="005777A4"/>
    <w:rsid w:val="00577B5F"/>
    <w:rsid w:val="00577D43"/>
    <w:rsid w:val="00580286"/>
    <w:rsid w:val="0058038B"/>
    <w:rsid w:val="00580457"/>
    <w:rsid w:val="00580BEB"/>
    <w:rsid w:val="00580E53"/>
    <w:rsid w:val="00580FEC"/>
    <w:rsid w:val="005811FD"/>
    <w:rsid w:val="00581702"/>
    <w:rsid w:val="00581761"/>
    <w:rsid w:val="00581ABD"/>
    <w:rsid w:val="00581B45"/>
    <w:rsid w:val="00581C5C"/>
    <w:rsid w:val="00582644"/>
    <w:rsid w:val="00582BFC"/>
    <w:rsid w:val="00582C4E"/>
    <w:rsid w:val="00582C9B"/>
    <w:rsid w:val="00582D28"/>
    <w:rsid w:val="00582E07"/>
    <w:rsid w:val="005833DC"/>
    <w:rsid w:val="0058347E"/>
    <w:rsid w:val="005834EF"/>
    <w:rsid w:val="005839BB"/>
    <w:rsid w:val="00583ED7"/>
    <w:rsid w:val="00584234"/>
    <w:rsid w:val="0058490D"/>
    <w:rsid w:val="005855FC"/>
    <w:rsid w:val="00585642"/>
    <w:rsid w:val="0058580C"/>
    <w:rsid w:val="005858F1"/>
    <w:rsid w:val="00585A1E"/>
    <w:rsid w:val="00585A5F"/>
    <w:rsid w:val="00585BA5"/>
    <w:rsid w:val="00585CB4"/>
    <w:rsid w:val="005860FF"/>
    <w:rsid w:val="00586D5B"/>
    <w:rsid w:val="00587677"/>
    <w:rsid w:val="00587DF8"/>
    <w:rsid w:val="0059001E"/>
    <w:rsid w:val="00590527"/>
    <w:rsid w:val="0059055F"/>
    <w:rsid w:val="00590AB3"/>
    <w:rsid w:val="00590B9C"/>
    <w:rsid w:val="00590FD0"/>
    <w:rsid w:val="00591067"/>
    <w:rsid w:val="005910A8"/>
    <w:rsid w:val="0059133A"/>
    <w:rsid w:val="0059144D"/>
    <w:rsid w:val="00591456"/>
    <w:rsid w:val="005918AF"/>
    <w:rsid w:val="0059218B"/>
    <w:rsid w:val="00592529"/>
    <w:rsid w:val="00592875"/>
    <w:rsid w:val="0059294B"/>
    <w:rsid w:val="00593275"/>
    <w:rsid w:val="0059365F"/>
    <w:rsid w:val="00593689"/>
    <w:rsid w:val="00593802"/>
    <w:rsid w:val="00593C26"/>
    <w:rsid w:val="00593CCC"/>
    <w:rsid w:val="00594023"/>
    <w:rsid w:val="005942D0"/>
    <w:rsid w:val="00594DF6"/>
    <w:rsid w:val="00595734"/>
    <w:rsid w:val="00595A39"/>
    <w:rsid w:val="00595AFB"/>
    <w:rsid w:val="00595E70"/>
    <w:rsid w:val="00595EEB"/>
    <w:rsid w:val="00596441"/>
    <w:rsid w:val="00596520"/>
    <w:rsid w:val="00596529"/>
    <w:rsid w:val="005966F6"/>
    <w:rsid w:val="005972B0"/>
    <w:rsid w:val="00597596"/>
    <w:rsid w:val="005977A8"/>
    <w:rsid w:val="005979BB"/>
    <w:rsid w:val="00597C3A"/>
    <w:rsid w:val="00597D76"/>
    <w:rsid w:val="00597EC7"/>
    <w:rsid w:val="005A0B33"/>
    <w:rsid w:val="005A0C84"/>
    <w:rsid w:val="005A0D4B"/>
    <w:rsid w:val="005A14AC"/>
    <w:rsid w:val="005A15A1"/>
    <w:rsid w:val="005A1684"/>
    <w:rsid w:val="005A16F3"/>
    <w:rsid w:val="005A1A3E"/>
    <w:rsid w:val="005A1B67"/>
    <w:rsid w:val="005A1C63"/>
    <w:rsid w:val="005A1C7C"/>
    <w:rsid w:val="005A246E"/>
    <w:rsid w:val="005A2840"/>
    <w:rsid w:val="005A2D1A"/>
    <w:rsid w:val="005A2F25"/>
    <w:rsid w:val="005A2FE5"/>
    <w:rsid w:val="005A308F"/>
    <w:rsid w:val="005A3385"/>
    <w:rsid w:val="005A34B9"/>
    <w:rsid w:val="005A3508"/>
    <w:rsid w:val="005A3EEB"/>
    <w:rsid w:val="005A3F9D"/>
    <w:rsid w:val="005A404B"/>
    <w:rsid w:val="005A4258"/>
    <w:rsid w:val="005A4883"/>
    <w:rsid w:val="005A490B"/>
    <w:rsid w:val="005A4CCE"/>
    <w:rsid w:val="005A4D33"/>
    <w:rsid w:val="005A4D66"/>
    <w:rsid w:val="005A53B4"/>
    <w:rsid w:val="005A563F"/>
    <w:rsid w:val="005A59A6"/>
    <w:rsid w:val="005A5A20"/>
    <w:rsid w:val="005A5F57"/>
    <w:rsid w:val="005A6116"/>
    <w:rsid w:val="005A6298"/>
    <w:rsid w:val="005A635A"/>
    <w:rsid w:val="005A63DA"/>
    <w:rsid w:val="005A6513"/>
    <w:rsid w:val="005A688D"/>
    <w:rsid w:val="005A6D95"/>
    <w:rsid w:val="005A6DE2"/>
    <w:rsid w:val="005A74FB"/>
    <w:rsid w:val="005A7B6F"/>
    <w:rsid w:val="005A7CC9"/>
    <w:rsid w:val="005A7EC6"/>
    <w:rsid w:val="005B0415"/>
    <w:rsid w:val="005B0ADD"/>
    <w:rsid w:val="005B0AEA"/>
    <w:rsid w:val="005B0E76"/>
    <w:rsid w:val="005B10C2"/>
    <w:rsid w:val="005B10D3"/>
    <w:rsid w:val="005B183E"/>
    <w:rsid w:val="005B1A91"/>
    <w:rsid w:val="005B1ECE"/>
    <w:rsid w:val="005B205E"/>
    <w:rsid w:val="005B26AA"/>
    <w:rsid w:val="005B2AA5"/>
    <w:rsid w:val="005B33A5"/>
    <w:rsid w:val="005B3A4D"/>
    <w:rsid w:val="005B427C"/>
    <w:rsid w:val="005B460A"/>
    <w:rsid w:val="005B47CC"/>
    <w:rsid w:val="005B4E96"/>
    <w:rsid w:val="005B4EC0"/>
    <w:rsid w:val="005B52E9"/>
    <w:rsid w:val="005B5459"/>
    <w:rsid w:val="005B5580"/>
    <w:rsid w:val="005B5D33"/>
    <w:rsid w:val="005B5DEE"/>
    <w:rsid w:val="005B632B"/>
    <w:rsid w:val="005B68EB"/>
    <w:rsid w:val="005B6C89"/>
    <w:rsid w:val="005B7285"/>
    <w:rsid w:val="005B76BD"/>
    <w:rsid w:val="005B7756"/>
    <w:rsid w:val="005B7B1A"/>
    <w:rsid w:val="005B7D16"/>
    <w:rsid w:val="005C016B"/>
    <w:rsid w:val="005C01F6"/>
    <w:rsid w:val="005C06A9"/>
    <w:rsid w:val="005C06AA"/>
    <w:rsid w:val="005C0E07"/>
    <w:rsid w:val="005C1103"/>
    <w:rsid w:val="005C14AA"/>
    <w:rsid w:val="005C15C5"/>
    <w:rsid w:val="005C1825"/>
    <w:rsid w:val="005C1AA2"/>
    <w:rsid w:val="005C1E74"/>
    <w:rsid w:val="005C243B"/>
    <w:rsid w:val="005C2701"/>
    <w:rsid w:val="005C27F1"/>
    <w:rsid w:val="005C29A5"/>
    <w:rsid w:val="005C2D3E"/>
    <w:rsid w:val="005C30CB"/>
    <w:rsid w:val="005C30F9"/>
    <w:rsid w:val="005C3166"/>
    <w:rsid w:val="005C4215"/>
    <w:rsid w:val="005C4C32"/>
    <w:rsid w:val="005C4F70"/>
    <w:rsid w:val="005C5A42"/>
    <w:rsid w:val="005C61F5"/>
    <w:rsid w:val="005C64E0"/>
    <w:rsid w:val="005C6F30"/>
    <w:rsid w:val="005C7094"/>
    <w:rsid w:val="005C7660"/>
    <w:rsid w:val="005C7D1E"/>
    <w:rsid w:val="005D0057"/>
    <w:rsid w:val="005D0250"/>
    <w:rsid w:val="005D0278"/>
    <w:rsid w:val="005D037F"/>
    <w:rsid w:val="005D06E6"/>
    <w:rsid w:val="005D0728"/>
    <w:rsid w:val="005D09DD"/>
    <w:rsid w:val="005D0A80"/>
    <w:rsid w:val="005D0CE3"/>
    <w:rsid w:val="005D0DEE"/>
    <w:rsid w:val="005D0F22"/>
    <w:rsid w:val="005D1180"/>
    <w:rsid w:val="005D147A"/>
    <w:rsid w:val="005D1790"/>
    <w:rsid w:val="005D229F"/>
    <w:rsid w:val="005D230E"/>
    <w:rsid w:val="005D256A"/>
    <w:rsid w:val="005D264E"/>
    <w:rsid w:val="005D29A7"/>
    <w:rsid w:val="005D3161"/>
    <w:rsid w:val="005D3390"/>
    <w:rsid w:val="005D36EA"/>
    <w:rsid w:val="005D371C"/>
    <w:rsid w:val="005D3738"/>
    <w:rsid w:val="005D3748"/>
    <w:rsid w:val="005D374C"/>
    <w:rsid w:val="005D3874"/>
    <w:rsid w:val="005D4597"/>
    <w:rsid w:val="005D4A09"/>
    <w:rsid w:val="005D4A37"/>
    <w:rsid w:val="005D50C2"/>
    <w:rsid w:val="005D56C4"/>
    <w:rsid w:val="005D56F3"/>
    <w:rsid w:val="005D5B4E"/>
    <w:rsid w:val="005D612D"/>
    <w:rsid w:val="005D6167"/>
    <w:rsid w:val="005D6175"/>
    <w:rsid w:val="005D617E"/>
    <w:rsid w:val="005D6F0E"/>
    <w:rsid w:val="005D6F36"/>
    <w:rsid w:val="005D6F6A"/>
    <w:rsid w:val="005D74A0"/>
    <w:rsid w:val="005D7FC5"/>
    <w:rsid w:val="005E01F6"/>
    <w:rsid w:val="005E0700"/>
    <w:rsid w:val="005E07AD"/>
    <w:rsid w:val="005E0BE8"/>
    <w:rsid w:val="005E0C41"/>
    <w:rsid w:val="005E1165"/>
    <w:rsid w:val="005E120E"/>
    <w:rsid w:val="005E1A68"/>
    <w:rsid w:val="005E1A71"/>
    <w:rsid w:val="005E1E72"/>
    <w:rsid w:val="005E20FD"/>
    <w:rsid w:val="005E2245"/>
    <w:rsid w:val="005E2389"/>
    <w:rsid w:val="005E28DE"/>
    <w:rsid w:val="005E2ACD"/>
    <w:rsid w:val="005E2F49"/>
    <w:rsid w:val="005E2FAD"/>
    <w:rsid w:val="005E3A35"/>
    <w:rsid w:val="005E400C"/>
    <w:rsid w:val="005E426F"/>
    <w:rsid w:val="005E4318"/>
    <w:rsid w:val="005E4808"/>
    <w:rsid w:val="005E488D"/>
    <w:rsid w:val="005E4AA7"/>
    <w:rsid w:val="005E4B24"/>
    <w:rsid w:val="005E4BDC"/>
    <w:rsid w:val="005E504C"/>
    <w:rsid w:val="005E5970"/>
    <w:rsid w:val="005E5A8C"/>
    <w:rsid w:val="005E61F8"/>
    <w:rsid w:val="005E62B3"/>
    <w:rsid w:val="005E6638"/>
    <w:rsid w:val="005E6799"/>
    <w:rsid w:val="005E68ED"/>
    <w:rsid w:val="005E6E43"/>
    <w:rsid w:val="005E7D65"/>
    <w:rsid w:val="005E7F2E"/>
    <w:rsid w:val="005F0C19"/>
    <w:rsid w:val="005F136C"/>
    <w:rsid w:val="005F15C7"/>
    <w:rsid w:val="005F1BB2"/>
    <w:rsid w:val="005F2109"/>
    <w:rsid w:val="005F3212"/>
    <w:rsid w:val="005F326D"/>
    <w:rsid w:val="005F3406"/>
    <w:rsid w:val="005F3631"/>
    <w:rsid w:val="005F390E"/>
    <w:rsid w:val="005F3977"/>
    <w:rsid w:val="005F3E0B"/>
    <w:rsid w:val="005F4179"/>
    <w:rsid w:val="005F4B08"/>
    <w:rsid w:val="005F4BC8"/>
    <w:rsid w:val="005F4FBF"/>
    <w:rsid w:val="005F53A4"/>
    <w:rsid w:val="005F56A7"/>
    <w:rsid w:val="005F575B"/>
    <w:rsid w:val="005F5939"/>
    <w:rsid w:val="005F5ADD"/>
    <w:rsid w:val="005F5C7A"/>
    <w:rsid w:val="005F5C82"/>
    <w:rsid w:val="005F63DB"/>
    <w:rsid w:val="005F6881"/>
    <w:rsid w:val="005F6F79"/>
    <w:rsid w:val="005F705D"/>
    <w:rsid w:val="005F7246"/>
    <w:rsid w:val="005F7542"/>
    <w:rsid w:val="005F7594"/>
    <w:rsid w:val="005F78DF"/>
    <w:rsid w:val="005F797B"/>
    <w:rsid w:val="005F7B64"/>
    <w:rsid w:val="005F7F16"/>
    <w:rsid w:val="0060022B"/>
    <w:rsid w:val="0060082B"/>
    <w:rsid w:val="006008E3"/>
    <w:rsid w:val="00600E09"/>
    <w:rsid w:val="00600E94"/>
    <w:rsid w:val="006010FA"/>
    <w:rsid w:val="00601405"/>
    <w:rsid w:val="00601671"/>
    <w:rsid w:val="00601A60"/>
    <w:rsid w:val="00601B19"/>
    <w:rsid w:val="00601D82"/>
    <w:rsid w:val="00602913"/>
    <w:rsid w:val="00602A17"/>
    <w:rsid w:val="00602DD7"/>
    <w:rsid w:val="0060346F"/>
    <w:rsid w:val="0060380C"/>
    <w:rsid w:val="00603A8D"/>
    <w:rsid w:val="00603ABB"/>
    <w:rsid w:val="00603C1C"/>
    <w:rsid w:val="006040A5"/>
    <w:rsid w:val="006040AA"/>
    <w:rsid w:val="00604110"/>
    <w:rsid w:val="00605024"/>
    <w:rsid w:val="00605097"/>
    <w:rsid w:val="0060525D"/>
    <w:rsid w:val="006052BF"/>
    <w:rsid w:val="006052F2"/>
    <w:rsid w:val="0060540C"/>
    <w:rsid w:val="006054E4"/>
    <w:rsid w:val="00605562"/>
    <w:rsid w:val="00605784"/>
    <w:rsid w:val="00605C55"/>
    <w:rsid w:val="00605EB0"/>
    <w:rsid w:val="006064FB"/>
    <w:rsid w:val="0060668A"/>
    <w:rsid w:val="006068A2"/>
    <w:rsid w:val="00606EF0"/>
    <w:rsid w:val="00606F7C"/>
    <w:rsid w:val="006070B2"/>
    <w:rsid w:val="00607202"/>
    <w:rsid w:val="006079BB"/>
    <w:rsid w:val="00607DC1"/>
    <w:rsid w:val="00610045"/>
    <w:rsid w:val="0061024F"/>
    <w:rsid w:val="006103E3"/>
    <w:rsid w:val="0061050A"/>
    <w:rsid w:val="006105BA"/>
    <w:rsid w:val="0061061B"/>
    <w:rsid w:val="00610991"/>
    <w:rsid w:val="00610B26"/>
    <w:rsid w:val="00610F11"/>
    <w:rsid w:val="00611A1D"/>
    <w:rsid w:val="00611B26"/>
    <w:rsid w:val="00611B91"/>
    <w:rsid w:val="00611BBE"/>
    <w:rsid w:val="00611DD9"/>
    <w:rsid w:val="00611EB8"/>
    <w:rsid w:val="0061204F"/>
    <w:rsid w:val="006121D5"/>
    <w:rsid w:val="006121F0"/>
    <w:rsid w:val="00612326"/>
    <w:rsid w:val="006123E9"/>
    <w:rsid w:val="006127DA"/>
    <w:rsid w:val="0061288E"/>
    <w:rsid w:val="00612924"/>
    <w:rsid w:val="00612BAB"/>
    <w:rsid w:val="00612D10"/>
    <w:rsid w:val="00612E7A"/>
    <w:rsid w:val="0061313A"/>
    <w:rsid w:val="00613361"/>
    <w:rsid w:val="006137FE"/>
    <w:rsid w:val="00613BEC"/>
    <w:rsid w:val="00613C28"/>
    <w:rsid w:val="00613D55"/>
    <w:rsid w:val="00613F3C"/>
    <w:rsid w:val="0061415E"/>
    <w:rsid w:val="0061443A"/>
    <w:rsid w:val="006144DF"/>
    <w:rsid w:val="00614A7F"/>
    <w:rsid w:val="00614BC8"/>
    <w:rsid w:val="00614E34"/>
    <w:rsid w:val="006150E3"/>
    <w:rsid w:val="0061519C"/>
    <w:rsid w:val="006151A2"/>
    <w:rsid w:val="00615FE8"/>
    <w:rsid w:val="0061618E"/>
    <w:rsid w:val="00616390"/>
    <w:rsid w:val="00616631"/>
    <w:rsid w:val="00616897"/>
    <w:rsid w:val="006170F7"/>
    <w:rsid w:val="00617450"/>
    <w:rsid w:val="006176C2"/>
    <w:rsid w:val="00617741"/>
    <w:rsid w:val="00617AB3"/>
    <w:rsid w:val="0062025A"/>
    <w:rsid w:val="006208FC"/>
    <w:rsid w:val="00620B6D"/>
    <w:rsid w:val="00621296"/>
    <w:rsid w:val="0062147E"/>
    <w:rsid w:val="00621505"/>
    <w:rsid w:val="006215F3"/>
    <w:rsid w:val="0062160C"/>
    <w:rsid w:val="0062180D"/>
    <w:rsid w:val="00621810"/>
    <w:rsid w:val="006223E3"/>
    <w:rsid w:val="006226CB"/>
    <w:rsid w:val="006226FC"/>
    <w:rsid w:val="00622F52"/>
    <w:rsid w:val="006233BB"/>
    <w:rsid w:val="0062372E"/>
    <w:rsid w:val="00623B06"/>
    <w:rsid w:val="00623CD4"/>
    <w:rsid w:val="00624682"/>
    <w:rsid w:val="006247C6"/>
    <w:rsid w:val="006247D9"/>
    <w:rsid w:val="00624FBF"/>
    <w:rsid w:val="00625257"/>
    <w:rsid w:val="00626038"/>
    <w:rsid w:val="006266F1"/>
    <w:rsid w:val="00626948"/>
    <w:rsid w:val="00626AEE"/>
    <w:rsid w:val="00627151"/>
    <w:rsid w:val="00627306"/>
    <w:rsid w:val="0062752A"/>
    <w:rsid w:val="00627909"/>
    <w:rsid w:val="00627A0E"/>
    <w:rsid w:val="00627F26"/>
    <w:rsid w:val="00627FD6"/>
    <w:rsid w:val="0063046F"/>
    <w:rsid w:val="0063081D"/>
    <w:rsid w:val="00630A53"/>
    <w:rsid w:val="00630AA9"/>
    <w:rsid w:val="00630B5B"/>
    <w:rsid w:val="0063106A"/>
    <w:rsid w:val="00631119"/>
    <w:rsid w:val="00631340"/>
    <w:rsid w:val="00631409"/>
    <w:rsid w:val="00631638"/>
    <w:rsid w:val="00631A03"/>
    <w:rsid w:val="00631D1A"/>
    <w:rsid w:val="00631FE6"/>
    <w:rsid w:val="00632273"/>
    <w:rsid w:val="006327C9"/>
    <w:rsid w:val="00632AC7"/>
    <w:rsid w:val="0063309D"/>
    <w:rsid w:val="006333C4"/>
    <w:rsid w:val="0063348D"/>
    <w:rsid w:val="006338E0"/>
    <w:rsid w:val="006339A3"/>
    <w:rsid w:val="00633DAE"/>
    <w:rsid w:val="0063422D"/>
    <w:rsid w:val="00634B96"/>
    <w:rsid w:val="00634C36"/>
    <w:rsid w:val="00634D3B"/>
    <w:rsid w:val="0063521E"/>
    <w:rsid w:val="0063523F"/>
    <w:rsid w:val="00635794"/>
    <w:rsid w:val="00635B71"/>
    <w:rsid w:val="00635E3F"/>
    <w:rsid w:val="00636F42"/>
    <w:rsid w:val="00637087"/>
    <w:rsid w:val="00637917"/>
    <w:rsid w:val="0064100F"/>
    <w:rsid w:val="0064126B"/>
    <w:rsid w:val="006413E8"/>
    <w:rsid w:val="00641462"/>
    <w:rsid w:val="00641689"/>
    <w:rsid w:val="0064238A"/>
    <w:rsid w:val="006424B5"/>
    <w:rsid w:val="00643233"/>
    <w:rsid w:val="00643720"/>
    <w:rsid w:val="00643F3B"/>
    <w:rsid w:val="006440CD"/>
    <w:rsid w:val="00644149"/>
    <w:rsid w:val="0064439A"/>
    <w:rsid w:val="0064465F"/>
    <w:rsid w:val="00644A3E"/>
    <w:rsid w:val="006454CC"/>
    <w:rsid w:val="00645571"/>
    <w:rsid w:val="00645880"/>
    <w:rsid w:val="00645CBA"/>
    <w:rsid w:val="00645DDD"/>
    <w:rsid w:val="00646615"/>
    <w:rsid w:val="00646A4C"/>
    <w:rsid w:val="00646FFD"/>
    <w:rsid w:val="0064713B"/>
    <w:rsid w:val="00647224"/>
    <w:rsid w:val="0065065E"/>
    <w:rsid w:val="006506C9"/>
    <w:rsid w:val="00650AF5"/>
    <w:rsid w:val="00650D46"/>
    <w:rsid w:val="00650ED8"/>
    <w:rsid w:val="00650F08"/>
    <w:rsid w:val="00650FE5"/>
    <w:rsid w:val="006515CF"/>
    <w:rsid w:val="00651CCE"/>
    <w:rsid w:val="00651FD0"/>
    <w:rsid w:val="00652594"/>
    <w:rsid w:val="00652923"/>
    <w:rsid w:val="006534F1"/>
    <w:rsid w:val="0065359D"/>
    <w:rsid w:val="0065397A"/>
    <w:rsid w:val="00653CE2"/>
    <w:rsid w:val="00653D05"/>
    <w:rsid w:val="00653D42"/>
    <w:rsid w:val="00653D8B"/>
    <w:rsid w:val="0065402F"/>
    <w:rsid w:val="006540EE"/>
    <w:rsid w:val="0065462A"/>
    <w:rsid w:val="00654B48"/>
    <w:rsid w:val="00654DC8"/>
    <w:rsid w:val="00654F25"/>
    <w:rsid w:val="0065609E"/>
    <w:rsid w:val="006560D0"/>
    <w:rsid w:val="0065630F"/>
    <w:rsid w:val="00656FAC"/>
    <w:rsid w:val="00657707"/>
    <w:rsid w:val="00657728"/>
    <w:rsid w:val="00657965"/>
    <w:rsid w:val="00660093"/>
    <w:rsid w:val="00660375"/>
    <w:rsid w:val="006604D6"/>
    <w:rsid w:val="006608AC"/>
    <w:rsid w:val="00660E20"/>
    <w:rsid w:val="00660FD1"/>
    <w:rsid w:val="006610C1"/>
    <w:rsid w:val="006611A5"/>
    <w:rsid w:val="00661776"/>
    <w:rsid w:val="0066198D"/>
    <w:rsid w:val="00661B49"/>
    <w:rsid w:val="00661BEF"/>
    <w:rsid w:val="0066280A"/>
    <w:rsid w:val="00662819"/>
    <w:rsid w:val="00662A5B"/>
    <w:rsid w:val="006631EC"/>
    <w:rsid w:val="006632BA"/>
    <w:rsid w:val="006632DF"/>
    <w:rsid w:val="006635A0"/>
    <w:rsid w:val="00663A74"/>
    <w:rsid w:val="00663C15"/>
    <w:rsid w:val="00663F58"/>
    <w:rsid w:val="00664189"/>
    <w:rsid w:val="00664573"/>
    <w:rsid w:val="006646C2"/>
    <w:rsid w:val="006646D7"/>
    <w:rsid w:val="006649A0"/>
    <w:rsid w:val="00664AA9"/>
    <w:rsid w:val="00664CC6"/>
    <w:rsid w:val="00664D2D"/>
    <w:rsid w:val="00664F93"/>
    <w:rsid w:val="006659EB"/>
    <w:rsid w:val="00665F0E"/>
    <w:rsid w:val="00665F44"/>
    <w:rsid w:val="0066604F"/>
    <w:rsid w:val="00666168"/>
    <w:rsid w:val="006664A4"/>
    <w:rsid w:val="00666825"/>
    <w:rsid w:val="00666A5D"/>
    <w:rsid w:val="006674F9"/>
    <w:rsid w:val="0066782C"/>
    <w:rsid w:val="00667934"/>
    <w:rsid w:val="00667D5C"/>
    <w:rsid w:val="00667EA5"/>
    <w:rsid w:val="00667F19"/>
    <w:rsid w:val="00670355"/>
    <w:rsid w:val="006704D7"/>
    <w:rsid w:val="006716A2"/>
    <w:rsid w:val="00671AF4"/>
    <w:rsid w:val="00671D63"/>
    <w:rsid w:val="00671EFC"/>
    <w:rsid w:val="006723E1"/>
    <w:rsid w:val="00672426"/>
    <w:rsid w:val="0067264A"/>
    <w:rsid w:val="0067274D"/>
    <w:rsid w:val="00672C69"/>
    <w:rsid w:val="006730CD"/>
    <w:rsid w:val="006732D8"/>
    <w:rsid w:val="00673923"/>
    <w:rsid w:val="00673B1A"/>
    <w:rsid w:val="00673ECB"/>
    <w:rsid w:val="006746FA"/>
    <w:rsid w:val="006749E1"/>
    <w:rsid w:val="00674A1C"/>
    <w:rsid w:val="00675053"/>
    <w:rsid w:val="006752B3"/>
    <w:rsid w:val="00675358"/>
    <w:rsid w:val="006755D6"/>
    <w:rsid w:val="006757DF"/>
    <w:rsid w:val="00675C85"/>
    <w:rsid w:val="00676010"/>
    <w:rsid w:val="0067677C"/>
    <w:rsid w:val="00676CB9"/>
    <w:rsid w:val="00676F77"/>
    <w:rsid w:val="0067785A"/>
    <w:rsid w:val="00677986"/>
    <w:rsid w:val="00677C6B"/>
    <w:rsid w:val="00680514"/>
    <w:rsid w:val="00680A7D"/>
    <w:rsid w:val="00680B18"/>
    <w:rsid w:val="00680C0B"/>
    <w:rsid w:val="00680C34"/>
    <w:rsid w:val="00680F1D"/>
    <w:rsid w:val="006810AC"/>
    <w:rsid w:val="0068124D"/>
    <w:rsid w:val="0068139A"/>
    <w:rsid w:val="0068141B"/>
    <w:rsid w:val="0068183B"/>
    <w:rsid w:val="00681B45"/>
    <w:rsid w:val="00681E7F"/>
    <w:rsid w:val="00681F20"/>
    <w:rsid w:val="006820C3"/>
    <w:rsid w:val="006825F2"/>
    <w:rsid w:val="00682944"/>
    <w:rsid w:val="00682A5F"/>
    <w:rsid w:val="00682A71"/>
    <w:rsid w:val="0068319E"/>
    <w:rsid w:val="00683E9D"/>
    <w:rsid w:val="006846D9"/>
    <w:rsid w:val="00684D1B"/>
    <w:rsid w:val="00684E32"/>
    <w:rsid w:val="006854D6"/>
    <w:rsid w:val="006854D8"/>
    <w:rsid w:val="00685763"/>
    <w:rsid w:val="00685B40"/>
    <w:rsid w:val="0068609A"/>
    <w:rsid w:val="006860BB"/>
    <w:rsid w:val="006861A9"/>
    <w:rsid w:val="00686310"/>
    <w:rsid w:val="0068634C"/>
    <w:rsid w:val="006866A4"/>
    <w:rsid w:val="00686833"/>
    <w:rsid w:val="006869D3"/>
    <w:rsid w:val="006872CA"/>
    <w:rsid w:val="0068774E"/>
    <w:rsid w:val="006878F9"/>
    <w:rsid w:val="00687D1C"/>
    <w:rsid w:val="00690A4B"/>
    <w:rsid w:val="00690CE1"/>
    <w:rsid w:val="00690E35"/>
    <w:rsid w:val="006916B4"/>
    <w:rsid w:val="00691908"/>
    <w:rsid w:val="00691916"/>
    <w:rsid w:val="006919AE"/>
    <w:rsid w:val="00692297"/>
    <w:rsid w:val="00692475"/>
    <w:rsid w:val="0069292F"/>
    <w:rsid w:val="00692AC6"/>
    <w:rsid w:val="006936CA"/>
    <w:rsid w:val="00693FB3"/>
    <w:rsid w:val="0069405B"/>
    <w:rsid w:val="006940CB"/>
    <w:rsid w:val="00694856"/>
    <w:rsid w:val="0069492D"/>
    <w:rsid w:val="00694B2E"/>
    <w:rsid w:val="006953BC"/>
    <w:rsid w:val="006954E5"/>
    <w:rsid w:val="006958B2"/>
    <w:rsid w:val="00695CE7"/>
    <w:rsid w:val="00695D4C"/>
    <w:rsid w:val="006961F0"/>
    <w:rsid w:val="0069646B"/>
    <w:rsid w:val="00696859"/>
    <w:rsid w:val="006970CE"/>
    <w:rsid w:val="0069737B"/>
    <w:rsid w:val="00697450"/>
    <w:rsid w:val="00697502"/>
    <w:rsid w:val="00697642"/>
    <w:rsid w:val="0069792D"/>
    <w:rsid w:val="00697B37"/>
    <w:rsid w:val="00697B5C"/>
    <w:rsid w:val="00697BB2"/>
    <w:rsid w:val="00697BCC"/>
    <w:rsid w:val="006A02D3"/>
    <w:rsid w:val="006A1225"/>
    <w:rsid w:val="006A138B"/>
    <w:rsid w:val="006A1770"/>
    <w:rsid w:val="006A1798"/>
    <w:rsid w:val="006A17C6"/>
    <w:rsid w:val="006A1872"/>
    <w:rsid w:val="006A2315"/>
    <w:rsid w:val="006A24F2"/>
    <w:rsid w:val="006A25E3"/>
    <w:rsid w:val="006A295E"/>
    <w:rsid w:val="006A302E"/>
    <w:rsid w:val="006A3522"/>
    <w:rsid w:val="006A3824"/>
    <w:rsid w:val="006A3B22"/>
    <w:rsid w:val="006A3BD4"/>
    <w:rsid w:val="006A3E4B"/>
    <w:rsid w:val="006A408E"/>
    <w:rsid w:val="006A4712"/>
    <w:rsid w:val="006A49D5"/>
    <w:rsid w:val="006A4C3D"/>
    <w:rsid w:val="006A540B"/>
    <w:rsid w:val="006A5792"/>
    <w:rsid w:val="006A5E46"/>
    <w:rsid w:val="006A6332"/>
    <w:rsid w:val="006A650A"/>
    <w:rsid w:val="006A66CB"/>
    <w:rsid w:val="006A67C8"/>
    <w:rsid w:val="006A694F"/>
    <w:rsid w:val="006A6A26"/>
    <w:rsid w:val="006A6C18"/>
    <w:rsid w:val="006A6C1A"/>
    <w:rsid w:val="006A710D"/>
    <w:rsid w:val="006A7205"/>
    <w:rsid w:val="006A742B"/>
    <w:rsid w:val="006A74AC"/>
    <w:rsid w:val="006A7701"/>
    <w:rsid w:val="006A780A"/>
    <w:rsid w:val="006A7901"/>
    <w:rsid w:val="006A7DD4"/>
    <w:rsid w:val="006A7ECA"/>
    <w:rsid w:val="006A7F29"/>
    <w:rsid w:val="006A7FE1"/>
    <w:rsid w:val="006B001B"/>
    <w:rsid w:val="006B001F"/>
    <w:rsid w:val="006B0271"/>
    <w:rsid w:val="006B05DE"/>
    <w:rsid w:val="006B0A90"/>
    <w:rsid w:val="006B1764"/>
    <w:rsid w:val="006B1E3B"/>
    <w:rsid w:val="006B1EC3"/>
    <w:rsid w:val="006B2110"/>
    <w:rsid w:val="006B2D5E"/>
    <w:rsid w:val="006B2E0A"/>
    <w:rsid w:val="006B3166"/>
    <w:rsid w:val="006B34BB"/>
    <w:rsid w:val="006B39C9"/>
    <w:rsid w:val="006B3B58"/>
    <w:rsid w:val="006B3C24"/>
    <w:rsid w:val="006B3DB7"/>
    <w:rsid w:val="006B3ED7"/>
    <w:rsid w:val="006B3F17"/>
    <w:rsid w:val="006B41C6"/>
    <w:rsid w:val="006B47B5"/>
    <w:rsid w:val="006B49AA"/>
    <w:rsid w:val="006B4A42"/>
    <w:rsid w:val="006B4A8D"/>
    <w:rsid w:val="006B4B23"/>
    <w:rsid w:val="006B4C69"/>
    <w:rsid w:val="006B4D01"/>
    <w:rsid w:val="006B52FE"/>
    <w:rsid w:val="006B575A"/>
    <w:rsid w:val="006B59CF"/>
    <w:rsid w:val="006B5E04"/>
    <w:rsid w:val="006B6137"/>
    <w:rsid w:val="006B6314"/>
    <w:rsid w:val="006B6857"/>
    <w:rsid w:val="006B6AA5"/>
    <w:rsid w:val="006B6C5B"/>
    <w:rsid w:val="006B6C71"/>
    <w:rsid w:val="006B6EB0"/>
    <w:rsid w:val="006B71CB"/>
    <w:rsid w:val="006B71F5"/>
    <w:rsid w:val="006B7C4C"/>
    <w:rsid w:val="006C0778"/>
    <w:rsid w:val="006C09DC"/>
    <w:rsid w:val="006C1BA0"/>
    <w:rsid w:val="006C1E38"/>
    <w:rsid w:val="006C1F4D"/>
    <w:rsid w:val="006C1F8B"/>
    <w:rsid w:val="006C2018"/>
    <w:rsid w:val="006C2377"/>
    <w:rsid w:val="006C2677"/>
    <w:rsid w:val="006C26BD"/>
    <w:rsid w:val="006C273E"/>
    <w:rsid w:val="006C2AC5"/>
    <w:rsid w:val="006C2BFB"/>
    <w:rsid w:val="006C396C"/>
    <w:rsid w:val="006C413A"/>
    <w:rsid w:val="006C44D5"/>
    <w:rsid w:val="006C527C"/>
    <w:rsid w:val="006C56FC"/>
    <w:rsid w:val="006C5B68"/>
    <w:rsid w:val="006C6051"/>
    <w:rsid w:val="006C6091"/>
    <w:rsid w:val="006C65E4"/>
    <w:rsid w:val="006C6B94"/>
    <w:rsid w:val="006C7023"/>
    <w:rsid w:val="006C7025"/>
    <w:rsid w:val="006C78F5"/>
    <w:rsid w:val="006C7D90"/>
    <w:rsid w:val="006C7FAC"/>
    <w:rsid w:val="006D0167"/>
    <w:rsid w:val="006D0865"/>
    <w:rsid w:val="006D0884"/>
    <w:rsid w:val="006D0CFD"/>
    <w:rsid w:val="006D0D4D"/>
    <w:rsid w:val="006D0DF0"/>
    <w:rsid w:val="006D11A1"/>
    <w:rsid w:val="006D122E"/>
    <w:rsid w:val="006D1553"/>
    <w:rsid w:val="006D1647"/>
    <w:rsid w:val="006D19F6"/>
    <w:rsid w:val="006D1A30"/>
    <w:rsid w:val="006D1C79"/>
    <w:rsid w:val="006D1CEC"/>
    <w:rsid w:val="006D1D9F"/>
    <w:rsid w:val="006D1E28"/>
    <w:rsid w:val="006D232E"/>
    <w:rsid w:val="006D2ACE"/>
    <w:rsid w:val="006D2B4A"/>
    <w:rsid w:val="006D2F2E"/>
    <w:rsid w:val="006D3297"/>
    <w:rsid w:val="006D3A31"/>
    <w:rsid w:val="006D3BAD"/>
    <w:rsid w:val="006D3DAA"/>
    <w:rsid w:val="006D460F"/>
    <w:rsid w:val="006D4692"/>
    <w:rsid w:val="006D472C"/>
    <w:rsid w:val="006D4991"/>
    <w:rsid w:val="006D49EF"/>
    <w:rsid w:val="006D4A40"/>
    <w:rsid w:val="006D4EBA"/>
    <w:rsid w:val="006D5353"/>
    <w:rsid w:val="006D5545"/>
    <w:rsid w:val="006D55D2"/>
    <w:rsid w:val="006D5752"/>
    <w:rsid w:val="006D5998"/>
    <w:rsid w:val="006D6059"/>
    <w:rsid w:val="006D60B0"/>
    <w:rsid w:val="006D6622"/>
    <w:rsid w:val="006D66C6"/>
    <w:rsid w:val="006D68CF"/>
    <w:rsid w:val="006D6B26"/>
    <w:rsid w:val="006D700B"/>
    <w:rsid w:val="006D727B"/>
    <w:rsid w:val="006D74D8"/>
    <w:rsid w:val="006D7751"/>
    <w:rsid w:val="006E00D9"/>
    <w:rsid w:val="006E0DC9"/>
    <w:rsid w:val="006E1114"/>
    <w:rsid w:val="006E1254"/>
    <w:rsid w:val="006E13AF"/>
    <w:rsid w:val="006E166B"/>
    <w:rsid w:val="006E170A"/>
    <w:rsid w:val="006E1CCC"/>
    <w:rsid w:val="006E1D85"/>
    <w:rsid w:val="006E1D9F"/>
    <w:rsid w:val="006E205C"/>
    <w:rsid w:val="006E22DD"/>
    <w:rsid w:val="006E2364"/>
    <w:rsid w:val="006E2681"/>
    <w:rsid w:val="006E26C5"/>
    <w:rsid w:val="006E27DC"/>
    <w:rsid w:val="006E2CDA"/>
    <w:rsid w:val="006E32CE"/>
    <w:rsid w:val="006E32E4"/>
    <w:rsid w:val="006E3319"/>
    <w:rsid w:val="006E36AB"/>
    <w:rsid w:val="006E38CA"/>
    <w:rsid w:val="006E3A4E"/>
    <w:rsid w:val="006E3D63"/>
    <w:rsid w:val="006E3F0D"/>
    <w:rsid w:val="006E4397"/>
    <w:rsid w:val="006E4412"/>
    <w:rsid w:val="006E44F8"/>
    <w:rsid w:val="006E4502"/>
    <w:rsid w:val="006E49F6"/>
    <w:rsid w:val="006E4A8F"/>
    <w:rsid w:val="006E4B6E"/>
    <w:rsid w:val="006E5E16"/>
    <w:rsid w:val="006E5FF8"/>
    <w:rsid w:val="006E614D"/>
    <w:rsid w:val="006E6531"/>
    <w:rsid w:val="006E6B7A"/>
    <w:rsid w:val="006E6EC6"/>
    <w:rsid w:val="006E71B5"/>
    <w:rsid w:val="006E738E"/>
    <w:rsid w:val="006E76E2"/>
    <w:rsid w:val="006E77A1"/>
    <w:rsid w:val="006E7BEC"/>
    <w:rsid w:val="006F0035"/>
    <w:rsid w:val="006F04A5"/>
    <w:rsid w:val="006F04C7"/>
    <w:rsid w:val="006F0684"/>
    <w:rsid w:val="006F0BDB"/>
    <w:rsid w:val="006F0D3A"/>
    <w:rsid w:val="006F0F62"/>
    <w:rsid w:val="006F0F7B"/>
    <w:rsid w:val="006F1A32"/>
    <w:rsid w:val="006F1A98"/>
    <w:rsid w:val="006F2501"/>
    <w:rsid w:val="006F2628"/>
    <w:rsid w:val="006F2864"/>
    <w:rsid w:val="006F2922"/>
    <w:rsid w:val="006F2A31"/>
    <w:rsid w:val="006F37E4"/>
    <w:rsid w:val="006F3B35"/>
    <w:rsid w:val="006F3F56"/>
    <w:rsid w:val="006F446A"/>
    <w:rsid w:val="006F44AA"/>
    <w:rsid w:val="006F49E3"/>
    <w:rsid w:val="006F4A36"/>
    <w:rsid w:val="006F4AD0"/>
    <w:rsid w:val="006F4B9D"/>
    <w:rsid w:val="006F4E7B"/>
    <w:rsid w:val="006F5563"/>
    <w:rsid w:val="006F587A"/>
    <w:rsid w:val="006F5C05"/>
    <w:rsid w:val="006F670E"/>
    <w:rsid w:val="006F6C7A"/>
    <w:rsid w:val="006F6FAD"/>
    <w:rsid w:val="006F74E0"/>
    <w:rsid w:val="006F78A4"/>
    <w:rsid w:val="006F7A60"/>
    <w:rsid w:val="006F7BD4"/>
    <w:rsid w:val="006F7F5A"/>
    <w:rsid w:val="00700069"/>
    <w:rsid w:val="00700152"/>
    <w:rsid w:val="0070030C"/>
    <w:rsid w:val="007005E7"/>
    <w:rsid w:val="007006C8"/>
    <w:rsid w:val="00700BF4"/>
    <w:rsid w:val="00700E4D"/>
    <w:rsid w:val="007011F7"/>
    <w:rsid w:val="0070179D"/>
    <w:rsid w:val="00701CB2"/>
    <w:rsid w:val="0070202F"/>
    <w:rsid w:val="00702235"/>
    <w:rsid w:val="00702895"/>
    <w:rsid w:val="00702B98"/>
    <w:rsid w:val="00702F20"/>
    <w:rsid w:val="007032B0"/>
    <w:rsid w:val="0070330B"/>
    <w:rsid w:val="007034A8"/>
    <w:rsid w:val="0070393C"/>
    <w:rsid w:val="00703963"/>
    <w:rsid w:val="00703A8E"/>
    <w:rsid w:val="00703D42"/>
    <w:rsid w:val="00703D7B"/>
    <w:rsid w:val="00703FAD"/>
    <w:rsid w:val="0070425E"/>
    <w:rsid w:val="007053EC"/>
    <w:rsid w:val="00705B50"/>
    <w:rsid w:val="007060BB"/>
    <w:rsid w:val="00706493"/>
    <w:rsid w:val="0070667A"/>
    <w:rsid w:val="00706712"/>
    <w:rsid w:val="00707120"/>
    <w:rsid w:val="00707E24"/>
    <w:rsid w:val="00707F6B"/>
    <w:rsid w:val="00707F8D"/>
    <w:rsid w:val="007103BE"/>
    <w:rsid w:val="00710D71"/>
    <w:rsid w:val="00710F9C"/>
    <w:rsid w:val="007114E6"/>
    <w:rsid w:val="007114FA"/>
    <w:rsid w:val="00711563"/>
    <w:rsid w:val="00711969"/>
    <w:rsid w:val="007127F0"/>
    <w:rsid w:val="00712B7E"/>
    <w:rsid w:val="00712C62"/>
    <w:rsid w:val="00712F21"/>
    <w:rsid w:val="00712F40"/>
    <w:rsid w:val="007136E6"/>
    <w:rsid w:val="00713C61"/>
    <w:rsid w:val="00713EF0"/>
    <w:rsid w:val="007145B8"/>
    <w:rsid w:val="007149AF"/>
    <w:rsid w:val="00714A67"/>
    <w:rsid w:val="00714F18"/>
    <w:rsid w:val="007159E1"/>
    <w:rsid w:val="00715A82"/>
    <w:rsid w:val="00715BC8"/>
    <w:rsid w:val="0071611E"/>
    <w:rsid w:val="0071614B"/>
    <w:rsid w:val="00716457"/>
    <w:rsid w:val="00716959"/>
    <w:rsid w:val="00716A09"/>
    <w:rsid w:val="00716F81"/>
    <w:rsid w:val="007174A3"/>
    <w:rsid w:val="00717FFC"/>
    <w:rsid w:val="0072003E"/>
    <w:rsid w:val="0072010A"/>
    <w:rsid w:val="00720390"/>
    <w:rsid w:val="00720467"/>
    <w:rsid w:val="00720523"/>
    <w:rsid w:val="007205CD"/>
    <w:rsid w:val="0072076D"/>
    <w:rsid w:val="00720E55"/>
    <w:rsid w:val="00721315"/>
    <w:rsid w:val="007214A2"/>
    <w:rsid w:val="00722277"/>
    <w:rsid w:val="007223B7"/>
    <w:rsid w:val="0072290C"/>
    <w:rsid w:val="007229EA"/>
    <w:rsid w:val="00722A15"/>
    <w:rsid w:val="00722AE1"/>
    <w:rsid w:val="00722E40"/>
    <w:rsid w:val="0072344F"/>
    <w:rsid w:val="00723572"/>
    <w:rsid w:val="00723A8D"/>
    <w:rsid w:val="00723F28"/>
    <w:rsid w:val="00723F9F"/>
    <w:rsid w:val="007240D7"/>
    <w:rsid w:val="007243AA"/>
    <w:rsid w:val="00724B27"/>
    <w:rsid w:val="00724C3D"/>
    <w:rsid w:val="00724F24"/>
    <w:rsid w:val="00724F7F"/>
    <w:rsid w:val="00725220"/>
    <w:rsid w:val="00725A6B"/>
    <w:rsid w:val="00725C32"/>
    <w:rsid w:val="00725FF0"/>
    <w:rsid w:val="0072624A"/>
    <w:rsid w:val="0072694E"/>
    <w:rsid w:val="00726951"/>
    <w:rsid w:val="00726B79"/>
    <w:rsid w:val="0072719B"/>
    <w:rsid w:val="0072734C"/>
    <w:rsid w:val="00727419"/>
    <w:rsid w:val="0072751B"/>
    <w:rsid w:val="00727C46"/>
    <w:rsid w:val="00727FB5"/>
    <w:rsid w:val="0073017F"/>
    <w:rsid w:val="00731006"/>
    <w:rsid w:val="00731022"/>
    <w:rsid w:val="007319C8"/>
    <w:rsid w:val="00731D0E"/>
    <w:rsid w:val="00731E7C"/>
    <w:rsid w:val="007321A5"/>
    <w:rsid w:val="007322D0"/>
    <w:rsid w:val="0073240C"/>
    <w:rsid w:val="007324C3"/>
    <w:rsid w:val="00732591"/>
    <w:rsid w:val="007325BB"/>
    <w:rsid w:val="0073274C"/>
    <w:rsid w:val="00733115"/>
    <w:rsid w:val="00733328"/>
    <w:rsid w:val="00733375"/>
    <w:rsid w:val="00733461"/>
    <w:rsid w:val="007334E7"/>
    <w:rsid w:val="007335D2"/>
    <w:rsid w:val="00733AE5"/>
    <w:rsid w:val="00733AE6"/>
    <w:rsid w:val="00733C77"/>
    <w:rsid w:val="00733D4C"/>
    <w:rsid w:val="00733FE8"/>
    <w:rsid w:val="0073454A"/>
    <w:rsid w:val="007346A9"/>
    <w:rsid w:val="0073480C"/>
    <w:rsid w:val="00734C52"/>
    <w:rsid w:val="00734E90"/>
    <w:rsid w:val="00735578"/>
    <w:rsid w:val="007357DB"/>
    <w:rsid w:val="00735EF3"/>
    <w:rsid w:val="00735FDC"/>
    <w:rsid w:val="007365D2"/>
    <w:rsid w:val="007365DB"/>
    <w:rsid w:val="00736739"/>
    <w:rsid w:val="00736BD0"/>
    <w:rsid w:val="00736CFC"/>
    <w:rsid w:val="00737739"/>
    <w:rsid w:val="007377CD"/>
    <w:rsid w:val="007378A5"/>
    <w:rsid w:val="00737903"/>
    <w:rsid w:val="00737B42"/>
    <w:rsid w:val="00737E8B"/>
    <w:rsid w:val="007409A6"/>
    <w:rsid w:val="00740C9E"/>
    <w:rsid w:val="00740F2B"/>
    <w:rsid w:val="007412DA"/>
    <w:rsid w:val="00741510"/>
    <w:rsid w:val="00741582"/>
    <w:rsid w:val="007419F0"/>
    <w:rsid w:val="00741AC9"/>
    <w:rsid w:val="00741D0C"/>
    <w:rsid w:val="00741DA3"/>
    <w:rsid w:val="0074228E"/>
    <w:rsid w:val="007424CA"/>
    <w:rsid w:val="0074266D"/>
    <w:rsid w:val="007427B0"/>
    <w:rsid w:val="00742EF3"/>
    <w:rsid w:val="007430F9"/>
    <w:rsid w:val="0074338D"/>
    <w:rsid w:val="007437C1"/>
    <w:rsid w:val="0074394F"/>
    <w:rsid w:val="00743A7F"/>
    <w:rsid w:val="00743FF8"/>
    <w:rsid w:val="007441E4"/>
    <w:rsid w:val="007446E9"/>
    <w:rsid w:val="00744C66"/>
    <w:rsid w:val="00744F39"/>
    <w:rsid w:val="00744F51"/>
    <w:rsid w:val="007454B3"/>
    <w:rsid w:val="00745AAF"/>
    <w:rsid w:val="00745B0D"/>
    <w:rsid w:val="00746599"/>
    <w:rsid w:val="00746AC1"/>
    <w:rsid w:val="00747088"/>
    <w:rsid w:val="007475ED"/>
    <w:rsid w:val="00747759"/>
    <w:rsid w:val="007477CC"/>
    <w:rsid w:val="00747EF8"/>
    <w:rsid w:val="0075005B"/>
    <w:rsid w:val="007503FD"/>
    <w:rsid w:val="007506F5"/>
    <w:rsid w:val="007509E7"/>
    <w:rsid w:val="00750A8D"/>
    <w:rsid w:val="00751119"/>
    <w:rsid w:val="00751CD4"/>
    <w:rsid w:val="00751F48"/>
    <w:rsid w:val="007523D8"/>
    <w:rsid w:val="007524D5"/>
    <w:rsid w:val="00752967"/>
    <w:rsid w:val="00752D74"/>
    <w:rsid w:val="00752FEF"/>
    <w:rsid w:val="00753429"/>
    <w:rsid w:val="00753659"/>
    <w:rsid w:val="007539F7"/>
    <w:rsid w:val="00753B2D"/>
    <w:rsid w:val="00753FB9"/>
    <w:rsid w:val="00753FC1"/>
    <w:rsid w:val="007541E0"/>
    <w:rsid w:val="00754310"/>
    <w:rsid w:val="00754369"/>
    <w:rsid w:val="007544EF"/>
    <w:rsid w:val="00754AEC"/>
    <w:rsid w:val="00754C67"/>
    <w:rsid w:val="00754DA6"/>
    <w:rsid w:val="007552FB"/>
    <w:rsid w:val="007555EC"/>
    <w:rsid w:val="00755903"/>
    <w:rsid w:val="00755E18"/>
    <w:rsid w:val="0075625D"/>
    <w:rsid w:val="007568E0"/>
    <w:rsid w:val="00756A17"/>
    <w:rsid w:val="007570D6"/>
    <w:rsid w:val="0075749D"/>
    <w:rsid w:val="007574D2"/>
    <w:rsid w:val="0075758B"/>
    <w:rsid w:val="00757619"/>
    <w:rsid w:val="0075784C"/>
    <w:rsid w:val="00757BB5"/>
    <w:rsid w:val="00757FFB"/>
    <w:rsid w:val="00760750"/>
    <w:rsid w:val="007607B3"/>
    <w:rsid w:val="00760854"/>
    <w:rsid w:val="00760AAA"/>
    <w:rsid w:val="00760B5F"/>
    <w:rsid w:val="00760CF8"/>
    <w:rsid w:val="007610AB"/>
    <w:rsid w:val="007615C7"/>
    <w:rsid w:val="00761A9D"/>
    <w:rsid w:val="00761AF3"/>
    <w:rsid w:val="00761CCE"/>
    <w:rsid w:val="00762939"/>
    <w:rsid w:val="0076296A"/>
    <w:rsid w:val="007632B8"/>
    <w:rsid w:val="0076371F"/>
    <w:rsid w:val="00763ED4"/>
    <w:rsid w:val="0076421D"/>
    <w:rsid w:val="007642D1"/>
    <w:rsid w:val="0076433E"/>
    <w:rsid w:val="007645B3"/>
    <w:rsid w:val="0076547A"/>
    <w:rsid w:val="0076567D"/>
    <w:rsid w:val="007659FC"/>
    <w:rsid w:val="00765BF8"/>
    <w:rsid w:val="00765D9C"/>
    <w:rsid w:val="00765F1E"/>
    <w:rsid w:val="00766423"/>
    <w:rsid w:val="007666FA"/>
    <w:rsid w:val="007668D5"/>
    <w:rsid w:val="00766ADC"/>
    <w:rsid w:val="00767022"/>
    <w:rsid w:val="00767431"/>
    <w:rsid w:val="0076747F"/>
    <w:rsid w:val="007674A5"/>
    <w:rsid w:val="00767A69"/>
    <w:rsid w:val="00767A94"/>
    <w:rsid w:val="00767AB6"/>
    <w:rsid w:val="00767B29"/>
    <w:rsid w:val="00767F73"/>
    <w:rsid w:val="00770706"/>
    <w:rsid w:val="007713BD"/>
    <w:rsid w:val="007715EE"/>
    <w:rsid w:val="007716A3"/>
    <w:rsid w:val="007718A1"/>
    <w:rsid w:val="00771AC5"/>
    <w:rsid w:val="00771CDB"/>
    <w:rsid w:val="00771D1C"/>
    <w:rsid w:val="00771FB2"/>
    <w:rsid w:val="007723F9"/>
    <w:rsid w:val="007725F4"/>
    <w:rsid w:val="0077298B"/>
    <w:rsid w:val="00772AAA"/>
    <w:rsid w:val="00772E20"/>
    <w:rsid w:val="00772E39"/>
    <w:rsid w:val="00772F14"/>
    <w:rsid w:val="00773005"/>
    <w:rsid w:val="00773574"/>
    <w:rsid w:val="00773D47"/>
    <w:rsid w:val="00773FA7"/>
    <w:rsid w:val="0077451D"/>
    <w:rsid w:val="007746B6"/>
    <w:rsid w:val="00775063"/>
    <w:rsid w:val="0077520C"/>
    <w:rsid w:val="007752C5"/>
    <w:rsid w:val="007752D9"/>
    <w:rsid w:val="00775462"/>
    <w:rsid w:val="007756D6"/>
    <w:rsid w:val="00775897"/>
    <w:rsid w:val="00775B4A"/>
    <w:rsid w:val="00775F5D"/>
    <w:rsid w:val="00776074"/>
    <w:rsid w:val="0077626E"/>
    <w:rsid w:val="0077638F"/>
    <w:rsid w:val="00776563"/>
    <w:rsid w:val="007766D8"/>
    <w:rsid w:val="007768F1"/>
    <w:rsid w:val="00776912"/>
    <w:rsid w:val="00776DA5"/>
    <w:rsid w:val="00776F66"/>
    <w:rsid w:val="007772EB"/>
    <w:rsid w:val="00777392"/>
    <w:rsid w:val="00777C9B"/>
    <w:rsid w:val="00780EA7"/>
    <w:rsid w:val="00780FA3"/>
    <w:rsid w:val="007810A4"/>
    <w:rsid w:val="007810F1"/>
    <w:rsid w:val="00781280"/>
    <w:rsid w:val="0078135B"/>
    <w:rsid w:val="00781597"/>
    <w:rsid w:val="007816CF"/>
    <w:rsid w:val="00781E0F"/>
    <w:rsid w:val="0078294D"/>
    <w:rsid w:val="00783029"/>
    <w:rsid w:val="00783416"/>
    <w:rsid w:val="00783710"/>
    <w:rsid w:val="00784F9A"/>
    <w:rsid w:val="00785024"/>
    <w:rsid w:val="00785136"/>
    <w:rsid w:val="0078549A"/>
    <w:rsid w:val="0078550B"/>
    <w:rsid w:val="00785680"/>
    <w:rsid w:val="00785882"/>
    <w:rsid w:val="0078606A"/>
    <w:rsid w:val="00786081"/>
    <w:rsid w:val="007865A1"/>
    <w:rsid w:val="00786C00"/>
    <w:rsid w:val="00786C4F"/>
    <w:rsid w:val="0078705C"/>
    <w:rsid w:val="007875E9"/>
    <w:rsid w:val="0078760F"/>
    <w:rsid w:val="0078782D"/>
    <w:rsid w:val="00787B7B"/>
    <w:rsid w:val="00787B87"/>
    <w:rsid w:val="00787CAA"/>
    <w:rsid w:val="00787D90"/>
    <w:rsid w:val="00787DEE"/>
    <w:rsid w:val="00787E35"/>
    <w:rsid w:val="00790174"/>
    <w:rsid w:val="00790626"/>
    <w:rsid w:val="00790789"/>
    <w:rsid w:val="0079086D"/>
    <w:rsid w:val="00790C09"/>
    <w:rsid w:val="00790E54"/>
    <w:rsid w:val="00790F88"/>
    <w:rsid w:val="0079147E"/>
    <w:rsid w:val="0079158A"/>
    <w:rsid w:val="00791608"/>
    <w:rsid w:val="00791640"/>
    <w:rsid w:val="0079168C"/>
    <w:rsid w:val="007917F6"/>
    <w:rsid w:val="00791992"/>
    <w:rsid w:val="00791C1E"/>
    <w:rsid w:val="00791CD6"/>
    <w:rsid w:val="0079295E"/>
    <w:rsid w:val="00792B86"/>
    <w:rsid w:val="00792C97"/>
    <w:rsid w:val="00792EBD"/>
    <w:rsid w:val="007932F0"/>
    <w:rsid w:val="007932F5"/>
    <w:rsid w:val="007936EB"/>
    <w:rsid w:val="007938B9"/>
    <w:rsid w:val="0079401D"/>
    <w:rsid w:val="0079433F"/>
    <w:rsid w:val="00794340"/>
    <w:rsid w:val="0079490B"/>
    <w:rsid w:val="00794A6A"/>
    <w:rsid w:val="00794C6A"/>
    <w:rsid w:val="00794E0E"/>
    <w:rsid w:val="00794E80"/>
    <w:rsid w:val="007951E3"/>
    <w:rsid w:val="007953B6"/>
    <w:rsid w:val="007957F7"/>
    <w:rsid w:val="00795C77"/>
    <w:rsid w:val="00795F49"/>
    <w:rsid w:val="00795F6E"/>
    <w:rsid w:val="00796184"/>
    <w:rsid w:val="0079673B"/>
    <w:rsid w:val="007967EB"/>
    <w:rsid w:val="00796AF2"/>
    <w:rsid w:val="00796BDB"/>
    <w:rsid w:val="00796F0F"/>
    <w:rsid w:val="00797018"/>
    <w:rsid w:val="007A019C"/>
    <w:rsid w:val="007A05A1"/>
    <w:rsid w:val="007A06A5"/>
    <w:rsid w:val="007A071F"/>
    <w:rsid w:val="007A0878"/>
    <w:rsid w:val="007A0FE9"/>
    <w:rsid w:val="007A1E06"/>
    <w:rsid w:val="007A2074"/>
    <w:rsid w:val="007A267C"/>
    <w:rsid w:val="007A278A"/>
    <w:rsid w:val="007A29AA"/>
    <w:rsid w:val="007A2AFD"/>
    <w:rsid w:val="007A2CCF"/>
    <w:rsid w:val="007A2EC2"/>
    <w:rsid w:val="007A35B9"/>
    <w:rsid w:val="007A3E18"/>
    <w:rsid w:val="007A4199"/>
    <w:rsid w:val="007A42C6"/>
    <w:rsid w:val="007A42D6"/>
    <w:rsid w:val="007A5374"/>
    <w:rsid w:val="007A5946"/>
    <w:rsid w:val="007A5B80"/>
    <w:rsid w:val="007A5C56"/>
    <w:rsid w:val="007A6C62"/>
    <w:rsid w:val="007A76BF"/>
    <w:rsid w:val="007B0679"/>
    <w:rsid w:val="007B068F"/>
    <w:rsid w:val="007B0C01"/>
    <w:rsid w:val="007B0DC0"/>
    <w:rsid w:val="007B1BFA"/>
    <w:rsid w:val="007B2884"/>
    <w:rsid w:val="007B2A76"/>
    <w:rsid w:val="007B2EB9"/>
    <w:rsid w:val="007B3107"/>
    <w:rsid w:val="007B3682"/>
    <w:rsid w:val="007B3B1F"/>
    <w:rsid w:val="007B3B3C"/>
    <w:rsid w:val="007B43A4"/>
    <w:rsid w:val="007B44FB"/>
    <w:rsid w:val="007B4A8D"/>
    <w:rsid w:val="007B4A96"/>
    <w:rsid w:val="007B4BE5"/>
    <w:rsid w:val="007B4EDB"/>
    <w:rsid w:val="007B4F21"/>
    <w:rsid w:val="007B5299"/>
    <w:rsid w:val="007B5511"/>
    <w:rsid w:val="007B5528"/>
    <w:rsid w:val="007B588D"/>
    <w:rsid w:val="007B5DED"/>
    <w:rsid w:val="007B5ECB"/>
    <w:rsid w:val="007B5F23"/>
    <w:rsid w:val="007B653B"/>
    <w:rsid w:val="007B6660"/>
    <w:rsid w:val="007B670E"/>
    <w:rsid w:val="007B6D98"/>
    <w:rsid w:val="007C095E"/>
    <w:rsid w:val="007C1255"/>
    <w:rsid w:val="007C12CF"/>
    <w:rsid w:val="007C1886"/>
    <w:rsid w:val="007C2015"/>
    <w:rsid w:val="007C2478"/>
    <w:rsid w:val="007C24B2"/>
    <w:rsid w:val="007C29B8"/>
    <w:rsid w:val="007C2AE6"/>
    <w:rsid w:val="007C323A"/>
    <w:rsid w:val="007C34E1"/>
    <w:rsid w:val="007C4022"/>
    <w:rsid w:val="007C44CE"/>
    <w:rsid w:val="007C4ACD"/>
    <w:rsid w:val="007C5026"/>
    <w:rsid w:val="007C55F1"/>
    <w:rsid w:val="007C561A"/>
    <w:rsid w:val="007C5C89"/>
    <w:rsid w:val="007C67F8"/>
    <w:rsid w:val="007C6B08"/>
    <w:rsid w:val="007C70E6"/>
    <w:rsid w:val="007C71D4"/>
    <w:rsid w:val="007C733B"/>
    <w:rsid w:val="007D01BE"/>
    <w:rsid w:val="007D0314"/>
    <w:rsid w:val="007D0780"/>
    <w:rsid w:val="007D0810"/>
    <w:rsid w:val="007D112E"/>
    <w:rsid w:val="007D173C"/>
    <w:rsid w:val="007D1B99"/>
    <w:rsid w:val="007D1BE7"/>
    <w:rsid w:val="007D1EFC"/>
    <w:rsid w:val="007D23F1"/>
    <w:rsid w:val="007D2730"/>
    <w:rsid w:val="007D313A"/>
    <w:rsid w:val="007D3A9F"/>
    <w:rsid w:val="007D4188"/>
    <w:rsid w:val="007D41DC"/>
    <w:rsid w:val="007D4BA2"/>
    <w:rsid w:val="007D4EA2"/>
    <w:rsid w:val="007D4F83"/>
    <w:rsid w:val="007D5061"/>
    <w:rsid w:val="007D56B0"/>
    <w:rsid w:val="007D5C79"/>
    <w:rsid w:val="007D5E9B"/>
    <w:rsid w:val="007D5EE4"/>
    <w:rsid w:val="007D5FD9"/>
    <w:rsid w:val="007D6718"/>
    <w:rsid w:val="007D6A6F"/>
    <w:rsid w:val="007D6DFF"/>
    <w:rsid w:val="007D7189"/>
    <w:rsid w:val="007D7B45"/>
    <w:rsid w:val="007E0126"/>
    <w:rsid w:val="007E01B2"/>
    <w:rsid w:val="007E01E2"/>
    <w:rsid w:val="007E01FE"/>
    <w:rsid w:val="007E0580"/>
    <w:rsid w:val="007E0693"/>
    <w:rsid w:val="007E07E3"/>
    <w:rsid w:val="007E09EB"/>
    <w:rsid w:val="007E0C60"/>
    <w:rsid w:val="007E0EA2"/>
    <w:rsid w:val="007E1113"/>
    <w:rsid w:val="007E1477"/>
    <w:rsid w:val="007E1C7E"/>
    <w:rsid w:val="007E1FBB"/>
    <w:rsid w:val="007E2066"/>
    <w:rsid w:val="007E212A"/>
    <w:rsid w:val="007E2268"/>
    <w:rsid w:val="007E22E3"/>
    <w:rsid w:val="007E2A92"/>
    <w:rsid w:val="007E2C2A"/>
    <w:rsid w:val="007E322E"/>
    <w:rsid w:val="007E3538"/>
    <w:rsid w:val="007E3621"/>
    <w:rsid w:val="007E3657"/>
    <w:rsid w:val="007E37D8"/>
    <w:rsid w:val="007E3FAA"/>
    <w:rsid w:val="007E40DA"/>
    <w:rsid w:val="007E40DE"/>
    <w:rsid w:val="007E4131"/>
    <w:rsid w:val="007E433E"/>
    <w:rsid w:val="007E45D6"/>
    <w:rsid w:val="007E4A2F"/>
    <w:rsid w:val="007E4DE7"/>
    <w:rsid w:val="007E4ECC"/>
    <w:rsid w:val="007E4F50"/>
    <w:rsid w:val="007E4F8A"/>
    <w:rsid w:val="007E5398"/>
    <w:rsid w:val="007E5627"/>
    <w:rsid w:val="007E584B"/>
    <w:rsid w:val="007E5BA8"/>
    <w:rsid w:val="007E5D73"/>
    <w:rsid w:val="007E6181"/>
    <w:rsid w:val="007E6569"/>
    <w:rsid w:val="007E6745"/>
    <w:rsid w:val="007E6A1E"/>
    <w:rsid w:val="007E6C9A"/>
    <w:rsid w:val="007E6E02"/>
    <w:rsid w:val="007E6ED9"/>
    <w:rsid w:val="007E6F7B"/>
    <w:rsid w:val="007E795F"/>
    <w:rsid w:val="007E7A9F"/>
    <w:rsid w:val="007F01F4"/>
    <w:rsid w:val="007F0885"/>
    <w:rsid w:val="007F0CBC"/>
    <w:rsid w:val="007F0F38"/>
    <w:rsid w:val="007F0F5C"/>
    <w:rsid w:val="007F10A2"/>
    <w:rsid w:val="007F118B"/>
    <w:rsid w:val="007F254D"/>
    <w:rsid w:val="007F28B8"/>
    <w:rsid w:val="007F2B8A"/>
    <w:rsid w:val="007F2CF0"/>
    <w:rsid w:val="007F2FDD"/>
    <w:rsid w:val="007F30C0"/>
    <w:rsid w:val="007F30D2"/>
    <w:rsid w:val="007F32C5"/>
    <w:rsid w:val="007F3393"/>
    <w:rsid w:val="007F3482"/>
    <w:rsid w:val="007F3522"/>
    <w:rsid w:val="007F361C"/>
    <w:rsid w:val="007F3F39"/>
    <w:rsid w:val="007F420A"/>
    <w:rsid w:val="007F458F"/>
    <w:rsid w:val="007F4695"/>
    <w:rsid w:val="007F4BBF"/>
    <w:rsid w:val="007F4F06"/>
    <w:rsid w:val="007F53CB"/>
    <w:rsid w:val="007F5449"/>
    <w:rsid w:val="007F5B12"/>
    <w:rsid w:val="007F5D6A"/>
    <w:rsid w:val="007F5DC4"/>
    <w:rsid w:val="007F64B0"/>
    <w:rsid w:val="007F6A25"/>
    <w:rsid w:val="007F6CF4"/>
    <w:rsid w:val="007F6DAD"/>
    <w:rsid w:val="007F6DEE"/>
    <w:rsid w:val="007F731E"/>
    <w:rsid w:val="007F743D"/>
    <w:rsid w:val="007F74F7"/>
    <w:rsid w:val="007F77B8"/>
    <w:rsid w:val="007F7B9B"/>
    <w:rsid w:val="007F7CBF"/>
    <w:rsid w:val="007F7E54"/>
    <w:rsid w:val="0080007B"/>
    <w:rsid w:val="0080015C"/>
    <w:rsid w:val="0080029A"/>
    <w:rsid w:val="00800876"/>
    <w:rsid w:val="00800FB9"/>
    <w:rsid w:val="0080162E"/>
    <w:rsid w:val="008019AE"/>
    <w:rsid w:val="00801C82"/>
    <w:rsid w:val="00801E01"/>
    <w:rsid w:val="0080248C"/>
    <w:rsid w:val="0080252A"/>
    <w:rsid w:val="008026FB"/>
    <w:rsid w:val="00802821"/>
    <w:rsid w:val="00802BDC"/>
    <w:rsid w:val="00802D9B"/>
    <w:rsid w:val="00802F07"/>
    <w:rsid w:val="0080339C"/>
    <w:rsid w:val="008035F9"/>
    <w:rsid w:val="00803896"/>
    <w:rsid w:val="00803BB9"/>
    <w:rsid w:val="00803E23"/>
    <w:rsid w:val="00803E74"/>
    <w:rsid w:val="00803FE4"/>
    <w:rsid w:val="0080470E"/>
    <w:rsid w:val="00804786"/>
    <w:rsid w:val="008048E6"/>
    <w:rsid w:val="00804B5E"/>
    <w:rsid w:val="00804B61"/>
    <w:rsid w:val="00804E33"/>
    <w:rsid w:val="00804E83"/>
    <w:rsid w:val="0080502E"/>
    <w:rsid w:val="008050A0"/>
    <w:rsid w:val="00805512"/>
    <w:rsid w:val="00805554"/>
    <w:rsid w:val="0080565C"/>
    <w:rsid w:val="008058DB"/>
    <w:rsid w:val="00805A16"/>
    <w:rsid w:val="008061A3"/>
    <w:rsid w:val="008067D3"/>
    <w:rsid w:val="008069F4"/>
    <w:rsid w:val="00806A39"/>
    <w:rsid w:val="00806B2A"/>
    <w:rsid w:val="00807483"/>
    <w:rsid w:val="008074C4"/>
    <w:rsid w:val="008077E1"/>
    <w:rsid w:val="008100F2"/>
    <w:rsid w:val="008100F4"/>
    <w:rsid w:val="0081012A"/>
    <w:rsid w:val="0081042D"/>
    <w:rsid w:val="008104D1"/>
    <w:rsid w:val="008105B3"/>
    <w:rsid w:val="00810605"/>
    <w:rsid w:val="00810A9C"/>
    <w:rsid w:val="00810FAA"/>
    <w:rsid w:val="00811073"/>
    <w:rsid w:val="0081161D"/>
    <w:rsid w:val="00811C63"/>
    <w:rsid w:val="00811EFB"/>
    <w:rsid w:val="00811FD3"/>
    <w:rsid w:val="008125CD"/>
    <w:rsid w:val="00812B57"/>
    <w:rsid w:val="008131DA"/>
    <w:rsid w:val="008137A3"/>
    <w:rsid w:val="008138A7"/>
    <w:rsid w:val="00814160"/>
    <w:rsid w:val="008141B0"/>
    <w:rsid w:val="00814820"/>
    <w:rsid w:val="00814B0B"/>
    <w:rsid w:val="00814C48"/>
    <w:rsid w:val="00814D80"/>
    <w:rsid w:val="00814D96"/>
    <w:rsid w:val="00815121"/>
    <w:rsid w:val="00815182"/>
    <w:rsid w:val="00815575"/>
    <w:rsid w:val="00815B1C"/>
    <w:rsid w:val="00815D7E"/>
    <w:rsid w:val="008162C4"/>
    <w:rsid w:val="00816E15"/>
    <w:rsid w:val="0081789B"/>
    <w:rsid w:val="00817C44"/>
    <w:rsid w:val="00817EF3"/>
    <w:rsid w:val="008202DE"/>
    <w:rsid w:val="0082093F"/>
    <w:rsid w:val="00820EC6"/>
    <w:rsid w:val="00821016"/>
    <w:rsid w:val="00821096"/>
    <w:rsid w:val="008211CE"/>
    <w:rsid w:val="008212DB"/>
    <w:rsid w:val="00821A03"/>
    <w:rsid w:val="00821C69"/>
    <w:rsid w:val="00822118"/>
    <w:rsid w:val="00822484"/>
    <w:rsid w:val="00822861"/>
    <w:rsid w:val="00822A04"/>
    <w:rsid w:val="00822D26"/>
    <w:rsid w:val="00822DE8"/>
    <w:rsid w:val="00822F90"/>
    <w:rsid w:val="0082302D"/>
    <w:rsid w:val="008234FF"/>
    <w:rsid w:val="008237C5"/>
    <w:rsid w:val="00824418"/>
    <w:rsid w:val="00824551"/>
    <w:rsid w:val="00824740"/>
    <w:rsid w:val="00824765"/>
    <w:rsid w:val="0082481F"/>
    <w:rsid w:val="0082515B"/>
    <w:rsid w:val="0082582D"/>
    <w:rsid w:val="008259B9"/>
    <w:rsid w:val="00825A1E"/>
    <w:rsid w:val="00825BFD"/>
    <w:rsid w:val="00826F31"/>
    <w:rsid w:val="008272E5"/>
    <w:rsid w:val="00827361"/>
    <w:rsid w:val="008274BC"/>
    <w:rsid w:val="00827669"/>
    <w:rsid w:val="008277E6"/>
    <w:rsid w:val="00827C44"/>
    <w:rsid w:val="0083014C"/>
    <w:rsid w:val="0083068D"/>
    <w:rsid w:val="0083073E"/>
    <w:rsid w:val="008307CE"/>
    <w:rsid w:val="008308E0"/>
    <w:rsid w:val="008309EE"/>
    <w:rsid w:val="00830D09"/>
    <w:rsid w:val="00831345"/>
    <w:rsid w:val="00831FFA"/>
    <w:rsid w:val="008326DF"/>
    <w:rsid w:val="00832800"/>
    <w:rsid w:val="0083285D"/>
    <w:rsid w:val="00832E03"/>
    <w:rsid w:val="00833528"/>
    <w:rsid w:val="00833B63"/>
    <w:rsid w:val="00833DB5"/>
    <w:rsid w:val="00833F16"/>
    <w:rsid w:val="00833F52"/>
    <w:rsid w:val="00833F57"/>
    <w:rsid w:val="00834000"/>
    <w:rsid w:val="008342C8"/>
    <w:rsid w:val="00835079"/>
    <w:rsid w:val="008356FC"/>
    <w:rsid w:val="00835735"/>
    <w:rsid w:val="00835FC2"/>
    <w:rsid w:val="008369BF"/>
    <w:rsid w:val="00836AE5"/>
    <w:rsid w:val="00836FA2"/>
    <w:rsid w:val="00837C1A"/>
    <w:rsid w:val="00837D5A"/>
    <w:rsid w:val="00837FBD"/>
    <w:rsid w:val="00840153"/>
    <w:rsid w:val="008401AF"/>
    <w:rsid w:val="0084072C"/>
    <w:rsid w:val="00840834"/>
    <w:rsid w:val="00840841"/>
    <w:rsid w:val="0084087E"/>
    <w:rsid w:val="00840A7E"/>
    <w:rsid w:val="00840E47"/>
    <w:rsid w:val="00840FDF"/>
    <w:rsid w:val="0084133A"/>
    <w:rsid w:val="00841773"/>
    <w:rsid w:val="00841E1D"/>
    <w:rsid w:val="008422FC"/>
    <w:rsid w:val="00842529"/>
    <w:rsid w:val="0084253E"/>
    <w:rsid w:val="00842719"/>
    <w:rsid w:val="0084281A"/>
    <w:rsid w:val="00842B83"/>
    <w:rsid w:val="00843074"/>
    <w:rsid w:val="00843080"/>
    <w:rsid w:val="00843269"/>
    <w:rsid w:val="008432BC"/>
    <w:rsid w:val="00843D9F"/>
    <w:rsid w:val="00843EDB"/>
    <w:rsid w:val="00843F43"/>
    <w:rsid w:val="008441AE"/>
    <w:rsid w:val="00844353"/>
    <w:rsid w:val="00844424"/>
    <w:rsid w:val="00844609"/>
    <w:rsid w:val="0084481C"/>
    <w:rsid w:val="008449B7"/>
    <w:rsid w:val="00844AAA"/>
    <w:rsid w:val="00844B16"/>
    <w:rsid w:val="00844CD8"/>
    <w:rsid w:val="0084558E"/>
    <w:rsid w:val="008455E2"/>
    <w:rsid w:val="008459AC"/>
    <w:rsid w:val="00845EC4"/>
    <w:rsid w:val="00846932"/>
    <w:rsid w:val="00846CDD"/>
    <w:rsid w:val="00846FC4"/>
    <w:rsid w:val="00847030"/>
    <w:rsid w:val="008470BF"/>
    <w:rsid w:val="00847114"/>
    <w:rsid w:val="00847605"/>
    <w:rsid w:val="00847627"/>
    <w:rsid w:val="008477AC"/>
    <w:rsid w:val="008479B8"/>
    <w:rsid w:val="008479D1"/>
    <w:rsid w:val="008509EA"/>
    <w:rsid w:val="008511E8"/>
    <w:rsid w:val="0085172C"/>
    <w:rsid w:val="00851AB3"/>
    <w:rsid w:val="00851C16"/>
    <w:rsid w:val="00851D2A"/>
    <w:rsid w:val="00851D3C"/>
    <w:rsid w:val="0085268A"/>
    <w:rsid w:val="00852CAA"/>
    <w:rsid w:val="00852CB0"/>
    <w:rsid w:val="00852CF5"/>
    <w:rsid w:val="00852F47"/>
    <w:rsid w:val="00852FED"/>
    <w:rsid w:val="00853372"/>
    <w:rsid w:val="008538D8"/>
    <w:rsid w:val="00854301"/>
    <w:rsid w:val="00854928"/>
    <w:rsid w:val="0085500B"/>
    <w:rsid w:val="00855860"/>
    <w:rsid w:val="008558E4"/>
    <w:rsid w:val="00855A2A"/>
    <w:rsid w:val="00855E54"/>
    <w:rsid w:val="00855FAB"/>
    <w:rsid w:val="008562EB"/>
    <w:rsid w:val="00856393"/>
    <w:rsid w:val="00856928"/>
    <w:rsid w:val="00856A06"/>
    <w:rsid w:val="00856BA1"/>
    <w:rsid w:val="00856D6A"/>
    <w:rsid w:val="00856EBF"/>
    <w:rsid w:val="008570AF"/>
    <w:rsid w:val="008570E9"/>
    <w:rsid w:val="008573E2"/>
    <w:rsid w:val="0086040F"/>
    <w:rsid w:val="00860550"/>
    <w:rsid w:val="008606EE"/>
    <w:rsid w:val="00860780"/>
    <w:rsid w:val="008607A0"/>
    <w:rsid w:val="00860B9D"/>
    <w:rsid w:val="00860E33"/>
    <w:rsid w:val="00860E98"/>
    <w:rsid w:val="00861318"/>
    <w:rsid w:val="00861C09"/>
    <w:rsid w:val="00861FC6"/>
    <w:rsid w:val="00861FD7"/>
    <w:rsid w:val="0086276E"/>
    <w:rsid w:val="00862792"/>
    <w:rsid w:val="00862845"/>
    <w:rsid w:val="0086292D"/>
    <w:rsid w:val="008629E0"/>
    <w:rsid w:val="00862A4B"/>
    <w:rsid w:val="00862AC7"/>
    <w:rsid w:val="008630E8"/>
    <w:rsid w:val="00863220"/>
    <w:rsid w:val="008635BC"/>
    <w:rsid w:val="00863910"/>
    <w:rsid w:val="00863C9C"/>
    <w:rsid w:val="00863E81"/>
    <w:rsid w:val="008645B2"/>
    <w:rsid w:val="0086488F"/>
    <w:rsid w:val="00864C47"/>
    <w:rsid w:val="008652F1"/>
    <w:rsid w:val="00865C5C"/>
    <w:rsid w:val="008661CE"/>
    <w:rsid w:val="008663E2"/>
    <w:rsid w:val="00866A5D"/>
    <w:rsid w:val="00866C1E"/>
    <w:rsid w:val="0086714B"/>
    <w:rsid w:val="008671BB"/>
    <w:rsid w:val="008671C9"/>
    <w:rsid w:val="00867692"/>
    <w:rsid w:val="00867AEA"/>
    <w:rsid w:val="00867EF1"/>
    <w:rsid w:val="008700C2"/>
    <w:rsid w:val="008704A2"/>
    <w:rsid w:val="00870542"/>
    <w:rsid w:val="00870724"/>
    <w:rsid w:val="00871032"/>
    <w:rsid w:val="00871D92"/>
    <w:rsid w:val="008726F9"/>
    <w:rsid w:val="0087298B"/>
    <w:rsid w:val="00873093"/>
    <w:rsid w:val="0087311B"/>
    <w:rsid w:val="00873250"/>
    <w:rsid w:val="0087371D"/>
    <w:rsid w:val="008739FD"/>
    <w:rsid w:val="00873B93"/>
    <w:rsid w:val="00873F46"/>
    <w:rsid w:val="0087428F"/>
    <w:rsid w:val="00874362"/>
    <w:rsid w:val="0087449B"/>
    <w:rsid w:val="008745CB"/>
    <w:rsid w:val="00875100"/>
    <w:rsid w:val="00875861"/>
    <w:rsid w:val="008759A5"/>
    <w:rsid w:val="00875F0E"/>
    <w:rsid w:val="0087622E"/>
    <w:rsid w:val="00876444"/>
    <w:rsid w:val="008765A6"/>
    <w:rsid w:val="00876968"/>
    <w:rsid w:val="0087698D"/>
    <w:rsid w:val="00876D4C"/>
    <w:rsid w:val="00876F8F"/>
    <w:rsid w:val="008772EE"/>
    <w:rsid w:val="00877CCD"/>
    <w:rsid w:val="00877EBB"/>
    <w:rsid w:val="00877F70"/>
    <w:rsid w:val="0088008F"/>
    <w:rsid w:val="0088018C"/>
    <w:rsid w:val="00880279"/>
    <w:rsid w:val="00880383"/>
    <w:rsid w:val="008809F1"/>
    <w:rsid w:val="00880AA0"/>
    <w:rsid w:val="00880C97"/>
    <w:rsid w:val="00880EC2"/>
    <w:rsid w:val="00881166"/>
    <w:rsid w:val="0088179B"/>
    <w:rsid w:val="008817E6"/>
    <w:rsid w:val="00881A0D"/>
    <w:rsid w:val="00881BE5"/>
    <w:rsid w:val="00881CFD"/>
    <w:rsid w:val="00881E08"/>
    <w:rsid w:val="00881EF8"/>
    <w:rsid w:val="0088206C"/>
    <w:rsid w:val="00882485"/>
    <w:rsid w:val="00882A92"/>
    <w:rsid w:val="00882ABD"/>
    <w:rsid w:val="00882AF9"/>
    <w:rsid w:val="00882D4F"/>
    <w:rsid w:val="00882F19"/>
    <w:rsid w:val="0088318C"/>
    <w:rsid w:val="008836C9"/>
    <w:rsid w:val="00883778"/>
    <w:rsid w:val="00883B1D"/>
    <w:rsid w:val="00883BCE"/>
    <w:rsid w:val="00884129"/>
    <w:rsid w:val="008841E3"/>
    <w:rsid w:val="0088445F"/>
    <w:rsid w:val="008844C5"/>
    <w:rsid w:val="00884CB8"/>
    <w:rsid w:val="0088516C"/>
    <w:rsid w:val="0088532D"/>
    <w:rsid w:val="0088542A"/>
    <w:rsid w:val="008856E9"/>
    <w:rsid w:val="00885774"/>
    <w:rsid w:val="008858D3"/>
    <w:rsid w:val="008858FE"/>
    <w:rsid w:val="00885B40"/>
    <w:rsid w:val="00885EAA"/>
    <w:rsid w:val="00885F45"/>
    <w:rsid w:val="00885FB6"/>
    <w:rsid w:val="00886466"/>
    <w:rsid w:val="008865BB"/>
    <w:rsid w:val="008865D4"/>
    <w:rsid w:val="008868E5"/>
    <w:rsid w:val="008869E5"/>
    <w:rsid w:val="00886C79"/>
    <w:rsid w:val="00886DE5"/>
    <w:rsid w:val="00886DF2"/>
    <w:rsid w:val="0088711A"/>
    <w:rsid w:val="008874FB"/>
    <w:rsid w:val="00890412"/>
    <w:rsid w:val="00890438"/>
    <w:rsid w:val="008904B8"/>
    <w:rsid w:val="0089073A"/>
    <w:rsid w:val="008909B3"/>
    <w:rsid w:val="00890D19"/>
    <w:rsid w:val="00890F36"/>
    <w:rsid w:val="00891819"/>
    <w:rsid w:val="00891B82"/>
    <w:rsid w:val="00891C72"/>
    <w:rsid w:val="00891E94"/>
    <w:rsid w:val="008927A9"/>
    <w:rsid w:val="00892C24"/>
    <w:rsid w:val="00892D52"/>
    <w:rsid w:val="0089308D"/>
    <w:rsid w:val="008933AF"/>
    <w:rsid w:val="00893429"/>
    <w:rsid w:val="00893960"/>
    <w:rsid w:val="00893AF3"/>
    <w:rsid w:val="00894262"/>
    <w:rsid w:val="0089434E"/>
    <w:rsid w:val="00894A98"/>
    <w:rsid w:val="00894AE7"/>
    <w:rsid w:val="00894CB2"/>
    <w:rsid w:val="00895105"/>
    <w:rsid w:val="008951F2"/>
    <w:rsid w:val="00895B78"/>
    <w:rsid w:val="00896299"/>
    <w:rsid w:val="00896336"/>
    <w:rsid w:val="0089648C"/>
    <w:rsid w:val="0089655C"/>
    <w:rsid w:val="0089680E"/>
    <w:rsid w:val="00896CCD"/>
    <w:rsid w:val="00896D49"/>
    <w:rsid w:val="0089735E"/>
    <w:rsid w:val="0089753D"/>
    <w:rsid w:val="008977C3"/>
    <w:rsid w:val="0089781D"/>
    <w:rsid w:val="008978AA"/>
    <w:rsid w:val="00897DCA"/>
    <w:rsid w:val="008A0780"/>
    <w:rsid w:val="008A0838"/>
    <w:rsid w:val="008A0C39"/>
    <w:rsid w:val="008A0E2A"/>
    <w:rsid w:val="008A1240"/>
    <w:rsid w:val="008A1A46"/>
    <w:rsid w:val="008A1C4F"/>
    <w:rsid w:val="008A1DD8"/>
    <w:rsid w:val="008A256D"/>
    <w:rsid w:val="008A2943"/>
    <w:rsid w:val="008A2A40"/>
    <w:rsid w:val="008A2B40"/>
    <w:rsid w:val="008A3766"/>
    <w:rsid w:val="008A379B"/>
    <w:rsid w:val="008A3AB6"/>
    <w:rsid w:val="008A3BD1"/>
    <w:rsid w:val="008A3E95"/>
    <w:rsid w:val="008A420A"/>
    <w:rsid w:val="008A4900"/>
    <w:rsid w:val="008A4973"/>
    <w:rsid w:val="008A4AB5"/>
    <w:rsid w:val="008A4F89"/>
    <w:rsid w:val="008A57C4"/>
    <w:rsid w:val="008A5962"/>
    <w:rsid w:val="008A5A11"/>
    <w:rsid w:val="008A5E10"/>
    <w:rsid w:val="008A5E77"/>
    <w:rsid w:val="008A5F8C"/>
    <w:rsid w:val="008A6393"/>
    <w:rsid w:val="008A644D"/>
    <w:rsid w:val="008A685E"/>
    <w:rsid w:val="008A6D3D"/>
    <w:rsid w:val="008A73B8"/>
    <w:rsid w:val="008A7759"/>
    <w:rsid w:val="008A7760"/>
    <w:rsid w:val="008B0421"/>
    <w:rsid w:val="008B04EA"/>
    <w:rsid w:val="008B0C4C"/>
    <w:rsid w:val="008B10BE"/>
    <w:rsid w:val="008B168D"/>
    <w:rsid w:val="008B1A63"/>
    <w:rsid w:val="008B2661"/>
    <w:rsid w:val="008B2699"/>
    <w:rsid w:val="008B3385"/>
    <w:rsid w:val="008B342E"/>
    <w:rsid w:val="008B35D6"/>
    <w:rsid w:val="008B365A"/>
    <w:rsid w:val="008B36C3"/>
    <w:rsid w:val="008B3787"/>
    <w:rsid w:val="008B38B0"/>
    <w:rsid w:val="008B3C02"/>
    <w:rsid w:val="008B413E"/>
    <w:rsid w:val="008B455C"/>
    <w:rsid w:val="008B457E"/>
    <w:rsid w:val="008B469A"/>
    <w:rsid w:val="008B48C5"/>
    <w:rsid w:val="008B49E0"/>
    <w:rsid w:val="008B49E3"/>
    <w:rsid w:val="008B51DD"/>
    <w:rsid w:val="008B5251"/>
    <w:rsid w:val="008B5819"/>
    <w:rsid w:val="008B59AB"/>
    <w:rsid w:val="008B59B8"/>
    <w:rsid w:val="008B5BA1"/>
    <w:rsid w:val="008B5BBE"/>
    <w:rsid w:val="008B5D90"/>
    <w:rsid w:val="008B67D3"/>
    <w:rsid w:val="008B6996"/>
    <w:rsid w:val="008B6EBD"/>
    <w:rsid w:val="008B724C"/>
    <w:rsid w:val="008B7398"/>
    <w:rsid w:val="008B7553"/>
    <w:rsid w:val="008B7765"/>
    <w:rsid w:val="008C0190"/>
    <w:rsid w:val="008C031B"/>
    <w:rsid w:val="008C03B4"/>
    <w:rsid w:val="008C0551"/>
    <w:rsid w:val="008C0824"/>
    <w:rsid w:val="008C09BC"/>
    <w:rsid w:val="008C09C3"/>
    <w:rsid w:val="008C0C70"/>
    <w:rsid w:val="008C0F20"/>
    <w:rsid w:val="008C0F7D"/>
    <w:rsid w:val="008C0FF0"/>
    <w:rsid w:val="008C101F"/>
    <w:rsid w:val="008C11CA"/>
    <w:rsid w:val="008C1241"/>
    <w:rsid w:val="008C15B8"/>
    <w:rsid w:val="008C1B48"/>
    <w:rsid w:val="008C1B6D"/>
    <w:rsid w:val="008C1D47"/>
    <w:rsid w:val="008C1DA8"/>
    <w:rsid w:val="008C24C2"/>
    <w:rsid w:val="008C2581"/>
    <w:rsid w:val="008C2AC7"/>
    <w:rsid w:val="008C2E07"/>
    <w:rsid w:val="008C2EC9"/>
    <w:rsid w:val="008C2FC8"/>
    <w:rsid w:val="008C346C"/>
    <w:rsid w:val="008C377D"/>
    <w:rsid w:val="008C378C"/>
    <w:rsid w:val="008C4607"/>
    <w:rsid w:val="008C47A2"/>
    <w:rsid w:val="008C4D6D"/>
    <w:rsid w:val="008C51F0"/>
    <w:rsid w:val="008C5368"/>
    <w:rsid w:val="008C546F"/>
    <w:rsid w:val="008C5610"/>
    <w:rsid w:val="008C58F5"/>
    <w:rsid w:val="008C6E7E"/>
    <w:rsid w:val="008C6F7B"/>
    <w:rsid w:val="008C7563"/>
    <w:rsid w:val="008C7572"/>
    <w:rsid w:val="008C7EC8"/>
    <w:rsid w:val="008D0249"/>
    <w:rsid w:val="008D04BB"/>
    <w:rsid w:val="008D0A62"/>
    <w:rsid w:val="008D0DC7"/>
    <w:rsid w:val="008D0E5A"/>
    <w:rsid w:val="008D0F0B"/>
    <w:rsid w:val="008D12C4"/>
    <w:rsid w:val="008D12D4"/>
    <w:rsid w:val="008D18B4"/>
    <w:rsid w:val="008D1EA8"/>
    <w:rsid w:val="008D22A3"/>
    <w:rsid w:val="008D2503"/>
    <w:rsid w:val="008D28E5"/>
    <w:rsid w:val="008D2A89"/>
    <w:rsid w:val="008D2C71"/>
    <w:rsid w:val="008D2EAD"/>
    <w:rsid w:val="008D307D"/>
    <w:rsid w:val="008D31F2"/>
    <w:rsid w:val="008D3281"/>
    <w:rsid w:val="008D3669"/>
    <w:rsid w:val="008D36C1"/>
    <w:rsid w:val="008D379B"/>
    <w:rsid w:val="008D37A4"/>
    <w:rsid w:val="008D39BE"/>
    <w:rsid w:val="008D3A01"/>
    <w:rsid w:val="008D3A38"/>
    <w:rsid w:val="008D3A71"/>
    <w:rsid w:val="008D3B09"/>
    <w:rsid w:val="008D3E9C"/>
    <w:rsid w:val="008D41E2"/>
    <w:rsid w:val="008D4ADE"/>
    <w:rsid w:val="008D4EAE"/>
    <w:rsid w:val="008D519D"/>
    <w:rsid w:val="008D53A6"/>
    <w:rsid w:val="008D542E"/>
    <w:rsid w:val="008D5475"/>
    <w:rsid w:val="008D57B7"/>
    <w:rsid w:val="008D5A31"/>
    <w:rsid w:val="008D65F6"/>
    <w:rsid w:val="008D6632"/>
    <w:rsid w:val="008D6A7F"/>
    <w:rsid w:val="008D6CBB"/>
    <w:rsid w:val="008D7147"/>
    <w:rsid w:val="008D7399"/>
    <w:rsid w:val="008D77ED"/>
    <w:rsid w:val="008E0A88"/>
    <w:rsid w:val="008E0D94"/>
    <w:rsid w:val="008E0F71"/>
    <w:rsid w:val="008E1D48"/>
    <w:rsid w:val="008E1EB7"/>
    <w:rsid w:val="008E2181"/>
    <w:rsid w:val="008E25A3"/>
    <w:rsid w:val="008E25B7"/>
    <w:rsid w:val="008E263E"/>
    <w:rsid w:val="008E28EB"/>
    <w:rsid w:val="008E2C14"/>
    <w:rsid w:val="008E329A"/>
    <w:rsid w:val="008E3D5F"/>
    <w:rsid w:val="008E4466"/>
    <w:rsid w:val="008E44B6"/>
    <w:rsid w:val="008E4B64"/>
    <w:rsid w:val="008E4D64"/>
    <w:rsid w:val="008E4E4C"/>
    <w:rsid w:val="008E4F85"/>
    <w:rsid w:val="008E513B"/>
    <w:rsid w:val="008E54C6"/>
    <w:rsid w:val="008E58A7"/>
    <w:rsid w:val="008E5BF1"/>
    <w:rsid w:val="008E5C71"/>
    <w:rsid w:val="008E6CE1"/>
    <w:rsid w:val="008E6D8C"/>
    <w:rsid w:val="008E6F58"/>
    <w:rsid w:val="008E70F2"/>
    <w:rsid w:val="008E7309"/>
    <w:rsid w:val="008E7540"/>
    <w:rsid w:val="008E7622"/>
    <w:rsid w:val="008E7808"/>
    <w:rsid w:val="008F004D"/>
    <w:rsid w:val="008F0CF9"/>
    <w:rsid w:val="008F1071"/>
    <w:rsid w:val="008F14B0"/>
    <w:rsid w:val="008F158C"/>
    <w:rsid w:val="008F1747"/>
    <w:rsid w:val="008F1B97"/>
    <w:rsid w:val="008F1BBB"/>
    <w:rsid w:val="008F1C41"/>
    <w:rsid w:val="008F2036"/>
    <w:rsid w:val="008F21B8"/>
    <w:rsid w:val="008F35C4"/>
    <w:rsid w:val="008F3BE8"/>
    <w:rsid w:val="008F3C71"/>
    <w:rsid w:val="008F448A"/>
    <w:rsid w:val="008F4599"/>
    <w:rsid w:val="008F48DC"/>
    <w:rsid w:val="008F4A2F"/>
    <w:rsid w:val="008F4A88"/>
    <w:rsid w:val="008F4A89"/>
    <w:rsid w:val="008F5234"/>
    <w:rsid w:val="008F534A"/>
    <w:rsid w:val="008F5514"/>
    <w:rsid w:val="008F58ED"/>
    <w:rsid w:val="008F59FD"/>
    <w:rsid w:val="008F5AC7"/>
    <w:rsid w:val="008F5E8D"/>
    <w:rsid w:val="008F608F"/>
    <w:rsid w:val="008F6424"/>
    <w:rsid w:val="008F646A"/>
    <w:rsid w:val="008F6D0F"/>
    <w:rsid w:val="008F70D9"/>
    <w:rsid w:val="008F7327"/>
    <w:rsid w:val="008F74E5"/>
    <w:rsid w:val="008F7DA5"/>
    <w:rsid w:val="009000AC"/>
    <w:rsid w:val="009001E1"/>
    <w:rsid w:val="009009B9"/>
    <w:rsid w:val="00900DEB"/>
    <w:rsid w:val="00900E2F"/>
    <w:rsid w:val="0090139F"/>
    <w:rsid w:val="009015EA"/>
    <w:rsid w:val="00901794"/>
    <w:rsid w:val="009021C4"/>
    <w:rsid w:val="009022FB"/>
    <w:rsid w:val="009023E3"/>
    <w:rsid w:val="0090263A"/>
    <w:rsid w:val="00902B1B"/>
    <w:rsid w:val="00902DD6"/>
    <w:rsid w:val="0090369B"/>
    <w:rsid w:val="00903A15"/>
    <w:rsid w:val="00903AC6"/>
    <w:rsid w:val="00903E2F"/>
    <w:rsid w:val="00903F3E"/>
    <w:rsid w:val="00904008"/>
    <w:rsid w:val="009041AC"/>
    <w:rsid w:val="009043EA"/>
    <w:rsid w:val="00904588"/>
    <w:rsid w:val="009049D8"/>
    <w:rsid w:val="00904D60"/>
    <w:rsid w:val="00905242"/>
    <w:rsid w:val="0090596A"/>
    <w:rsid w:val="00906237"/>
    <w:rsid w:val="0090638A"/>
    <w:rsid w:val="00906525"/>
    <w:rsid w:val="00906607"/>
    <w:rsid w:val="0090677C"/>
    <w:rsid w:val="00906793"/>
    <w:rsid w:val="00906DBA"/>
    <w:rsid w:val="00906EFB"/>
    <w:rsid w:val="00907D9A"/>
    <w:rsid w:val="00907F3F"/>
    <w:rsid w:val="0091007E"/>
    <w:rsid w:val="00910266"/>
    <w:rsid w:val="009102DB"/>
    <w:rsid w:val="009103F4"/>
    <w:rsid w:val="009104D1"/>
    <w:rsid w:val="0091060A"/>
    <w:rsid w:val="009107CE"/>
    <w:rsid w:val="00910FCE"/>
    <w:rsid w:val="00911091"/>
    <w:rsid w:val="00911675"/>
    <w:rsid w:val="009116EE"/>
    <w:rsid w:val="00911765"/>
    <w:rsid w:val="00911DB5"/>
    <w:rsid w:val="00911EB8"/>
    <w:rsid w:val="009124BB"/>
    <w:rsid w:val="0091280D"/>
    <w:rsid w:val="00912867"/>
    <w:rsid w:val="00912BF1"/>
    <w:rsid w:val="00912D01"/>
    <w:rsid w:val="00912EA3"/>
    <w:rsid w:val="00913188"/>
    <w:rsid w:val="0091325C"/>
    <w:rsid w:val="009134E4"/>
    <w:rsid w:val="00913A3E"/>
    <w:rsid w:val="00913DBA"/>
    <w:rsid w:val="0091415D"/>
    <w:rsid w:val="009142B1"/>
    <w:rsid w:val="00914437"/>
    <w:rsid w:val="00914653"/>
    <w:rsid w:val="009148B4"/>
    <w:rsid w:val="009150B1"/>
    <w:rsid w:val="0091542A"/>
    <w:rsid w:val="009154FB"/>
    <w:rsid w:val="009156FB"/>
    <w:rsid w:val="00915723"/>
    <w:rsid w:val="009157BD"/>
    <w:rsid w:val="00915CAC"/>
    <w:rsid w:val="00915CB6"/>
    <w:rsid w:val="00915FD1"/>
    <w:rsid w:val="00916C85"/>
    <w:rsid w:val="00916D34"/>
    <w:rsid w:val="00916F97"/>
    <w:rsid w:val="0091728A"/>
    <w:rsid w:val="00917538"/>
    <w:rsid w:val="009175BE"/>
    <w:rsid w:val="00917608"/>
    <w:rsid w:val="00917CB6"/>
    <w:rsid w:val="00917E5A"/>
    <w:rsid w:val="00917F74"/>
    <w:rsid w:val="0092017C"/>
    <w:rsid w:val="00920477"/>
    <w:rsid w:val="009208EB"/>
    <w:rsid w:val="009209DE"/>
    <w:rsid w:val="00920F76"/>
    <w:rsid w:val="00921121"/>
    <w:rsid w:val="009211CE"/>
    <w:rsid w:val="009212D6"/>
    <w:rsid w:val="00921436"/>
    <w:rsid w:val="009216B5"/>
    <w:rsid w:val="00921CB3"/>
    <w:rsid w:val="00922091"/>
    <w:rsid w:val="00922101"/>
    <w:rsid w:val="0092225B"/>
    <w:rsid w:val="0092290B"/>
    <w:rsid w:val="00922A0C"/>
    <w:rsid w:val="00923590"/>
    <w:rsid w:val="009235A3"/>
    <w:rsid w:val="009236FA"/>
    <w:rsid w:val="009239D2"/>
    <w:rsid w:val="00923B0C"/>
    <w:rsid w:val="00923B6E"/>
    <w:rsid w:val="00923DAE"/>
    <w:rsid w:val="00924369"/>
    <w:rsid w:val="00924B72"/>
    <w:rsid w:val="00924F7C"/>
    <w:rsid w:val="009250BF"/>
    <w:rsid w:val="009250F6"/>
    <w:rsid w:val="009251DA"/>
    <w:rsid w:val="0092527A"/>
    <w:rsid w:val="009255F8"/>
    <w:rsid w:val="0092574F"/>
    <w:rsid w:val="0092583B"/>
    <w:rsid w:val="00925927"/>
    <w:rsid w:val="00925B0B"/>
    <w:rsid w:val="00925B2A"/>
    <w:rsid w:val="00925EF3"/>
    <w:rsid w:val="00926095"/>
    <w:rsid w:val="009261E4"/>
    <w:rsid w:val="009264DF"/>
    <w:rsid w:val="0092734C"/>
    <w:rsid w:val="00927894"/>
    <w:rsid w:val="00927D34"/>
    <w:rsid w:val="009303EB"/>
    <w:rsid w:val="00930786"/>
    <w:rsid w:val="00930B85"/>
    <w:rsid w:val="00930C25"/>
    <w:rsid w:val="00930DEE"/>
    <w:rsid w:val="00931603"/>
    <w:rsid w:val="009319C5"/>
    <w:rsid w:val="00931BA5"/>
    <w:rsid w:val="00931DAE"/>
    <w:rsid w:val="009325E6"/>
    <w:rsid w:val="009329F5"/>
    <w:rsid w:val="00932A96"/>
    <w:rsid w:val="00932DCB"/>
    <w:rsid w:val="00933104"/>
    <w:rsid w:val="0093339E"/>
    <w:rsid w:val="009333CA"/>
    <w:rsid w:val="00933405"/>
    <w:rsid w:val="00933626"/>
    <w:rsid w:val="00933E67"/>
    <w:rsid w:val="00934242"/>
    <w:rsid w:val="00934DA3"/>
    <w:rsid w:val="00934F77"/>
    <w:rsid w:val="009350B6"/>
    <w:rsid w:val="009351BF"/>
    <w:rsid w:val="00935290"/>
    <w:rsid w:val="009352EF"/>
    <w:rsid w:val="009353A8"/>
    <w:rsid w:val="00935515"/>
    <w:rsid w:val="00935C52"/>
    <w:rsid w:val="00935DE6"/>
    <w:rsid w:val="0093623F"/>
    <w:rsid w:val="009362E8"/>
    <w:rsid w:val="009366BB"/>
    <w:rsid w:val="0093677F"/>
    <w:rsid w:val="009369B0"/>
    <w:rsid w:val="009369D1"/>
    <w:rsid w:val="00936B43"/>
    <w:rsid w:val="00936C4B"/>
    <w:rsid w:val="00940054"/>
    <w:rsid w:val="0094008E"/>
    <w:rsid w:val="0094051C"/>
    <w:rsid w:val="00940659"/>
    <w:rsid w:val="00940972"/>
    <w:rsid w:val="00940A73"/>
    <w:rsid w:val="00940B8A"/>
    <w:rsid w:val="00940C32"/>
    <w:rsid w:val="00940CAF"/>
    <w:rsid w:val="009410A4"/>
    <w:rsid w:val="00941521"/>
    <w:rsid w:val="009417E3"/>
    <w:rsid w:val="009418A0"/>
    <w:rsid w:val="009418CB"/>
    <w:rsid w:val="00941CC9"/>
    <w:rsid w:val="00941CF8"/>
    <w:rsid w:val="00942004"/>
    <w:rsid w:val="009423F0"/>
    <w:rsid w:val="009423F8"/>
    <w:rsid w:val="00942A91"/>
    <w:rsid w:val="00942B1B"/>
    <w:rsid w:val="00942E92"/>
    <w:rsid w:val="00943138"/>
    <w:rsid w:val="00943313"/>
    <w:rsid w:val="00943344"/>
    <w:rsid w:val="00943467"/>
    <w:rsid w:val="009435B6"/>
    <w:rsid w:val="0094362A"/>
    <w:rsid w:val="009436B3"/>
    <w:rsid w:val="00943943"/>
    <w:rsid w:val="00943E51"/>
    <w:rsid w:val="00944581"/>
    <w:rsid w:val="00945B0D"/>
    <w:rsid w:val="00945DE6"/>
    <w:rsid w:val="00945E78"/>
    <w:rsid w:val="00945FE5"/>
    <w:rsid w:val="009461EF"/>
    <w:rsid w:val="0094620B"/>
    <w:rsid w:val="00946293"/>
    <w:rsid w:val="00946866"/>
    <w:rsid w:val="00946D29"/>
    <w:rsid w:val="00947504"/>
    <w:rsid w:val="00947815"/>
    <w:rsid w:val="00947AF4"/>
    <w:rsid w:val="00947F0A"/>
    <w:rsid w:val="009500A9"/>
    <w:rsid w:val="009501F2"/>
    <w:rsid w:val="0095026E"/>
    <w:rsid w:val="00950EB1"/>
    <w:rsid w:val="00951387"/>
    <w:rsid w:val="00951DFE"/>
    <w:rsid w:val="00952004"/>
    <w:rsid w:val="0095243E"/>
    <w:rsid w:val="0095269D"/>
    <w:rsid w:val="00952B2F"/>
    <w:rsid w:val="00952D43"/>
    <w:rsid w:val="00952E33"/>
    <w:rsid w:val="00953F36"/>
    <w:rsid w:val="00953F73"/>
    <w:rsid w:val="00954054"/>
    <w:rsid w:val="009544BA"/>
    <w:rsid w:val="0095453A"/>
    <w:rsid w:val="00954811"/>
    <w:rsid w:val="00954872"/>
    <w:rsid w:val="00954A54"/>
    <w:rsid w:val="00955725"/>
    <w:rsid w:val="009557FB"/>
    <w:rsid w:val="00955977"/>
    <w:rsid w:val="0095618B"/>
    <w:rsid w:val="00956670"/>
    <w:rsid w:val="0095672D"/>
    <w:rsid w:val="0095685A"/>
    <w:rsid w:val="0095687E"/>
    <w:rsid w:val="00956934"/>
    <w:rsid w:val="009569B2"/>
    <w:rsid w:val="00956F15"/>
    <w:rsid w:val="00957005"/>
    <w:rsid w:val="0095718C"/>
    <w:rsid w:val="00957C30"/>
    <w:rsid w:val="00957CB6"/>
    <w:rsid w:val="00960116"/>
    <w:rsid w:val="0096022E"/>
    <w:rsid w:val="00960AD1"/>
    <w:rsid w:val="00960CA0"/>
    <w:rsid w:val="00960ECD"/>
    <w:rsid w:val="009610EC"/>
    <w:rsid w:val="0096116A"/>
    <w:rsid w:val="00961BE1"/>
    <w:rsid w:val="00961C24"/>
    <w:rsid w:val="00962108"/>
    <w:rsid w:val="00962155"/>
    <w:rsid w:val="0096243A"/>
    <w:rsid w:val="009624CF"/>
    <w:rsid w:val="00962557"/>
    <w:rsid w:val="00962E15"/>
    <w:rsid w:val="00962EC9"/>
    <w:rsid w:val="00963174"/>
    <w:rsid w:val="00963CB2"/>
    <w:rsid w:val="00963FC3"/>
    <w:rsid w:val="00963FE7"/>
    <w:rsid w:val="009640FD"/>
    <w:rsid w:val="00964319"/>
    <w:rsid w:val="009643A5"/>
    <w:rsid w:val="0096457D"/>
    <w:rsid w:val="00964606"/>
    <w:rsid w:val="00964642"/>
    <w:rsid w:val="0096474B"/>
    <w:rsid w:val="0096477D"/>
    <w:rsid w:val="00964BA2"/>
    <w:rsid w:val="00964FBB"/>
    <w:rsid w:val="0096500D"/>
    <w:rsid w:val="00965239"/>
    <w:rsid w:val="009655C9"/>
    <w:rsid w:val="00965676"/>
    <w:rsid w:val="00965A60"/>
    <w:rsid w:val="00965B15"/>
    <w:rsid w:val="00965D4A"/>
    <w:rsid w:val="00965EB8"/>
    <w:rsid w:val="0096672E"/>
    <w:rsid w:val="00966982"/>
    <w:rsid w:val="00966ACA"/>
    <w:rsid w:val="009671FD"/>
    <w:rsid w:val="00967402"/>
    <w:rsid w:val="00967625"/>
    <w:rsid w:val="00967933"/>
    <w:rsid w:val="00967F9B"/>
    <w:rsid w:val="009700A6"/>
    <w:rsid w:val="009709DC"/>
    <w:rsid w:val="00970B55"/>
    <w:rsid w:val="00970E03"/>
    <w:rsid w:val="00970EB7"/>
    <w:rsid w:val="009712C3"/>
    <w:rsid w:val="00971885"/>
    <w:rsid w:val="009720C9"/>
    <w:rsid w:val="009722BC"/>
    <w:rsid w:val="00972337"/>
    <w:rsid w:val="00972AFE"/>
    <w:rsid w:val="00972F30"/>
    <w:rsid w:val="009730D0"/>
    <w:rsid w:val="0097332F"/>
    <w:rsid w:val="0097352F"/>
    <w:rsid w:val="009735D6"/>
    <w:rsid w:val="009738DE"/>
    <w:rsid w:val="00973AA6"/>
    <w:rsid w:val="0097426F"/>
    <w:rsid w:val="00974311"/>
    <w:rsid w:val="0097432C"/>
    <w:rsid w:val="00974449"/>
    <w:rsid w:val="00974E42"/>
    <w:rsid w:val="0097513B"/>
    <w:rsid w:val="00975627"/>
    <w:rsid w:val="00975AB2"/>
    <w:rsid w:val="00975BCC"/>
    <w:rsid w:val="00975DFF"/>
    <w:rsid w:val="00976535"/>
    <w:rsid w:val="00976F1F"/>
    <w:rsid w:val="0097709C"/>
    <w:rsid w:val="009773EC"/>
    <w:rsid w:val="0097740A"/>
    <w:rsid w:val="00977632"/>
    <w:rsid w:val="0097793D"/>
    <w:rsid w:val="009779FB"/>
    <w:rsid w:val="00977ABD"/>
    <w:rsid w:val="00977AFE"/>
    <w:rsid w:val="00977D7B"/>
    <w:rsid w:val="00977FBE"/>
    <w:rsid w:val="009800F0"/>
    <w:rsid w:val="009805B6"/>
    <w:rsid w:val="009807AA"/>
    <w:rsid w:val="0098084E"/>
    <w:rsid w:val="0098184C"/>
    <w:rsid w:val="0098191C"/>
    <w:rsid w:val="00981BFE"/>
    <w:rsid w:val="009820CC"/>
    <w:rsid w:val="00982470"/>
    <w:rsid w:val="00982720"/>
    <w:rsid w:val="009829D7"/>
    <w:rsid w:val="00982A08"/>
    <w:rsid w:val="00982D21"/>
    <w:rsid w:val="00982F5B"/>
    <w:rsid w:val="0098317E"/>
    <w:rsid w:val="0098338D"/>
    <w:rsid w:val="00983F49"/>
    <w:rsid w:val="00984009"/>
    <w:rsid w:val="009845FC"/>
    <w:rsid w:val="00984C59"/>
    <w:rsid w:val="00984E97"/>
    <w:rsid w:val="009854FB"/>
    <w:rsid w:val="00985538"/>
    <w:rsid w:val="009855D7"/>
    <w:rsid w:val="0098592C"/>
    <w:rsid w:val="00985A83"/>
    <w:rsid w:val="00985AFB"/>
    <w:rsid w:val="00986050"/>
    <w:rsid w:val="00986072"/>
    <w:rsid w:val="00986381"/>
    <w:rsid w:val="00986425"/>
    <w:rsid w:val="0098778B"/>
    <w:rsid w:val="009878EB"/>
    <w:rsid w:val="009879A6"/>
    <w:rsid w:val="00987B90"/>
    <w:rsid w:val="00987F25"/>
    <w:rsid w:val="00990450"/>
    <w:rsid w:val="009907F8"/>
    <w:rsid w:val="00990897"/>
    <w:rsid w:val="0099098E"/>
    <w:rsid w:val="00990C0F"/>
    <w:rsid w:val="00990F64"/>
    <w:rsid w:val="009910B4"/>
    <w:rsid w:val="009910E7"/>
    <w:rsid w:val="009912B5"/>
    <w:rsid w:val="009915A0"/>
    <w:rsid w:val="009917ED"/>
    <w:rsid w:val="00991A2F"/>
    <w:rsid w:val="00991B5E"/>
    <w:rsid w:val="009920BC"/>
    <w:rsid w:val="009926B2"/>
    <w:rsid w:val="009928CC"/>
    <w:rsid w:val="00992992"/>
    <w:rsid w:val="00992A02"/>
    <w:rsid w:val="00992D2E"/>
    <w:rsid w:val="00992F45"/>
    <w:rsid w:val="00993AB0"/>
    <w:rsid w:val="00993C80"/>
    <w:rsid w:val="00993D84"/>
    <w:rsid w:val="00994C3F"/>
    <w:rsid w:val="00995610"/>
    <w:rsid w:val="00995815"/>
    <w:rsid w:val="00995CB6"/>
    <w:rsid w:val="009960F2"/>
    <w:rsid w:val="009964CA"/>
    <w:rsid w:val="009964EB"/>
    <w:rsid w:val="00996501"/>
    <w:rsid w:val="00996617"/>
    <w:rsid w:val="00996674"/>
    <w:rsid w:val="00996DB7"/>
    <w:rsid w:val="00997D1D"/>
    <w:rsid w:val="00997D90"/>
    <w:rsid w:val="00997FFC"/>
    <w:rsid w:val="009A04C5"/>
    <w:rsid w:val="009A04C9"/>
    <w:rsid w:val="009A0832"/>
    <w:rsid w:val="009A084D"/>
    <w:rsid w:val="009A0B23"/>
    <w:rsid w:val="009A0C22"/>
    <w:rsid w:val="009A0CC9"/>
    <w:rsid w:val="009A16A4"/>
    <w:rsid w:val="009A17E2"/>
    <w:rsid w:val="009A19D4"/>
    <w:rsid w:val="009A1BAF"/>
    <w:rsid w:val="009A221E"/>
    <w:rsid w:val="009A2D28"/>
    <w:rsid w:val="009A3053"/>
    <w:rsid w:val="009A317D"/>
    <w:rsid w:val="009A3196"/>
    <w:rsid w:val="009A36FF"/>
    <w:rsid w:val="009A3D9F"/>
    <w:rsid w:val="009A3F07"/>
    <w:rsid w:val="009A47A1"/>
    <w:rsid w:val="009A4961"/>
    <w:rsid w:val="009A4D08"/>
    <w:rsid w:val="009A4E20"/>
    <w:rsid w:val="009A4EAE"/>
    <w:rsid w:val="009A5172"/>
    <w:rsid w:val="009A5344"/>
    <w:rsid w:val="009A5A67"/>
    <w:rsid w:val="009A5B99"/>
    <w:rsid w:val="009A5D95"/>
    <w:rsid w:val="009A5DC4"/>
    <w:rsid w:val="009A5E26"/>
    <w:rsid w:val="009A5F4F"/>
    <w:rsid w:val="009A6D0E"/>
    <w:rsid w:val="009A7122"/>
    <w:rsid w:val="009A72D9"/>
    <w:rsid w:val="009A741D"/>
    <w:rsid w:val="009A7ADE"/>
    <w:rsid w:val="009A7C4F"/>
    <w:rsid w:val="009A7C5B"/>
    <w:rsid w:val="009A7ED8"/>
    <w:rsid w:val="009B032E"/>
    <w:rsid w:val="009B05CA"/>
    <w:rsid w:val="009B0668"/>
    <w:rsid w:val="009B0CC5"/>
    <w:rsid w:val="009B0D6A"/>
    <w:rsid w:val="009B0D87"/>
    <w:rsid w:val="009B17E2"/>
    <w:rsid w:val="009B1C26"/>
    <w:rsid w:val="009B2157"/>
    <w:rsid w:val="009B22A4"/>
    <w:rsid w:val="009B2863"/>
    <w:rsid w:val="009B2B01"/>
    <w:rsid w:val="009B3015"/>
    <w:rsid w:val="009B340D"/>
    <w:rsid w:val="009B3592"/>
    <w:rsid w:val="009B37CD"/>
    <w:rsid w:val="009B386E"/>
    <w:rsid w:val="009B3B2A"/>
    <w:rsid w:val="009B3CD5"/>
    <w:rsid w:val="009B3DEF"/>
    <w:rsid w:val="009B3EF5"/>
    <w:rsid w:val="009B40F3"/>
    <w:rsid w:val="009B414D"/>
    <w:rsid w:val="009B4260"/>
    <w:rsid w:val="009B49E9"/>
    <w:rsid w:val="009B4A50"/>
    <w:rsid w:val="009B4EE0"/>
    <w:rsid w:val="009B53FE"/>
    <w:rsid w:val="009B5792"/>
    <w:rsid w:val="009B5B99"/>
    <w:rsid w:val="009B5C5D"/>
    <w:rsid w:val="009B5CFD"/>
    <w:rsid w:val="009B5F27"/>
    <w:rsid w:val="009B5F4E"/>
    <w:rsid w:val="009B6224"/>
    <w:rsid w:val="009B6238"/>
    <w:rsid w:val="009B6379"/>
    <w:rsid w:val="009B64D6"/>
    <w:rsid w:val="009B6567"/>
    <w:rsid w:val="009B6608"/>
    <w:rsid w:val="009B6984"/>
    <w:rsid w:val="009B6D2A"/>
    <w:rsid w:val="009B6D8E"/>
    <w:rsid w:val="009B7022"/>
    <w:rsid w:val="009B7690"/>
    <w:rsid w:val="009B7B95"/>
    <w:rsid w:val="009B7F48"/>
    <w:rsid w:val="009C034B"/>
    <w:rsid w:val="009C0F79"/>
    <w:rsid w:val="009C15EA"/>
    <w:rsid w:val="009C17A2"/>
    <w:rsid w:val="009C1889"/>
    <w:rsid w:val="009C1CA3"/>
    <w:rsid w:val="009C1DDA"/>
    <w:rsid w:val="009C1E82"/>
    <w:rsid w:val="009C2024"/>
    <w:rsid w:val="009C23B6"/>
    <w:rsid w:val="009C27E5"/>
    <w:rsid w:val="009C29CA"/>
    <w:rsid w:val="009C2F2B"/>
    <w:rsid w:val="009C31EF"/>
    <w:rsid w:val="009C3806"/>
    <w:rsid w:val="009C38C6"/>
    <w:rsid w:val="009C38D1"/>
    <w:rsid w:val="009C403E"/>
    <w:rsid w:val="009C490D"/>
    <w:rsid w:val="009C4BCD"/>
    <w:rsid w:val="009C51EE"/>
    <w:rsid w:val="009C531F"/>
    <w:rsid w:val="009C5403"/>
    <w:rsid w:val="009C540D"/>
    <w:rsid w:val="009C5972"/>
    <w:rsid w:val="009C5B12"/>
    <w:rsid w:val="009C5B2C"/>
    <w:rsid w:val="009C63B1"/>
    <w:rsid w:val="009C651E"/>
    <w:rsid w:val="009C6856"/>
    <w:rsid w:val="009C68FD"/>
    <w:rsid w:val="009C69C1"/>
    <w:rsid w:val="009C6BA2"/>
    <w:rsid w:val="009C76C7"/>
    <w:rsid w:val="009D016C"/>
    <w:rsid w:val="009D0255"/>
    <w:rsid w:val="009D0340"/>
    <w:rsid w:val="009D03E8"/>
    <w:rsid w:val="009D06AC"/>
    <w:rsid w:val="009D07CA"/>
    <w:rsid w:val="009D0849"/>
    <w:rsid w:val="009D09DA"/>
    <w:rsid w:val="009D0A3F"/>
    <w:rsid w:val="009D0E0A"/>
    <w:rsid w:val="009D0F0D"/>
    <w:rsid w:val="009D0FAC"/>
    <w:rsid w:val="009D124B"/>
    <w:rsid w:val="009D142C"/>
    <w:rsid w:val="009D1441"/>
    <w:rsid w:val="009D1A0D"/>
    <w:rsid w:val="009D21A9"/>
    <w:rsid w:val="009D22D4"/>
    <w:rsid w:val="009D269F"/>
    <w:rsid w:val="009D2DE8"/>
    <w:rsid w:val="009D3FF5"/>
    <w:rsid w:val="009D41BD"/>
    <w:rsid w:val="009D422D"/>
    <w:rsid w:val="009D4271"/>
    <w:rsid w:val="009D429D"/>
    <w:rsid w:val="009D4311"/>
    <w:rsid w:val="009D4345"/>
    <w:rsid w:val="009D4427"/>
    <w:rsid w:val="009D4A7A"/>
    <w:rsid w:val="009D4F2F"/>
    <w:rsid w:val="009D4F49"/>
    <w:rsid w:val="009D5351"/>
    <w:rsid w:val="009D55FB"/>
    <w:rsid w:val="009D56BA"/>
    <w:rsid w:val="009D5A3D"/>
    <w:rsid w:val="009D5C10"/>
    <w:rsid w:val="009D603B"/>
    <w:rsid w:val="009D62F0"/>
    <w:rsid w:val="009D6539"/>
    <w:rsid w:val="009D6859"/>
    <w:rsid w:val="009D6FE7"/>
    <w:rsid w:val="009D78A6"/>
    <w:rsid w:val="009D78E6"/>
    <w:rsid w:val="009D7CD9"/>
    <w:rsid w:val="009E00BC"/>
    <w:rsid w:val="009E026A"/>
    <w:rsid w:val="009E0CEB"/>
    <w:rsid w:val="009E1117"/>
    <w:rsid w:val="009E1679"/>
    <w:rsid w:val="009E16E0"/>
    <w:rsid w:val="009E1A02"/>
    <w:rsid w:val="009E1C5F"/>
    <w:rsid w:val="009E1E2C"/>
    <w:rsid w:val="009E1F4C"/>
    <w:rsid w:val="009E2256"/>
    <w:rsid w:val="009E2282"/>
    <w:rsid w:val="009E25B8"/>
    <w:rsid w:val="009E263E"/>
    <w:rsid w:val="009E276E"/>
    <w:rsid w:val="009E2825"/>
    <w:rsid w:val="009E2C09"/>
    <w:rsid w:val="009E3156"/>
    <w:rsid w:val="009E34E9"/>
    <w:rsid w:val="009E3B50"/>
    <w:rsid w:val="009E4038"/>
    <w:rsid w:val="009E42B0"/>
    <w:rsid w:val="009E43B6"/>
    <w:rsid w:val="009E4A64"/>
    <w:rsid w:val="009E4ADE"/>
    <w:rsid w:val="009E51BB"/>
    <w:rsid w:val="009E5299"/>
    <w:rsid w:val="009E52CA"/>
    <w:rsid w:val="009E546D"/>
    <w:rsid w:val="009E561C"/>
    <w:rsid w:val="009E591E"/>
    <w:rsid w:val="009E5B2E"/>
    <w:rsid w:val="009E5BC4"/>
    <w:rsid w:val="009E5BD2"/>
    <w:rsid w:val="009E5EE4"/>
    <w:rsid w:val="009E6410"/>
    <w:rsid w:val="009E689A"/>
    <w:rsid w:val="009E6AB6"/>
    <w:rsid w:val="009E6D4B"/>
    <w:rsid w:val="009E74F0"/>
    <w:rsid w:val="009E7DEA"/>
    <w:rsid w:val="009F07F2"/>
    <w:rsid w:val="009F08DA"/>
    <w:rsid w:val="009F0AB9"/>
    <w:rsid w:val="009F0B7F"/>
    <w:rsid w:val="009F0BA5"/>
    <w:rsid w:val="009F11AC"/>
    <w:rsid w:val="009F14AB"/>
    <w:rsid w:val="009F1B74"/>
    <w:rsid w:val="009F216E"/>
    <w:rsid w:val="009F298D"/>
    <w:rsid w:val="009F2D59"/>
    <w:rsid w:val="009F2E82"/>
    <w:rsid w:val="009F34F3"/>
    <w:rsid w:val="009F3BF3"/>
    <w:rsid w:val="009F42D7"/>
    <w:rsid w:val="009F4401"/>
    <w:rsid w:val="009F4A68"/>
    <w:rsid w:val="009F4B7F"/>
    <w:rsid w:val="009F5242"/>
    <w:rsid w:val="009F5685"/>
    <w:rsid w:val="009F5731"/>
    <w:rsid w:val="009F5B4B"/>
    <w:rsid w:val="009F5E40"/>
    <w:rsid w:val="009F638B"/>
    <w:rsid w:val="009F6644"/>
    <w:rsid w:val="009F6A2F"/>
    <w:rsid w:val="009F6CB1"/>
    <w:rsid w:val="009F6FD5"/>
    <w:rsid w:val="009F71C7"/>
    <w:rsid w:val="009F7315"/>
    <w:rsid w:val="009F7579"/>
    <w:rsid w:val="009F776C"/>
    <w:rsid w:val="009F79E8"/>
    <w:rsid w:val="00A0008A"/>
    <w:rsid w:val="00A001D7"/>
    <w:rsid w:val="00A0021F"/>
    <w:rsid w:val="00A002AE"/>
    <w:rsid w:val="00A006C7"/>
    <w:rsid w:val="00A0097D"/>
    <w:rsid w:val="00A00B30"/>
    <w:rsid w:val="00A013F7"/>
    <w:rsid w:val="00A0155C"/>
    <w:rsid w:val="00A01732"/>
    <w:rsid w:val="00A01BE2"/>
    <w:rsid w:val="00A01F10"/>
    <w:rsid w:val="00A01FC2"/>
    <w:rsid w:val="00A020E3"/>
    <w:rsid w:val="00A02162"/>
    <w:rsid w:val="00A02845"/>
    <w:rsid w:val="00A02BF3"/>
    <w:rsid w:val="00A02C8C"/>
    <w:rsid w:val="00A031DA"/>
    <w:rsid w:val="00A03373"/>
    <w:rsid w:val="00A03585"/>
    <w:rsid w:val="00A03C57"/>
    <w:rsid w:val="00A03EF2"/>
    <w:rsid w:val="00A03F33"/>
    <w:rsid w:val="00A03FB5"/>
    <w:rsid w:val="00A04368"/>
    <w:rsid w:val="00A04411"/>
    <w:rsid w:val="00A046BD"/>
    <w:rsid w:val="00A04706"/>
    <w:rsid w:val="00A0470E"/>
    <w:rsid w:val="00A047E0"/>
    <w:rsid w:val="00A04A92"/>
    <w:rsid w:val="00A04F56"/>
    <w:rsid w:val="00A05008"/>
    <w:rsid w:val="00A0521D"/>
    <w:rsid w:val="00A054F4"/>
    <w:rsid w:val="00A059DB"/>
    <w:rsid w:val="00A06460"/>
    <w:rsid w:val="00A06600"/>
    <w:rsid w:val="00A06830"/>
    <w:rsid w:val="00A0697E"/>
    <w:rsid w:val="00A06E38"/>
    <w:rsid w:val="00A06F13"/>
    <w:rsid w:val="00A06F67"/>
    <w:rsid w:val="00A07373"/>
    <w:rsid w:val="00A075FE"/>
    <w:rsid w:val="00A076A0"/>
    <w:rsid w:val="00A078B7"/>
    <w:rsid w:val="00A07909"/>
    <w:rsid w:val="00A079DE"/>
    <w:rsid w:val="00A07C36"/>
    <w:rsid w:val="00A07CFB"/>
    <w:rsid w:val="00A100ED"/>
    <w:rsid w:val="00A103D2"/>
    <w:rsid w:val="00A10570"/>
    <w:rsid w:val="00A11211"/>
    <w:rsid w:val="00A115D0"/>
    <w:rsid w:val="00A11BC5"/>
    <w:rsid w:val="00A12133"/>
    <w:rsid w:val="00A12253"/>
    <w:rsid w:val="00A122F4"/>
    <w:rsid w:val="00A1248D"/>
    <w:rsid w:val="00A1252E"/>
    <w:rsid w:val="00A12FAC"/>
    <w:rsid w:val="00A1305E"/>
    <w:rsid w:val="00A1353D"/>
    <w:rsid w:val="00A13714"/>
    <w:rsid w:val="00A13BA0"/>
    <w:rsid w:val="00A13D1E"/>
    <w:rsid w:val="00A13D46"/>
    <w:rsid w:val="00A13EDB"/>
    <w:rsid w:val="00A14054"/>
    <w:rsid w:val="00A147E0"/>
    <w:rsid w:val="00A148A5"/>
    <w:rsid w:val="00A156A9"/>
    <w:rsid w:val="00A156BD"/>
    <w:rsid w:val="00A156D0"/>
    <w:rsid w:val="00A158FA"/>
    <w:rsid w:val="00A15C75"/>
    <w:rsid w:val="00A15DC4"/>
    <w:rsid w:val="00A15EF3"/>
    <w:rsid w:val="00A15F81"/>
    <w:rsid w:val="00A160F1"/>
    <w:rsid w:val="00A16327"/>
    <w:rsid w:val="00A16640"/>
    <w:rsid w:val="00A16977"/>
    <w:rsid w:val="00A16A8F"/>
    <w:rsid w:val="00A20884"/>
    <w:rsid w:val="00A20B7A"/>
    <w:rsid w:val="00A20E1D"/>
    <w:rsid w:val="00A20E52"/>
    <w:rsid w:val="00A210F6"/>
    <w:rsid w:val="00A21676"/>
    <w:rsid w:val="00A21BAE"/>
    <w:rsid w:val="00A21C57"/>
    <w:rsid w:val="00A21E9E"/>
    <w:rsid w:val="00A225E3"/>
    <w:rsid w:val="00A228A0"/>
    <w:rsid w:val="00A228A1"/>
    <w:rsid w:val="00A22B2A"/>
    <w:rsid w:val="00A22CB4"/>
    <w:rsid w:val="00A22D35"/>
    <w:rsid w:val="00A23019"/>
    <w:rsid w:val="00A23602"/>
    <w:rsid w:val="00A23BA0"/>
    <w:rsid w:val="00A23CCC"/>
    <w:rsid w:val="00A24148"/>
    <w:rsid w:val="00A2458B"/>
    <w:rsid w:val="00A24598"/>
    <w:rsid w:val="00A24B0A"/>
    <w:rsid w:val="00A24CE0"/>
    <w:rsid w:val="00A25310"/>
    <w:rsid w:val="00A25672"/>
    <w:rsid w:val="00A25F85"/>
    <w:rsid w:val="00A261CA"/>
    <w:rsid w:val="00A26265"/>
    <w:rsid w:val="00A26571"/>
    <w:rsid w:val="00A26908"/>
    <w:rsid w:val="00A26976"/>
    <w:rsid w:val="00A26AE9"/>
    <w:rsid w:val="00A26DE7"/>
    <w:rsid w:val="00A27073"/>
    <w:rsid w:val="00A272A8"/>
    <w:rsid w:val="00A2731C"/>
    <w:rsid w:val="00A27369"/>
    <w:rsid w:val="00A276CC"/>
    <w:rsid w:val="00A277ED"/>
    <w:rsid w:val="00A300A5"/>
    <w:rsid w:val="00A302B2"/>
    <w:rsid w:val="00A304E9"/>
    <w:rsid w:val="00A308AE"/>
    <w:rsid w:val="00A30E60"/>
    <w:rsid w:val="00A30FCE"/>
    <w:rsid w:val="00A30FD3"/>
    <w:rsid w:val="00A3103D"/>
    <w:rsid w:val="00A31219"/>
    <w:rsid w:val="00A312BF"/>
    <w:rsid w:val="00A32291"/>
    <w:rsid w:val="00A322F0"/>
    <w:rsid w:val="00A3252F"/>
    <w:rsid w:val="00A325E9"/>
    <w:rsid w:val="00A32B2B"/>
    <w:rsid w:val="00A32CB2"/>
    <w:rsid w:val="00A32D9F"/>
    <w:rsid w:val="00A330A0"/>
    <w:rsid w:val="00A33589"/>
    <w:rsid w:val="00A33831"/>
    <w:rsid w:val="00A33872"/>
    <w:rsid w:val="00A33B1A"/>
    <w:rsid w:val="00A33D41"/>
    <w:rsid w:val="00A33F19"/>
    <w:rsid w:val="00A34207"/>
    <w:rsid w:val="00A3428F"/>
    <w:rsid w:val="00A34C38"/>
    <w:rsid w:val="00A34F35"/>
    <w:rsid w:val="00A35F02"/>
    <w:rsid w:val="00A3628F"/>
    <w:rsid w:val="00A362AF"/>
    <w:rsid w:val="00A3658D"/>
    <w:rsid w:val="00A36BD0"/>
    <w:rsid w:val="00A374DB"/>
    <w:rsid w:val="00A37843"/>
    <w:rsid w:val="00A37910"/>
    <w:rsid w:val="00A37AEB"/>
    <w:rsid w:val="00A4027D"/>
    <w:rsid w:val="00A404E9"/>
    <w:rsid w:val="00A405CF"/>
    <w:rsid w:val="00A40630"/>
    <w:rsid w:val="00A4063C"/>
    <w:rsid w:val="00A40A57"/>
    <w:rsid w:val="00A40C54"/>
    <w:rsid w:val="00A40E79"/>
    <w:rsid w:val="00A414B7"/>
    <w:rsid w:val="00A41926"/>
    <w:rsid w:val="00A419E7"/>
    <w:rsid w:val="00A41B96"/>
    <w:rsid w:val="00A41D2B"/>
    <w:rsid w:val="00A420A5"/>
    <w:rsid w:val="00A427E0"/>
    <w:rsid w:val="00A427F2"/>
    <w:rsid w:val="00A429E9"/>
    <w:rsid w:val="00A42F9A"/>
    <w:rsid w:val="00A42FC6"/>
    <w:rsid w:val="00A431DC"/>
    <w:rsid w:val="00A431F0"/>
    <w:rsid w:val="00A437A0"/>
    <w:rsid w:val="00A43910"/>
    <w:rsid w:val="00A43ADE"/>
    <w:rsid w:val="00A43C60"/>
    <w:rsid w:val="00A43CB2"/>
    <w:rsid w:val="00A43FB1"/>
    <w:rsid w:val="00A43FBF"/>
    <w:rsid w:val="00A44073"/>
    <w:rsid w:val="00A442E6"/>
    <w:rsid w:val="00A443DA"/>
    <w:rsid w:val="00A444B0"/>
    <w:rsid w:val="00A444C3"/>
    <w:rsid w:val="00A448A9"/>
    <w:rsid w:val="00A448FA"/>
    <w:rsid w:val="00A44C7F"/>
    <w:rsid w:val="00A44D50"/>
    <w:rsid w:val="00A44DB5"/>
    <w:rsid w:val="00A4514B"/>
    <w:rsid w:val="00A454E1"/>
    <w:rsid w:val="00A45B44"/>
    <w:rsid w:val="00A45C60"/>
    <w:rsid w:val="00A46275"/>
    <w:rsid w:val="00A465D3"/>
    <w:rsid w:val="00A46DA4"/>
    <w:rsid w:val="00A47326"/>
    <w:rsid w:val="00A47385"/>
    <w:rsid w:val="00A47565"/>
    <w:rsid w:val="00A47CA5"/>
    <w:rsid w:val="00A500DC"/>
    <w:rsid w:val="00A5016C"/>
    <w:rsid w:val="00A50577"/>
    <w:rsid w:val="00A5063B"/>
    <w:rsid w:val="00A508BE"/>
    <w:rsid w:val="00A50C52"/>
    <w:rsid w:val="00A511A6"/>
    <w:rsid w:val="00A512D3"/>
    <w:rsid w:val="00A51ECA"/>
    <w:rsid w:val="00A528A0"/>
    <w:rsid w:val="00A529F3"/>
    <w:rsid w:val="00A52A71"/>
    <w:rsid w:val="00A53256"/>
    <w:rsid w:val="00A534CC"/>
    <w:rsid w:val="00A536B6"/>
    <w:rsid w:val="00A538C2"/>
    <w:rsid w:val="00A53A36"/>
    <w:rsid w:val="00A54124"/>
    <w:rsid w:val="00A54465"/>
    <w:rsid w:val="00A547B0"/>
    <w:rsid w:val="00A548C7"/>
    <w:rsid w:val="00A54B5B"/>
    <w:rsid w:val="00A55205"/>
    <w:rsid w:val="00A556AB"/>
    <w:rsid w:val="00A557EE"/>
    <w:rsid w:val="00A55994"/>
    <w:rsid w:val="00A55A00"/>
    <w:rsid w:val="00A55A76"/>
    <w:rsid w:val="00A55ACF"/>
    <w:rsid w:val="00A5607A"/>
    <w:rsid w:val="00A565D2"/>
    <w:rsid w:val="00A56CA7"/>
    <w:rsid w:val="00A56D9F"/>
    <w:rsid w:val="00A56DC5"/>
    <w:rsid w:val="00A56E87"/>
    <w:rsid w:val="00A57438"/>
    <w:rsid w:val="00A575EE"/>
    <w:rsid w:val="00A57618"/>
    <w:rsid w:val="00A57FB5"/>
    <w:rsid w:val="00A60A26"/>
    <w:rsid w:val="00A60BD4"/>
    <w:rsid w:val="00A6120F"/>
    <w:rsid w:val="00A61388"/>
    <w:rsid w:val="00A61991"/>
    <w:rsid w:val="00A61BF8"/>
    <w:rsid w:val="00A61EC9"/>
    <w:rsid w:val="00A63278"/>
    <w:rsid w:val="00A6327C"/>
    <w:rsid w:val="00A634BE"/>
    <w:rsid w:val="00A63B5B"/>
    <w:rsid w:val="00A63E43"/>
    <w:rsid w:val="00A63F02"/>
    <w:rsid w:val="00A6458F"/>
    <w:rsid w:val="00A647F4"/>
    <w:rsid w:val="00A64C25"/>
    <w:rsid w:val="00A6507F"/>
    <w:rsid w:val="00A65670"/>
    <w:rsid w:val="00A65919"/>
    <w:rsid w:val="00A65B1A"/>
    <w:rsid w:val="00A65E2B"/>
    <w:rsid w:val="00A65F2A"/>
    <w:rsid w:val="00A667B8"/>
    <w:rsid w:val="00A66E50"/>
    <w:rsid w:val="00A66FD4"/>
    <w:rsid w:val="00A67B1B"/>
    <w:rsid w:val="00A67BD3"/>
    <w:rsid w:val="00A703A5"/>
    <w:rsid w:val="00A70495"/>
    <w:rsid w:val="00A70827"/>
    <w:rsid w:val="00A70880"/>
    <w:rsid w:val="00A7096F"/>
    <w:rsid w:val="00A70977"/>
    <w:rsid w:val="00A70B18"/>
    <w:rsid w:val="00A70B20"/>
    <w:rsid w:val="00A70B39"/>
    <w:rsid w:val="00A70ED4"/>
    <w:rsid w:val="00A71A9A"/>
    <w:rsid w:val="00A71CA4"/>
    <w:rsid w:val="00A71FBF"/>
    <w:rsid w:val="00A72010"/>
    <w:rsid w:val="00A7295A"/>
    <w:rsid w:val="00A732C8"/>
    <w:rsid w:val="00A734FB"/>
    <w:rsid w:val="00A735B8"/>
    <w:rsid w:val="00A7389E"/>
    <w:rsid w:val="00A73C3F"/>
    <w:rsid w:val="00A73DB3"/>
    <w:rsid w:val="00A740E2"/>
    <w:rsid w:val="00A743D4"/>
    <w:rsid w:val="00A745C8"/>
    <w:rsid w:val="00A74898"/>
    <w:rsid w:val="00A748DA"/>
    <w:rsid w:val="00A74E40"/>
    <w:rsid w:val="00A75EBC"/>
    <w:rsid w:val="00A76327"/>
    <w:rsid w:val="00A763EF"/>
    <w:rsid w:val="00A76DE6"/>
    <w:rsid w:val="00A76EF0"/>
    <w:rsid w:val="00A7748B"/>
    <w:rsid w:val="00A77788"/>
    <w:rsid w:val="00A77A8E"/>
    <w:rsid w:val="00A77BCD"/>
    <w:rsid w:val="00A77D32"/>
    <w:rsid w:val="00A77EA7"/>
    <w:rsid w:val="00A80050"/>
    <w:rsid w:val="00A80090"/>
    <w:rsid w:val="00A800D2"/>
    <w:rsid w:val="00A80DE7"/>
    <w:rsid w:val="00A80F7A"/>
    <w:rsid w:val="00A810B3"/>
    <w:rsid w:val="00A813F9"/>
    <w:rsid w:val="00A81A94"/>
    <w:rsid w:val="00A81AB5"/>
    <w:rsid w:val="00A81C5C"/>
    <w:rsid w:val="00A81D1B"/>
    <w:rsid w:val="00A81D57"/>
    <w:rsid w:val="00A82060"/>
    <w:rsid w:val="00A82196"/>
    <w:rsid w:val="00A82363"/>
    <w:rsid w:val="00A826C7"/>
    <w:rsid w:val="00A82861"/>
    <w:rsid w:val="00A828D3"/>
    <w:rsid w:val="00A829E1"/>
    <w:rsid w:val="00A82C54"/>
    <w:rsid w:val="00A82CDB"/>
    <w:rsid w:val="00A84039"/>
    <w:rsid w:val="00A8409E"/>
    <w:rsid w:val="00A841DA"/>
    <w:rsid w:val="00A8441D"/>
    <w:rsid w:val="00A845FA"/>
    <w:rsid w:val="00A84738"/>
    <w:rsid w:val="00A8487B"/>
    <w:rsid w:val="00A848D8"/>
    <w:rsid w:val="00A84AA0"/>
    <w:rsid w:val="00A84DDA"/>
    <w:rsid w:val="00A8547C"/>
    <w:rsid w:val="00A8580F"/>
    <w:rsid w:val="00A85D6B"/>
    <w:rsid w:val="00A85F77"/>
    <w:rsid w:val="00A86314"/>
    <w:rsid w:val="00A865AC"/>
    <w:rsid w:val="00A865EE"/>
    <w:rsid w:val="00A86741"/>
    <w:rsid w:val="00A86817"/>
    <w:rsid w:val="00A869BF"/>
    <w:rsid w:val="00A86E2B"/>
    <w:rsid w:val="00A86EC2"/>
    <w:rsid w:val="00A87041"/>
    <w:rsid w:val="00A8710E"/>
    <w:rsid w:val="00A8751A"/>
    <w:rsid w:val="00A87671"/>
    <w:rsid w:val="00A8787C"/>
    <w:rsid w:val="00A87976"/>
    <w:rsid w:val="00A87E2E"/>
    <w:rsid w:val="00A90214"/>
    <w:rsid w:val="00A90296"/>
    <w:rsid w:val="00A903A1"/>
    <w:rsid w:val="00A9087E"/>
    <w:rsid w:val="00A9099F"/>
    <w:rsid w:val="00A90B4D"/>
    <w:rsid w:val="00A91064"/>
    <w:rsid w:val="00A912D1"/>
    <w:rsid w:val="00A91B59"/>
    <w:rsid w:val="00A91BD0"/>
    <w:rsid w:val="00A91CA7"/>
    <w:rsid w:val="00A91EF3"/>
    <w:rsid w:val="00A92382"/>
    <w:rsid w:val="00A928F1"/>
    <w:rsid w:val="00A929C2"/>
    <w:rsid w:val="00A92B3F"/>
    <w:rsid w:val="00A92E67"/>
    <w:rsid w:val="00A9304C"/>
    <w:rsid w:val="00A93809"/>
    <w:rsid w:val="00A93C30"/>
    <w:rsid w:val="00A949B2"/>
    <w:rsid w:val="00A94D08"/>
    <w:rsid w:val="00A951F5"/>
    <w:rsid w:val="00A95428"/>
    <w:rsid w:val="00A95726"/>
    <w:rsid w:val="00A95CC8"/>
    <w:rsid w:val="00A96267"/>
    <w:rsid w:val="00A962BB"/>
    <w:rsid w:val="00A96454"/>
    <w:rsid w:val="00A9699B"/>
    <w:rsid w:val="00A97920"/>
    <w:rsid w:val="00AA03EC"/>
    <w:rsid w:val="00AA106F"/>
    <w:rsid w:val="00AA152F"/>
    <w:rsid w:val="00AA1635"/>
    <w:rsid w:val="00AA17A5"/>
    <w:rsid w:val="00AA18A3"/>
    <w:rsid w:val="00AA1A5C"/>
    <w:rsid w:val="00AA1A86"/>
    <w:rsid w:val="00AA1E06"/>
    <w:rsid w:val="00AA23E4"/>
    <w:rsid w:val="00AA30F6"/>
    <w:rsid w:val="00AA322F"/>
    <w:rsid w:val="00AA32A5"/>
    <w:rsid w:val="00AA32F8"/>
    <w:rsid w:val="00AA33A9"/>
    <w:rsid w:val="00AA350E"/>
    <w:rsid w:val="00AA3CD1"/>
    <w:rsid w:val="00AA41AD"/>
    <w:rsid w:val="00AA41B4"/>
    <w:rsid w:val="00AA42BB"/>
    <w:rsid w:val="00AA436A"/>
    <w:rsid w:val="00AA49FD"/>
    <w:rsid w:val="00AA4E19"/>
    <w:rsid w:val="00AA50B9"/>
    <w:rsid w:val="00AA515B"/>
    <w:rsid w:val="00AA5882"/>
    <w:rsid w:val="00AA5B47"/>
    <w:rsid w:val="00AA60D0"/>
    <w:rsid w:val="00AA6756"/>
    <w:rsid w:val="00AA6C8F"/>
    <w:rsid w:val="00AA6DBD"/>
    <w:rsid w:val="00AA6FE5"/>
    <w:rsid w:val="00AA7353"/>
    <w:rsid w:val="00AA73B7"/>
    <w:rsid w:val="00AA7F94"/>
    <w:rsid w:val="00AB0013"/>
    <w:rsid w:val="00AB0079"/>
    <w:rsid w:val="00AB02A6"/>
    <w:rsid w:val="00AB09A2"/>
    <w:rsid w:val="00AB0FD0"/>
    <w:rsid w:val="00AB149F"/>
    <w:rsid w:val="00AB1AB1"/>
    <w:rsid w:val="00AB1C42"/>
    <w:rsid w:val="00AB234A"/>
    <w:rsid w:val="00AB2628"/>
    <w:rsid w:val="00AB2650"/>
    <w:rsid w:val="00AB2B77"/>
    <w:rsid w:val="00AB2F1B"/>
    <w:rsid w:val="00AB3372"/>
    <w:rsid w:val="00AB33BA"/>
    <w:rsid w:val="00AB3795"/>
    <w:rsid w:val="00AB38E5"/>
    <w:rsid w:val="00AB393E"/>
    <w:rsid w:val="00AB4F65"/>
    <w:rsid w:val="00AB4FFD"/>
    <w:rsid w:val="00AB5481"/>
    <w:rsid w:val="00AB55A1"/>
    <w:rsid w:val="00AB56A7"/>
    <w:rsid w:val="00AB5B9F"/>
    <w:rsid w:val="00AB5E7F"/>
    <w:rsid w:val="00AB6062"/>
    <w:rsid w:val="00AB64C1"/>
    <w:rsid w:val="00AB683C"/>
    <w:rsid w:val="00AB6B61"/>
    <w:rsid w:val="00AB6E40"/>
    <w:rsid w:val="00AB70C9"/>
    <w:rsid w:val="00AC0F71"/>
    <w:rsid w:val="00AC12E6"/>
    <w:rsid w:val="00AC178B"/>
    <w:rsid w:val="00AC17E6"/>
    <w:rsid w:val="00AC17ED"/>
    <w:rsid w:val="00AC1B57"/>
    <w:rsid w:val="00AC1BF1"/>
    <w:rsid w:val="00AC1CAB"/>
    <w:rsid w:val="00AC1DBC"/>
    <w:rsid w:val="00AC1ED9"/>
    <w:rsid w:val="00AC1F2F"/>
    <w:rsid w:val="00AC2001"/>
    <w:rsid w:val="00AC2160"/>
    <w:rsid w:val="00AC22D8"/>
    <w:rsid w:val="00AC26F2"/>
    <w:rsid w:val="00AC290B"/>
    <w:rsid w:val="00AC2936"/>
    <w:rsid w:val="00AC2E8E"/>
    <w:rsid w:val="00AC35CB"/>
    <w:rsid w:val="00AC380C"/>
    <w:rsid w:val="00AC38AA"/>
    <w:rsid w:val="00AC4BA5"/>
    <w:rsid w:val="00AC4D19"/>
    <w:rsid w:val="00AC4E94"/>
    <w:rsid w:val="00AC50D6"/>
    <w:rsid w:val="00AC5599"/>
    <w:rsid w:val="00AC55A2"/>
    <w:rsid w:val="00AC57BA"/>
    <w:rsid w:val="00AC5976"/>
    <w:rsid w:val="00AC5AE2"/>
    <w:rsid w:val="00AC5D30"/>
    <w:rsid w:val="00AC5E5C"/>
    <w:rsid w:val="00AC5F51"/>
    <w:rsid w:val="00AC607F"/>
    <w:rsid w:val="00AC638F"/>
    <w:rsid w:val="00AC6EAB"/>
    <w:rsid w:val="00AC6FA4"/>
    <w:rsid w:val="00AC7127"/>
    <w:rsid w:val="00AC745F"/>
    <w:rsid w:val="00AC74AE"/>
    <w:rsid w:val="00AC7607"/>
    <w:rsid w:val="00AC78DB"/>
    <w:rsid w:val="00AC79AD"/>
    <w:rsid w:val="00AC7FF0"/>
    <w:rsid w:val="00AD0A98"/>
    <w:rsid w:val="00AD0D12"/>
    <w:rsid w:val="00AD0EC2"/>
    <w:rsid w:val="00AD1223"/>
    <w:rsid w:val="00AD1472"/>
    <w:rsid w:val="00AD1513"/>
    <w:rsid w:val="00AD18F7"/>
    <w:rsid w:val="00AD198E"/>
    <w:rsid w:val="00AD1999"/>
    <w:rsid w:val="00AD1A77"/>
    <w:rsid w:val="00AD2495"/>
    <w:rsid w:val="00AD2863"/>
    <w:rsid w:val="00AD2D25"/>
    <w:rsid w:val="00AD3022"/>
    <w:rsid w:val="00AD303D"/>
    <w:rsid w:val="00AD348C"/>
    <w:rsid w:val="00AD3628"/>
    <w:rsid w:val="00AD3C4D"/>
    <w:rsid w:val="00AD3D80"/>
    <w:rsid w:val="00AD482F"/>
    <w:rsid w:val="00AD4C8C"/>
    <w:rsid w:val="00AD4E2F"/>
    <w:rsid w:val="00AD4EAF"/>
    <w:rsid w:val="00AD4FE7"/>
    <w:rsid w:val="00AD52F6"/>
    <w:rsid w:val="00AD5434"/>
    <w:rsid w:val="00AD55A6"/>
    <w:rsid w:val="00AD617C"/>
    <w:rsid w:val="00AD61CE"/>
    <w:rsid w:val="00AD6454"/>
    <w:rsid w:val="00AD6863"/>
    <w:rsid w:val="00AD6950"/>
    <w:rsid w:val="00AD697A"/>
    <w:rsid w:val="00AD6DBB"/>
    <w:rsid w:val="00AD7067"/>
    <w:rsid w:val="00AD70AF"/>
    <w:rsid w:val="00AD712A"/>
    <w:rsid w:val="00AD7186"/>
    <w:rsid w:val="00AD73B2"/>
    <w:rsid w:val="00AD73F1"/>
    <w:rsid w:val="00AE06B0"/>
    <w:rsid w:val="00AE071D"/>
    <w:rsid w:val="00AE0751"/>
    <w:rsid w:val="00AE07F6"/>
    <w:rsid w:val="00AE14A7"/>
    <w:rsid w:val="00AE1595"/>
    <w:rsid w:val="00AE162B"/>
    <w:rsid w:val="00AE1757"/>
    <w:rsid w:val="00AE2A5D"/>
    <w:rsid w:val="00AE2B79"/>
    <w:rsid w:val="00AE2FFC"/>
    <w:rsid w:val="00AE3020"/>
    <w:rsid w:val="00AE407B"/>
    <w:rsid w:val="00AE422A"/>
    <w:rsid w:val="00AE4648"/>
    <w:rsid w:val="00AE49D3"/>
    <w:rsid w:val="00AE4C78"/>
    <w:rsid w:val="00AE4CD0"/>
    <w:rsid w:val="00AE4CD2"/>
    <w:rsid w:val="00AE4F2A"/>
    <w:rsid w:val="00AE51A2"/>
    <w:rsid w:val="00AE540F"/>
    <w:rsid w:val="00AE5C0E"/>
    <w:rsid w:val="00AE61D1"/>
    <w:rsid w:val="00AE61F0"/>
    <w:rsid w:val="00AE65B8"/>
    <w:rsid w:val="00AE6942"/>
    <w:rsid w:val="00AE6FA2"/>
    <w:rsid w:val="00AE706B"/>
    <w:rsid w:val="00AE70E3"/>
    <w:rsid w:val="00AE70FE"/>
    <w:rsid w:val="00AE790E"/>
    <w:rsid w:val="00AE7A79"/>
    <w:rsid w:val="00AE7F7F"/>
    <w:rsid w:val="00AF0014"/>
    <w:rsid w:val="00AF036D"/>
    <w:rsid w:val="00AF0602"/>
    <w:rsid w:val="00AF067F"/>
    <w:rsid w:val="00AF0884"/>
    <w:rsid w:val="00AF0A82"/>
    <w:rsid w:val="00AF0AE6"/>
    <w:rsid w:val="00AF0B7B"/>
    <w:rsid w:val="00AF1054"/>
    <w:rsid w:val="00AF11FA"/>
    <w:rsid w:val="00AF1489"/>
    <w:rsid w:val="00AF1ACB"/>
    <w:rsid w:val="00AF2033"/>
    <w:rsid w:val="00AF22ED"/>
    <w:rsid w:val="00AF23F1"/>
    <w:rsid w:val="00AF2658"/>
    <w:rsid w:val="00AF27CF"/>
    <w:rsid w:val="00AF2C50"/>
    <w:rsid w:val="00AF2FD6"/>
    <w:rsid w:val="00AF32F4"/>
    <w:rsid w:val="00AF3873"/>
    <w:rsid w:val="00AF38CA"/>
    <w:rsid w:val="00AF3D45"/>
    <w:rsid w:val="00AF3F58"/>
    <w:rsid w:val="00AF41FD"/>
    <w:rsid w:val="00AF42AA"/>
    <w:rsid w:val="00AF42F7"/>
    <w:rsid w:val="00AF59F2"/>
    <w:rsid w:val="00AF5B47"/>
    <w:rsid w:val="00AF5DFD"/>
    <w:rsid w:val="00AF5F31"/>
    <w:rsid w:val="00AF6C21"/>
    <w:rsid w:val="00AF6E1D"/>
    <w:rsid w:val="00AF702D"/>
    <w:rsid w:val="00AF7118"/>
    <w:rsid w:val="00AF7720"/>
    <w:rsid w:val="00AF77EE"/>
    <w:rsid w:val="00AF7BA5"/>
    <w:rsid w:val="00AF7BEC"/>
    <w:rsid w:val="00AF7C45"/>
    <w:rsid w:val="00AF7C63"/>
    <w:rsid w:val="00B0021A"/>
    <w:rsid w:val="00B002AD"/>
    <w:rsid w:val="00B0038C"/>
    <w:rsid w:val="00B00906"/>
    <w:rsid w:val="00B010CB"/>
    <w:rsid w:val="00B010E1"/>
    <w:rsid w:val="00B0136C"/>
    <w:rsid w:val="00B01815"/>
    <w:rsid w:val="00B01A31"/>
    <w:rsid w:val="00B0201E"/>
    <w:rsid w:val="00B024DF"/>
    <w:rsid w:val="00B02E43"/>
    <w:rsid w:val="00B02F63"/>
    <w:rsid w:val="00B03350"/>
    <w:rsid w:val="00B035E7"/>
    <w:rsid w:val="00B03AD0"/>
    <w:rsid w:val="00B03FE3"/>
    <w:rsid w:val="00B0484B"/>
    <w:rsid w:val="00B04BA2"/>
    <w:rsid w:val="00B04E3F"/>
    <w:rsid w:val="00B04F02"/>
    <w:rsid w:val="00B05257"/>
    <w:rsid w:val="00B06016"/>
    <w:rsid w:val="00B06D64"/>
    <w:rsid w:val="00B0724D"/>
    <w:rsid w:val="00B075E6"/>
    <w:rsid w:val="00B07BF4"/>
    <w:rsid w:val="00B07C02"/>
    <w:rsid w:val="00B10382"/>
    <w:rsid w:val="00B10644"/>
    <w:rsid w:val="00B106FA"/>
    <w:rsid w:val="00B10B8C"/>
    <w:rsid w:val="00B10BBE"/>
    <w:rsid w:val="00B10C51"/>
    <w:rsid w:val="00B10C7D"/>
    <w:rsid w:val="00B10C89"/>
    <w:rsid w:val="00B10FE3"/>
    <w:rsid w:val="00B110B2"/>
    <w:rsid w:val="00B111E5"/>
    <w:rsid w:val="00B11297"/>
    <w:rsid w:val="00B11547"/>
    <w:rsid w:val="00B11B00"/>
    <w:rsid w:val="00B11B09"/>
    <w:rsid w:val="00B11BE2"/>
    <w:rsid w:val="00B11CBD"/>
    <w:rsid w:val="00B12656"/>
    <w:rsid w:val="00B129BF"/>
    <w:rsid w:val="00B12CEA"/>
    <w:rsid w:val="00B12F29"/>
    <w:rsid w:val="00B13869"/>
    <w:rsid w:val="00B1389B"/>
    <w:rsid w:val="00B13FFF"/>
    <w:rsid w:val="00B140EC"/>
    <w:rsid w:val="00B143B9"/>
    <w:rsid w:val="00B14A25"/>
    <w:rsid w:val="00B14A91"/>
    <w:rsid w:val="00B14BB4"/>
    <w:rsid w:val="00B14C7D"/>
    <w:rsid w:val="00B15109"/>
    <w:rsid w:val="00B15333"/>
    <w:rsid w:val="00B158D8"/>
    <w:rsid w:val="00B15CC5"/>
    <w:rsid w:val="00B15D31"/>
    <w:rsid w:val="00B15E36"/>
    <w:rsid w:val="00B15F2A"/>
    <w:rsid w:val="00B1618C"/>
    <w:rsid w:val="00B162FB"/>
    <w:rsid w:val="00B164CC"/>
    <w:rsid w:val="00B1686A"/>
    <w:rsid w:val="00B16B7A"/>
    <w:rsid w:val="00B16EE4"/>
    <w:rsid w:val="00B17783"/>
    <w:rsid w:val="00B178D2"/>
    <w:rsid w:val="00B17ABF"/>
    <w:rsid w:val="00B17AD1"/>
    <w:rsid w:val="00B17E31"/>
    <w:rsid w:val="00B20176"/>
    <w:rsid w:val="00B203AB"/>
    <w:rsid w:val="00B20569"/>
    <w:rsid w:val="00B2061B"/>
    <w:rsid w:val="00B20806"/>
    <w:rsid w:val="00B208E0"/>
    <w:rsid w:val="00B210CD"/>
    <w:rsid w:val="00B2151E"/>
    <w:rsid w:val="00B21A0E"/>
    <w:rsid w:val="00B21E37"/>
    <w:rsid w:val="00B21FCA"/>
    <w:rsid w:val="00B22084"/>
    <w:rsid w:val="00B22286"/>
    <w:rsid w:val="00B22522"/>
    <w:rsid w:val="00B226DB"/>
    <w:rsid w:val="00B22755"/>
    <w:rsid w:val="00B229E9"/>
    <w:rsid w:val="00B22A13"/>
    <w:rsid w:val="00B230EC"/>
    <w:rsid w:val="00B2352C"/>
    <w:rsid w:val="00B23916"/>
    <w:rsid w:val="00B23EB9"/>
    <w:rsid w:val="00B23EBC"/>
    <w:rsid w:val="00B23F04"/>
    <w:rsid w:val="00B23F0A"/>
    <w:rsid w:val="00B24081"/>
    <w:rsid w:val="00B241B3"/>
    <w:rsid w:val="00B242EA"/>
    <w:rsid w:val="00B24429"/>
    <w:rsid w:val="00B24580"/>
    <w:rsid w:val="00B2459B"/>
    <w:rsid w:val="00B24A92"/>
    <w:rsid w:val="00B24E6B"/>
    <w:rsid w:val="00B25202"/>
    <w:rsid w:val="00B252FA"/>
    <w:rsid w:val="00B255C8"/>
    <w:rsid w:val="00B25AAB"/>
    <w:rsid w:val="00B25BA1"/>
    <w:rsid w:val="00B25C22"/>
    <w:rsid w:val="00B262E8"/>
    <w:rsid w:val="00B26377"/>
    <w:rsid w:val="00B2672D"/>
    <w:rsid w:val="00B26E01"/>
    <w:rsid w:val="00B26FEC"/>
    <w:rsid w:val="00B27282"/>
    <w:rsid w:val="00B27475"/>
    <w:rsid w:val="00B279E1"/>
    <w:rsid w:val="00B27AAB"/>
    <w:rsid w:val="00B27CF4"/>
    <w:rsid w:val="00B27F52"/>
    <w:rsid w:val="00B3004C"/>
    <w:rsid w:val="00B303F3"/>
    <w:rsid w:val="00B30453"/>
    <w:rsid w:val="00B3073E"/>
    <w:rsid w:val="00B309F7"/>
    <w:rsid w:val="00B30F35"/>
    <w:rsid w:val="00B31058"/>
    <w:rsid w:val="00B3152F"/>
    <w:rsid w:val="00B315DE"/>
    <w:rsid w:val="00B31C8B"/>
    <w:rsid w:val="00B31E39"/>
    <w:rsid w:val="00B3207A"/>
    <w:rsid w:val="00B32168"/>
    <w:rsid w:val="00B32285"/>
    <w:rsid w:val="00B325E7"/>
    <w:rsid w:val="00B32977"/>
    <w:rsid w:val="00B33973"/>
    <w:rsid w:val="00B33CE3"/>
    <w:rsid w:val="00B33DEB"/>
    <w:rsid w:val="00B33FBD"/>
    <w:rsid w:val="00B346B7"/>
    <w:rsid w:val="00B346CC"/>
    <w:rsid w:val="00B34988"/>
    <w:rsid w:val="00B34992"/>
    <w:rsid w:val="00B34E26"/>
    <w:rsid w:val="00B35599"/>
    <w:rsid w:val="00B355AA"/>
    <w:rsid w:val="00B356AD"/>
    <w:rsid w:val="00B35805"/>
    <w:rsid w:val="00B35A05"/>
    <w:rsid w:val="00B35A12"/>
    <w:rsid w:val="00B35AB8"/>
    <w:rsid w:val="00B35D85"/>
    <w:rsid w:val="00B35E06"/>
    <w:rsid w:val="00B3615A"/>
    <w:rsid w:val="00B365D1"/>
    <w:rsid w:val="00B366C9"/>
    <w:rsid w:val="00B36DAD"/>
    <w:rsid w:val="00B3715B"/>
    <w:rsid w:val="00B4040F"/>
    <w:rsid w:val="00B40611"/>
    <w:rsid w:val="00B40CE5"/>
    <w:rsid w:val="00B40F9E"/>
    <w:rsid w:val="00B4179E"/>
    <w:rsid w:val="00B417C1"/>
    <w:rsid w:val="00B41C05"/>
    <w:rsid w:val="00B41E2E"/>
    <w:rsid w:val="00B42198"/>
    <w:rsid w:val="00B421F1"/>
    <w:rsid w:val="00B4270B"/>
    <w:rsid w:val="00B42948"/>
    <w:rsid w:val="00B42A69"/>
    <w:rsid w:val="00B430C1"/>
    <w:rsid w:val="00B4371F"/>
    <w:rsid w:val="00B43720"/>
    <w:rsid w:val="00B43938"/>
    <w:rsid w:val="00B43C4E"/>
    <w:rsid w:val="00B43E9D"/>
    <w:rsid w:val="00B44403"/>
    <w:rsid w:val="00B44D1C"/>
    <w:rsid w:val="00B44E65"/>
    <w:rsid w:val="00B4506B"/>
    <w:rsid w:val="00B450AF"/>
    <w:rsid w:val="00B4594E"/>
    <w:rsid w:val="00B45EE4"/>
    <w:rsid w:val="00B46026"/>
    <w:rsid w:val="00B463A0"/>
    <w:rsid w:val="00B46975"/>
    <w:rsid w:val="00B46CB6"/>
    <w:rsid w:val="00B46DB8"/>
    <w:rsid w:val="00B46DE3"/>
    <w:rsid w:val="00B46EDB"/>
    <w:rsid w:val="00B4716F"/>
    <w:rsid w:val="00B473C6"/>
    <w:rsid w:val="00B47AE3"/>
    <w:rsid w:val="00B47BAD"/>
    <w:rsid w:val="00B47BE4"/>
    <w:rsid w:val="00B502F8"/>
    <w:rsid w:val="00B50315"/>
    <w:rsid w:val="00B50329"/>
    <w:rsid w:val="00B50CC9"/>
    <w:rsid w:val="00B50EDA"/>
    <w:rsid w:val="00B511AA"/>
    <w:rsid w:val="00B51464"/>
    <w:rsid w:val="00B51521"/>
    <w:rsid w:val="00B515EE"/>
    <w:rsid w:val="00B51A17"/>
    <w:rsid w:val="00B51BE8"/>
    <w:rsid w:val="00B51FC8"/>
    <w:rsid w:val="00B520B7"/>
    <w:rsid w:val="00B52200"/>
    <w:rsid w:val="00B5239F"/>
    <w:rsid w:val="00B524DD"/>
    <w:rsid w:val="00B524E7"/>
    <w:rsid w:val="00B52FE0"/>
    <w:rsid w:val="00B537E4"/>
    <w:rsid w:val="00B538B4"/>
    <w:rsid w:val="00B538DF"/>
    <w:rsid w:val="00B53AAF"/>
    <w:rsid w:val="00B53FC6"/>
    <w:rsid w:val="00B5457C"/>
    <w:rsid w:val="00B545EC"/>
    <w:rsid w:val="00B549D4"/>
    <w:rsid w:val="00B54B86"/>
    <w:rsid w:val="00B54D51"/>
    <w:rsid w:val="00B54D94"/>
    <w:rsid w:val="00B54ED1"/>
    <w:rsid w:val="00B550C6"/>
    <w:rsid w:val="00B56310"/>
    <w:rsid w:val="00B563AE"/>
    <w:rsid w:val="00B5651F"/>
    <w:rsid w:val="00B56914"/>
    <w:rsid w:val="00B56B2D"/>
    <w:rsid w:val="00B56C76"/>
    <w:rsid w:val="00B574D2"/>
    <w:rsid w:val="00B57605"/>
    <w:rsid w:val="00B5771A"/>
    <w:rsid w:val="00B577FC"/>
    <w:rsid w:val="00B6048D"/>
    <w:rsid w:val="00B60F98"/>
    <w:rsid w:val="00B61698"/>
    <w:rsid w:val="00B61EB4"/>
    <w:rsid w:val="00B62719"/>
    <w:rsid w:val="00B62823"/>
    <w:rsid w:val="00B629C2"/>
    <w:rsid w:val="00B62D43"/>
    <w:rsid w:val="00B62DA1"/>
    <w:rsid w:val="00B62F49"/>
    <w:rsid w:val="00B6341A"/>
    <w:rsid w:val="00B63612"/>
    <w:rsid w:val="00B63A58"/>
    <w:rsid w:val="00B63CB4"/>
    <w:rsid w:val="00B6483A"/>
    <w:rsid w:val="00B64C29"/>
    <w:rsid w:val="00B64E84"/>
    <w:rsid w:val="00B64EEA"/>
    <w:rsid w:val="00B655CE"/>
    <w:rsid w:val="00B65985"/>
    <w:rsid w:val="00B660A0"/>
    <w:rsid w:val="00B66272"/>
    <w:rsid w:val="00B6668A"/>
    <w:rsid w:val="00B66748"/>
    <w:rsid w:val="00B66B71"/>
    <w:rsid w:val="00B66BEC"/>
    <w:rsid w:val="00B66E46"/>
    <w:rsid w:val="00B670A1"/>
    <w:rsid w:val="00B670B0"/>
    <w:rsid w:val="00B67353"/>
    <w:rsid w:val="00B674B0"/>
    <w:rsid w:val="00B67536"/>
    <w:rsid w:val="00B67BB2"/>
    <w:rsid w:val="00B67E16"/>
    <w:rsid w:val="00B700F5"/>
    <w:rsid w:val="00B702C1"/>
    <w:rsid w:val="00B7070A"/>
    <w:rsid w:val="00B71260"/>
    <w:rsid w:val="00B713B3"/>
    <w:rsid w:val="00B7198A"/>
    <w:rsid w:val="00B71B31"/>
    <w:rsid w:val="00B71EEB"/>
    <w:rsid w:val="00B72130"/>
    <w:rsid w:val="00B72A08"/>
    <w:rsid w:val="00B72BA3"/>
    <w:rsid w:val="00B7342E"/>
    <w:rsid w:val="00B73534"/>
    <w:rsid w:val="00B7355C"/>
    <w:rsid w:val="00B73608"/>
    <w:rsid w:val="00B739EE"/>
    <w:rsid w:val="00B73A5D"/>
    <w:rsid w:val="00B73AD7"/>
    <w:rsid w:val="00B73E7E"/>
    <w:rsid w:val="00B73EBF"/>
    <w:rsid w:val="00B740DE"/>
    <w:rsid w:val="00B745EC"/>
    <w:rsid w:val="00B7470D"/>
    <w:rsid w:val="00B74803"/>
    <w:rsid w:val="00B74839"/>
    <w:rsid w:val="00B74862"/>
    <w:rsid w:val="00B74CCA"/>
    <w:rsid w:val="00B74FF6"/>
    <w:rsid w:val="00B75089"/>
    <w:rsid w:val="00B752BE"/>
    <w:rsid w:val="00B75504"/>
    <w:rsid w:val="00B765C9"/>
    <w:rsid w:val="00B768D7"/>
    <w:rsid w:val="00B769A6"/>
    <w:rsid w:val="00B76F46"/>
    <w:rsid w:val="00B770E1"/>
    <w:rsid w:val="00B77250"/>
    <w:rsid w:val="00B7741C"/>
    <w:rsid w:val="00B77BE3"/>
    <w:rsid w:val="00B77EE0"/>
    <w:rsid w:val="00B80302"/>
    <w:rsid w:val="00B8038B"/>
    <w:rsid w:val="00B80404"/>
    <w:rsid w:val="00B8074C"/>
    <w:rsid w:val="00B80C1F"/>
    <w:rsid w:val="00B80E77"/>
    <w:rsid w:val="00B810BE"/>
    <w:rsid w:val="00B817C2"/>
    <w:rsid w:val="00B8235E"/>
    <w:rsid w:val="00B824D4"/>
    <w:rsid w:val="00B82994"/>
    <w:rsid w:val="00B829AF"/>
    <w:rsid w:val="00B82A7F"/>
    <w:rsid w:val="00B82B35"/>
    <w:rsid w:val="00B82B88"/>
    <w:rsid w:val="00B82D38"/>
    <w:rsid w:val="00B82EB7"/>
    <w:rsid w:val="00B83755"/>
    <w:rsid w:val="00B83768"/>
    <w:rsid w:val="00B83893"/>
    <w:rsid w:val="00B838E4"/>
    <w:rsid w:val="00B83AA4"/>
    <w:rsid w:val="00B84093"/>
    <w:rsid w:val="00B84549"/>
    <w:rsid w:val="00B8458B"/>
    <w:rsid w:val="00B84AC2"/>
    <w:rsid w:val="00B84C32"/>
    <w:rsid w:val="00B84C87"/>
    <w:rsid w:val="00B84E02"/>
    <w:rsid w:val="00B84EA3"/>
    <w:rsid w:val="00B8513C"/>
    <w:rsid w:val="00B85310"/>
    <w:rsid w:val="00B85478"/>
    <w:rsid w:val="00B85696"/>
    <w:rsid w:val="00B85B6D"/>
    <w:rsid w:val="00B86263"/>
    <w:rsid w:val="00B86A5E"/>
    <w:rsid w:val="00B8741A"/>
    <w:rsid w:val="00B878A0"/>
    <w:rsid w:val="00B87AF8"/>
    <w:rsid w:val="00B87B37"/>
    <w:rsid w:val="00B87BF4"/>
    <w:rsid w:val="00B87FEA"/>
    <w:rsid w:val="00B90430"/>
    <w:rsid w:val="00B9043D"/>
    <w:rsid w:val="00B90679"/>
    <w:rsid w:val="00B90774"/>
    <w:rsid w:val="00B908DD"/>
    <w:rsid w:val="00B90BAC"/>
    <w:rsid w:val="00B9165B"/>
    <w:rsid w:val="00B91738"/>
    <w:rsid w:val="00B91995"/>
    <w:rsid w:val="00B91ACC"/>
    <w:rsid w:val="00B91B2B"/>
    <w:rsid w:val="00B91C6B"/>
    <w:rsid w:val="00B91FDA"/>
    <w:rsid w:val="00B9203F"/>
    <w:rsid w:val="00B926B1"/>
    <w:rsid w:val="00B926D3"/>
    <w:rsid w:val="00B92A2D"/>
    <w:rsid w:val="00B92B5B"/>
    <w:rsid w:val="00B92BD9"/>
    <w:rsid w:val="00B92FB3"/>
    <w:rsid w:val="00B93CA8"/>
    <w:rsid w:val="00B93CE1"/>
    <w:rsid w:val="00B940D4"/>
    <w:rsid w:val="00B9418D"/>
    <w:rsid w:val="00B94237"/>
    <w:rsid w:val="00B942B5"/>
    <w:rsid w:val="00B94469"/>
    <w:rsid w:val="00B9466A"/>
    <w:rsid w:val="00B94876"/>
    <w:rsid w:val="00B94944"/>
    <w:rsid w:val="00B94B39"/>
    <w:rsid w:val="00B94CEB"/>
    <w:rsid w:val="00B94D07"/>
    <w:rsid w:val="00B94DED"/>
    <w:rsid w:val="00B95170"/>
    <w:rsid w:val="00B955F9"/>
    <w:rsid w:val="00B958A3"/>
    <w:rsid w:val="00B95AAF"/>
    <w:rsid w:val="00B95B6C"/>
    <w:rsid w:val="00B95CDF"/>
    <w:rsid w:val="00B95D7F"/>
    <w:rsid w:val="00B95E97"/>
    <w:rsid w:val="00B9609F"/>
    <w:rsid w:val="00B9634E"/>
    <w:rsid w:val="00B96A77"/>
    <w:rsid w:val="00B96DC4"/>
    <w:rsid w:val="00B96E9B"/>
    <w:rsid w:val="00B9755E"/>
    <w:rsid w:val="00B9762B"/>
    <w:rsid w:val="00B97D31"/>
    <w:rsid w:val="00B97E8F"/>
    <w:rsid w:val="00B97F82"/>
    <w:rsid w:val="00BA00D0"/>
    <w:rsid w:val="00BA019F"/>
    <w:rsid w:val="00BA0673"/>
    <w:rsid w:val="00BA1B73"/>
    <w:rsid w:val="00BA1D54"/>
    <w:rsid w:val="00BA1FAE"/>
    <w:rsid w:val="00BA1FC8"/>
    <w:rsid w:val="00BA2006"/>
    <w:rsid w:val="00BA2056"/>
    <w:rsid w:val="00BA229A"/>
    <w:rsid w:val="00BA284A"/>
    <w:rsid w:val="00BA2909"/>
    <w:rsid w:val="00BA2A75"/>
    <w:rsid w:val="00BA2C75"/>
    <w:rsid w:val="00BA2D09"/>
    <w:rsid w:val="00BA327F"/>
    <w:rsid w:val="00BA349C"/>
    <w:rsid w:val="00BA3725"/>
    <w:rsid w:val="00BA3942"/>
    <w:rsid w:val="00BA394E"/>
    <w:rsid w:val="00BA3E1D"/>
    <w:rsid w:val="00BA4430"/>
    <w:rsid w:val="00BA4789"/>
    <w:rsid w:val="00BA4F33"/>
    <w:rsid w:val="00BA5193"/>
    <w:rsid w:val="00BA561C"/>
    <w:rsid w:val="00BA5736"/>
    <w:rsid w:val="00BA587E"/>
    <w:rsid w:val="00BA5A71"/>
    <w:rsid w:val="00BA5ABD"/>
    <w:rsid w:val="00BA62C4"/>
    <w:rsid w:val="00BA62F0"/>
    <w:rsid w:val="00BA6749"/>
    <w:rsid w:val="00BA687C"/>
    <w:rsid w:val="00BA6C0F"/>
    <w:rsid w:val="00BA6F6D"/>
    <w:rsid w:val="00BA7D6B"/>
    <w:rsid w:val="00BB0202"/>
    <w:rsid w:val="00BB06AB"/>
    <w:rsid w:val="00BB075E"/>
    <w:rsid w:val="00BB08BD"/>
    <w:rsid w:val="00BB0911"/>
    <w:rsid w:val="00BB0CED"/>
    <w:rsid w:val="00BB0DAF"/>
    <w:rsid w:val="00BB0ECB"/>
    <w:rsid w:val="00BB0F1E"/>
    <w:rsid w:val="00BB1147"/>
    <w:rsid w:val="00BB148B"/>
    <w:rsid w:val="00BB1875"/>
    <w:rsid w:val="00BB189F"/>
    <w:rsid w:val="00BB1BD4"/>
    <w:rsid w:val="00BB256D"/>
    <w:rsid w:val="00BB2616"/>
    <w:rsid w:val="00BB2C04"/>
    <w:rsid w:val="00BB2F20"/>
    <w:rsid w:val="00BB3237"/>
    <w:rsid w:val="00BB3945"/>
    <w:rsid w:val="00BB3F3A"/>
    <w:rsid w:val="00BB4138"/>
    <w:rsid w:val="00BB41AF"/>
    <w:rsid w:val="00BB424B"/>
    <w:rsid w:val="00BB425A"/>
    <w:rsid w:val="00BB4A31"/>
    <w:rsid w:val="00BB4F70"/>
    <w:rsid w:val="00BB50E9"/>
    <w:rsid w:val="00BB5D8F"/>
    <w:rsid w:val="00BB5DFE"/>
    <w:rsid w:val="00BB5E4F"/>
    <w:rsid w:val="00BB5ED7"/>
    <w:rsid w:val="00BB6AC2"/>
    <w:rsid w:val="00BB7080"/>
    <w:rsid w:val="00BB718B"/>
    <w:rsid w:val="00BB753C"/>
    <w:rsid w:val="00BB7545"/>
    <w:rsid w:val="00BB79BC"/>
    <w:rsid w:val="00BB7A36"/>
    <w:rsid w:val="00BB7D72"/>
    <w:rsid w:val="00BB7DF1"/>
    <w:rsid w:val="00BB7E28"/>
    <w:rsid w:val="00BB7E68"/>
    <w:rsid w:val="00BC0413"/>
    <w:rsid w:val="00BC07A2"/>
    <w:rsid w:val="00BC0BA1"/>
    <w:rsid w:val="00BC0CED"/>
    <w:rsid w:val="00BC0EBF"/>
    <w:rsid w:val="00BC0EEB"/>
    <w:rsid w:val="00BC1259"/>
    <w:rsid w:val="00BC1565"/>
    <w:rsid w:val="00BC15E7"/>
    <w:rsid w:val="00BC1890"/>
    <w:rsid w:val="00BC1E5C"/>
    <w:rsid w:val="00BC226A"/>
    <w:rsid w:val="00BC259A"/>
    <w:rsid w:val="00BC264C"/>
    <w:rsid w:val="00BC2861"/>
    <w:rsid w:val="00BC2BEC"/>
    <w:rsid w:val="00BC2F1F"/>
    <w:rsid w:val="00BC2F21"/>
    <w:rsid w:val="00BC3076"/>
    <w:rsid w:val="00BC329D"/>
    <w:rsid w:val="00BC3F0C"/>
    <w:rsid w:val="00BC468A"/>
    <w:rsid w:val="00BC48F3"/>
    <w:rsid w:val="00BC4C96"/>
    <w:rsid w:val="00BC5042"/>
    <w:rsid w:val="00BC53A3"/>
    <w:rsid w:val="00BC5534"/>
    <w:rsid w:val="00BC5B48"/>
    <w:rsid w:val="00BC5C89"/>
    <w:rsid w:val="00BC5E61"/>
    <w:rsid w:val="00BC5F06"/>
    <w:rsid w:val="00BC6056"/>
    <w:rsid w:val="00BC65DD"/>
    <w:rsid w:val="00BC6605"/>
    <w:rsid w:val="00BC6F8A"/>
    <w:rsid w:val="00BC6FF2"/>
    <w:rsid w:val="00BC739A"/>
    <w:rsid w:val="00BC78C4"/>
    <w:rsid w:val="00BD01F0"/>
    <w:rsid w:val="00BD0326"/>
    <w:rsid w:val="00BD0812"/>
    <w:rsid w:val="00BD08BD"/>
    <w:rsid w:val="00BD12CC"/>
    <w:rsid w:val="00BD12E9"/>
    <w:rsid w:val="00BD1455"/>
    <w:rsid w:val="00BD15B1"/>
    <w:rsid w:val="00BD1A05"/>
    <w:rsid w:val="00BD21EA"/>
    <w:rsid w:val="00BD25DF"/>
    <w:rsid w:val="00BD27C5"/>
    <w:rsid w:val="00BD2A88"/>
    <w:rsid w:val="00BD2AE0"/>
    <w:rsid w:val="00BD2B86"/>
    <w:rsid w:val="00BD2F49"/>
    <w:rsid w:val="00BD3466"/>
    <w:rsid w:val="00BD3527"/>
    <w:rsid w:val="00BD3731"/>
    <w:rsid w:val="00BD3E9B"/>
    <w:rsid w:val="00BD3FF1"/>
    <w:rsid w:val="00BD40F0"/>
    <w:rsid w:val="00BD4120"/>
    <w:rsid w:val="00BD42D6"/>
    <w:rsid w:val="00BD470A"/>
    <w:rsid w:val="00BD4959"/>
    <w:rsid w:val="00BD4C3D"/>
    <w:rsid w:val="00BD4EB4"/>
    <w:rsid w:val="00BD51AF"/>
    <w:rsid w:val="00BD56C3"/>
    <w:rsid w:val="00BD59D4"/>
    <w:rsid w:val="00BD68FB"/>
    <w:rsid w:val="00BD6C2D"/>
    <w:rsid w:val="00BD6EB2"/>
    <w:rsid w:val="00BD7A11"/>
    <w:rsid w:val="00BD7C90"/>
    <w:rsid w:val="00BD7DA4"/>
    <w:rsid w:val="00BD7E69"/>
    <w:rsid w:val="00BE002B"/>
    <w:rsid w:val="00BE00F0"/>
    <w:rsid w:val="00BE0484"/>
    <w:rsid w:val="00BE07C0"/>
    <w:rsid w:val="00BE0892"/>
    <w:rsid w:val="00BE0BA6"/>
    <w:rsid w:val="00BE0E73"/>
    <w:rsid w:val="00BE1286"/>
    <w:rsid w:val="00BE1368"/>
    <w:rsid w:val="00BE14BD"/>
    <w:rsid w:val="00BE1613"/>
    <w:rsid w:val="00BE16DE"/>
    <w:rsid w:val="00BE17EF"/>
    <w:rsid w:val="00BE1865"/>
    <w:rsid w:val="00BE1C39"/>
    <w:rsid w:val="00BE1D34"/>
    <w:rsid w:val="00BE1FD0"/>
    <w:rsid w:val="00BE26D1"/>
    <w:rsid w:val="00BE2873"/>
    <w:rsid w:val="00BE2879"/>
    <w:rsid w:val="00BE2BA2"/>
    <w:rsid w:val="00BE3102"/>
    <w:rsid w:val="00BE311E"/>
    <w:rsid w:val="00BE3134"/>
    <w:rsid w:val="00BE32E8"/>
    <w:rsid w:val="00BE3337"/>
    <w:rsid w:val="00BE35E3"/>
    <w:rsid w:val="00BE38D9"/>
    <w:rsid w:val="00BE3BAE"/>
    <w:rsid w:val="00BE3C46"/>
    <w:rsid w:val="00BE3CD9"/>
    <w:rsid w:val="00BE40AD"/>
    <w:rsid w:val="00BE45A4"/>
    <w:rsid w:val="00BE4623"/>
    <w:rsid w:val="00BE467C"/>
    <w:rsid w:val="00BE4D30"/>
    <w:rsid w:val="00BE4F5E"/>
    <w:rsid w:val="00BE4F8C"/>
    <w:rsid w:val="00BE585B"/>
    <w:rsid w:val="00BE5BD0"/>
    <w:rsid w:val="00BE5CC2"/>
    <w:rsid w:val="00BE5DD1"/>
    <w:rsid w:val="00BE6108"/>
    <w:rsid w:val="00BE6124"/>
    <w:rsid w:val="00BE6187"/>
    <w:rsid w:val="00BE6482"/>
    <w:rsid w:val="00BE67AD"/>
    <w:rsid w:val="00BE68F5"/>
    <w:rsid w:val="00BE7118"/>
    <w:rsid w:val="00BE71E7"/>
    <w:rsid w:val="00BE7257"/>
    <w:rsid w:val="00BE77A5"/>
    <w:rsid w:val="00BE7961"/>
    <w:rsid w:val="00BE796E"/>
    <w:rsid w:val="00BE7CEA"/>
    <w:rsid w:val="00BE7D39"/>
    <w:rsid w:val="00BE7F0B"/>
    <w:rsid w:val="00BF07E6"/>
    <w:rsid w:val="00BF0B8B"/>
    <w:rsid w:val="00BF0ECD"/>
    <w:rsid w:val="00BF12E1"/>
    <w:rsid w:val="00BF15FB"/>
    <w:rsid w:val="00BF1DC3"/>
    <w:rsid w:val="00BF2315"/>
    <w:rsid w:val="00BF2B63"/>
    <w:rsid w:val="00BF2B79"/>
    <w:rsid w:val="00BF348A"/>
    <w:rsid w:val="00BF359C"/>
    <w:rsid w:val="00BF3849"/>
    <w:rsid w:val="00BF4151"/>
    <w:rsid w:val="00BF4AEC"/>
    <w:rsid w:val="00BF4BBB"/>
    <w:rsid w:val="00BF4CE3"/>
    <w:rsid w:val="00BF526A"/>
    <w:rsid w:val="00BF54F3"/>
    <w:rsid w:val="00BF5C0D"/>
    <w:rsid w:val="00BF5FE9"/>
    <w:rsid w:val="00BF6110"/>
    <w:rsid w:val="00BF61E1"/>
    <w:rsid w:val="00BF6767"/>
    <w:rsid w:val="00BF678A"/>
    <w:rsid w:val="00BF67B6"/>
    <w:rsid w:val="00BF6853"/>
    <w:rsid w:val="00BF6AAB"/>
    <w:rsid w:val="00BF6F59"/>
    <w:rsid w:val="00BF7100"/>
    <w:rsid w:val="00BF7832"/>
    <w:rsid w:val="00C0005C"/>
    <w:rsid w:val="00C0013B"/>
    <w:rsid w:val="00C002E1"/>
    <w:rsid w:val="00C00400"/>
    <w:rsid w:val="00C00492"/>
    <w:rsid w:val="00C005EC"/>
    <w:rsid w:val="00C00750"/>
    <w:rsid w:val="00C007F0"/>
    <w:rsid w:val="00C0089B"/>
    <w:rsid w:val="00C008E9"/>
    <w:rsid w:val="00C00AC0"/>
    <w:rsid w:val="00C00EB3"/>
    <w:rsid w:val="00C011C0"/>
    <w:rsid w:val="00C01AA4"/>
    <w:rsid w:val="00C01AF4"/>
    <w:rsid w:val="00C01C63"/>
    <w:rsid w:val="00C0242D"/>
    <w:rsid w:val="00C02A33"/>
    <w:rsid w:val="00C02FE9"/>
    <w:rsid w:val="00C03148"/>
    <w:rsid w:val="00C034A8"/>
    <w:rsid w:val="00C037EA"/>
    <w:rsid w:val="00C03842"/>
    <w:rsid w:val="00C03DCF"/>
    <w:rsid w:val="00C03EF7"/>
    <w:rsid w:val="00C04130"/>
    <w:rsid w:val="00C046BD"/>
    <w:rsid w:val="00C04910"/>
    <w:rsid w:val="00C049AF"/>
    <w:rsid w:val="00C04C89"/>
    <w:rsid w:val="00C05239"/>
    <w:rsid w:val="00C0541E"/>
    <w:rsid w:val="00C05E88"/>
    <w:rsid w:val="00C06187"/>
    <w:rsid w:val="00C06513"/>
    <w:rsid w:val="00C06563"/>
    <w:rsid w:val="00C067EE"/>
    <w:rsid w:val="00C068DF"/>
    <w:rsid w:val="00C06985"/>
    <w:rsid w:val="00C06C98"/>
    <w:rsid w:val="00C06F49"/>
    <w:rsid w:val="00C071E0"/>
    <w:rsid w:val="00C0766A"/>
    <w:rsid w:val="00C07DB2"/>
    <w:rsid w:val="00C07E94"/>
    <w:rsid w:val="00C1044B"/>
    <w:rsid w:val="00C10518"/>
    <w:rsid w:val="00C10628"/>
    <w:rsid w:val="00C106F6"/>
    <w:rsid w:val="00C109DF"/>
    <w:rsid w:val="00C11065"/>
    <w:rsid w:val="00C1166E"/>
    <w:rsid w:val="00C116B0"/>
    <w:rsid w:val="00C1178E"/>
    <w:rsid w:val="00C11A15"/>
    <w:rsid w:val="00C11C75"/>
    <w:rsid w:val="00C120D3"/>
    <w:rsid w:val="00C12100"/>
    <w:rsid w:val="00C1214E"/>
    <w:rsid w:val="00C12639"/>
    <w:rsid w:val="00C13290"/>
    <w:rsid w:val="00C138F6"/>
    <w:rsid w:val="00C1479E"/>
    <w:rsid w:val="00C14A09"/>
    <w:rsid w:val="00C14A16"/>
    <w:rsid w:val="00C14AE5"/>
    <w:rsid w:val="00C14CB4"/>
    <w:rsid w:val="00C155F8"/>
    <w:rsid w:val="00C1598A"/>
    <w:rsid w:val="00C15B8E"/>
    <w:rsid w:val="00C1628F"/>
    <w:rsid w:val="00C162B8"/>
    <w:rsid w:val="00C1640A"/>
    <w:rsid w:val="00C1679E"/>
    <w:rsid w:val="00C16AC9"/>
    <w:rsid w:val="00C16E11"/>
    <w:rsid w:val="00C1701D"/>
    <w:rsid w:val="00C173F8"/>
    <w:rsid w:val="00C17768"/>
    <w:rsid w:val="00C17949"/>
    <w:rsid w:val="00C17BFB"/>
    <w:rsid w:val="00C17CEC"/>
    <w:rsid w:val="00C17DB3"/>
    <w:rsid w:val="00C20024"/>
    <w:rsid w:val="00C2017F"/>
    <w:rsid w:val="00C2028D"/>
    <w:rsid w:val="00C206AE"/>
    <w:rsid w:val="00C206CE"/>
    <w:rsid w:val="00C2081F"/>
    <w:rsid w:val="00C20858"/>
    <w:rsid w:val="00C20E3E"/>
    <w:rsid w:val="00C20E57"/>
    <w:rsid w:val="00C2103C"/>
    <w:rsid w:val="00C21E21"/>
    <w:rsid w:val="00C221E3"/>
    <w:rsid w:val="00C22407"/>
    <w:rsid w:val="00C2246B"/>
    <w:rsid w:val="00C22E4D"/>
    <w:rsid w:val="00C23158"/>
    <w:rsid w:val="00C23168"/>
    <w:rsid w:val="00C23C2E"/>
    <w:rsid w:val="00C23CFD"/>
    <w:rsid w:val="00C23F5A"/>
    <w:rsid w:val="00C24432"/>
    <w:rsid w:val="00C24AB6"/>
    <w:rsid w:val="00C24CDD"/>
    <w:rsid w:val="00C24F98"/>
    <w:rsid w:val="00C25079"/>
    <w:rsid w:val="00C253BF"/>
    <w:rsid w:val="00C25963"/>
    <w:rsid w:val="00C25E28"/>
    <w:rsid w:val="00C2605D"/>
    <w:rsid w:val="00C26372"/>
    <w:rsid w:val="00C270F8"/>
    <w:rsid w:val="00C2712C"/>
    <w:rsid w:val="00C279AD"/>
    <w:rsid w:val="00C27DE9"/>
    <w:rsid w:val="00C301E6"/>
    <w:rsid w:val="00C3032B"/>
    <w:rsid w:val="00C3041B"/>
    <w:rsid w:val="00C3078B"/>
    <w:rsid w:val="00C30E49"/>
    <w:rsid w:val="00C30F36"/>
    <w:rsid w:val="00C31370"/>
    <w:rsid w:val="00C313E3"/>
    <w:rsid w:val="00C31758"/>
    <w:rsid w:val="00C319E0"/>
    <w:rsid w:val="00C319E6"/>
    <w:rsid w:val="00C31C6E"/>
    <w:rsid w:val="00C31E19"/>
    <w:rsid w:val="00C321B2"/>
    <w:rsid w:val="00C32254"/>
    <w:rsid w:val="00C32B5B"/>
    <w:rsid w:val="00C338E3"/>
    <w:rsid w:val="00C33AC1"/>
    <w:rsid w:val="00C33C73"/>
    <w:rsid w:val="00C33E53"/>
    <w:rsid w:val="00C34262"/>
    <w:rsid w:val="00C3475F"/>
    <w:rsid w:val="00C35098"/>
    <w:rsid w:val="00C35807"/>
    <w:rsid w:val="00C35822"/>
    <w:rsid w:val="00C35BD3"/>
    <w:rsid w:val="00C36011"/>
    <w:rsid w:val="00C36363"/>
    <w:rsid w:val="00C36649"/>
    <w:rsid w:val="00C36DD0"/>
    <w:rsid w:val="00C373C8"/>
    <w:rsid w:val="00C37822"/>
    <w:rsid w:val="00C37C06"/>
    <w:rsid w:val="00C37FBD"/>
    <w:rsid w:val="00C40605"/>
    <w:rsid w:val="00C4091E"/>
    <w:rsid w:val="00C40BCF"/>
    <w:rsid w:val="00C40F30"/>
    <w:rsid w:val="00C411EC"/>
    <w:rsid w:val="00C413EA"/>
    <w:rsid w:val="00C415A1"/>
    <w:rsid w:val="00C417B3"/>
    <w:rsid w:val="00C41ACF"/>
    <w:rsid w:val="00C41CA4"/>
    <w:rsid w:val="00C427B5"/>
    <w:rsid w:val="00C428D0"/>
    <w:rsid w:val="00C42B40"/>
    <w:rsid w:val="00C42CDA"/>
    <w:rsid w:val="00C42D07"/>
    <w:rsid w:val="00C43052"/>
    <w:rsid w:val="00C43065"/>
    <w:rsid w:val="00C43420"/>
    <w:rsid w:val="00C43CD4"/>
    <w:rsid w:val="00C440C5"/>
    <w:rsid w:val="00C44111"/>
    <w:rsid w:val="00C44D13"/>
    <w:rsid w:val="00C44D9D"/>
    <w:rsid w:val="00C451D1"/>
    <w:rsid w:val="00C458B5"/>
    <w:rsid w:val="00C459A9"/>
    <w:rsid w:val="00C45E6E"/>
    <w:rsid w:val="00C46151"/>
    <w:rsid w:val="00C46850"/>
    <w:rsid w:val="00C468FE"/>
    <w:rsid w:val="00C46A83"/>
    <w:rsid w:val="00C46B3F"/>
    <w:rsid w:val="00C46FFA"/>
    <w:rsid w:val="00C50404"/>
    <w:rsid w:val="00C50411"/>
    <w:rsid w:val="00C50493"/>
    <w:rsid w:val="00C505C0"/>
    <w:rsid w:val="00C50739"/>
    <w:rsid w:val="00C50CBC"/>
    <w:rsid w:val="00C50FCB"/>
    <w:rsid w:val="00C513DB"/>
    <w:rsid w:val="00C51529"/>
    <w:rsid w:val="00C516D2"/>
    <w:rsid w:val="00C51F26"/>
    <w:rsid w:val="00C5288A"/>
    <w:rsid w:val="00C52FBA"/>
    <w:rsid w:val="00C53838"/>
    <w:rsid w:val="00C539B3"/>
    <w:rsid w:val="00C53B2F"/>
    <w:rsid w:val="00C53B31"/>
    <w:rsid w:val="00C53C01"/>
    <w:rsid w:val="00C53C52"/>
    <w:rsid w:val="00C54168"/>
    <w:rsid w:val="00C544DF"/>
    <w:rsid w:val="00C54836"/>
    <w:rsid w:val="00C54A88"/>
    <w:rsid w:val="00C54DCB"/>
    <w:rsid w:val="00C54E0A"/>
    <w:rsid w:val="00C551E9"/>
    <w:rsid w:val="00C55315"/>
    <w:rsid w:val="00C55321"/>
    <w:rsid w:val="00C55580"/>
    <w:rsid w:val="00C5566E"/>
    <w:rsid w:val="00C55A7B"/>
    <w:rsid w:val="00C55E60"/>
    <w:rsid w:val="00C56256"/>
    <w:rsid w:val="00C565ED"/>
    <w:rsid w:val="00C567CB"/>
    <w:rsid w:val="00C56A12"/>
    <w:rsid w:val="00C56BD0"/>
    <w:rsid w:val="00C56F9D"/>
    <w:rsid w:val="00C574E4"/>
    <w:rsid w:val="00C5766F"/>
    <w:rsid w:val="00C57753"/>
    <w:rsid w:val="00C57951"/>
    <w:rsid w:val="00C5795F"/>
    <w:rsid w:val="00C57BE9"/>
    <w:rsid w:val="00C57DA9"/>
    <w:rsid w:val="00C57F0A"/>
    <w:rsid w:val="00C602C7"/>
    <w:rsid w:val="00C605C5"/>
    <w:rsid w:val="00C60AD3"/>
    <w:rsid w:val="00C60F9F"/>
    <w:rsid w:val="00C6174E"/>
    <w:rsid w:val="00C61C31"/>
    <w:rsid w:val="00C623B9"/>
    <w:rsid w:val="00C6291A"/>
    <w:rsid w:val="00C62A04"/>
    <w:rsid w:val="00C62C78"/>
    <w:rsid w:val="00C631EA"/>
    <w:rsid w:val="00C6377B"/>
    <w:rsid w:val="00C63993"/>
    <w:rsid w:val="00C639ED"/>
    <w:rsid w:val="00C63BE6"/>
    <w:rsid w:val="00C63DF0"/>
    <w:rsid w:val="00C64489"/>
    <w:rsid w:val="00C6480A"/>
    <w:rsid w:val="00C651BD"/>
    <w:rsid w:val="00C652AF"/>
    <w:rsid w:val="00C6591D"/>
    <w:rsid w:val="00C66A0D"/>
    <w:rsid w:val="00C66CC6"/>
    <w:rsid w:val="00C66E0F"/>
    <w:rsid w:val="00C66F13"/>
    <w:rsid w:val="00C670B5"/>
    <w:rsid w:val="00C670EB"/>
    <w:rsid w:val="00C6711B"/>
    <w:rsid w:val="00C679B8"/>
    <w:rsid w:val="00C67A7E"/>
    <w:rsid w:val="00C67E66"/>
    <w:rsid w:val="00C70018"/>
    <w:rsid w:val="00C705C9"/>
    <w:rsid w:val="00C705F5"/>
    <w:rsid w:val="00C708CA"/>
    <w:rsid w:val="00C70C6F"/>
    <w:rsid w:val="00C70CE0"/>
    <w:rsid w:val="00C70E0B"/>
    <w:rsid w:val="00C710D9"/>
    <w:rsid w:val="00C7138A"/>
    <w:rsid w:val="00C713B6"/>
    <w:rsid w:val="00C7143D"/>
    <w:rsid w:val="00C715B2"/>
    <w:rsid w:val="00C7195F"/>
    <w:rsid w:val="00C71E2F"/>
    <w:rsid w:val="00C72097"/>
    <w:rsid w:val="00C72221"/>
    <w:rsid w:val="00C7277D"/>
    <w:rsid w:val="00C72F68"/>
    <w:rsid w:val="00C735E8"/>
    <w:rsid w:val="00C73844"/>
    <w:rsid w:val="00C73A7E"/>
    <w:rsid w:val="00C73E2E"/>
    <w:rsid w:val="00C73F4E"/>
    <w:rsid w:val="00C7414B"/>
    <w:rsid w:val="00C745BB"/>
    <w:rsid w:val="00C74BFC"/>
    <w:rsid w:val="00C74DE6"/>
    <w:rsid w:val="00C74F66"/>
    <w:rsid w:val="00C74FD6"/>
    <w:rsid w:val="00C750DC"/>
    <w:rsid w:val="00C75352"/>
    <w:rsid w:val="00C757A8"/>
    <w:rsid w:val="00C7598F"/>
    <w:rsid w:val="00C75F5C"/>
    <w:rsid w:val="00C766BD"/>
    <w:rsid w:val="00C76BD7"/>
    <w:rsid w:val="00C770FE"/>
    <w:rsid w:val="00C772CB"/>
    <w:rsid w:val="00C772D8"/>
    <w:rsid w:val="00C7770C"/>
    <w:rsid w:val="00C77E20"/>
    <w:rsid w:val="00C803C9"/>
    <w:rsid w:val="00C80513"/>
    <w:rsid w:val="00C80605"/>
    <w:rsid w:val="00C80A5F"/>
    <w:rsid w:val="00C81463"/>
    <w:rsid w:val="00C8182B"/>
    <w:rsid w:val="00C81F29"/>
    <w:rsid w:val="00C82125"/>
    <w:rsid w:val="00C823E1"/>
    <w:rsid w:val="00C8250D"/>
    <w:rsid w:val="00C82543"/>
    <w:rsid w:val="00C82B9A"/>
    <w:rsid w:val="00C82C5D"/>
    <w:rsid w:val="00C82EAB"/>
    <w:rsid w:val="00C82ED7"/>
    <w:rsid w:val="00C8338C"/>
    <w:rsid w:val="00C8344B"/>
    <w:rsid w:val="00C83739"/>
    <w:rsid w:val="00C83D00"/>
    <w:rsid w:val="00C83E8D"/>
    <w:rsid w:val="00C848A2"/>
    <w:rsid w:val="00C8509E"/>
    <w:rsid w:val="00C853B9"/>
    <w:rsid w:val="00C85CC0"/>
    <w:rsid w:val="00C85ED3"/>
    <w:rsid w:val="00C8616F"/>
    <w:rsid w:val="00C8617F"/>
    <w:rsid w:val="00C86675"/>
    <w:rsid w:val="00C8667B"/>
    <w:rsid w:val="00C867CA"/>
    <w:rsid w:val="00C868E8"/>
    <w:rsid w:val="00C86A58"/>
    <w:rsid w:val="00C86AAC"/>
    <w:rsid w:val="00C86F1B"/>
    <w:rsid w:val="00C90095"/>
    <w:rsid w:val="00C90201"/>
    <w:rsid w:val="00C90DFB"/>
    <w:rsid w:val="00C90EB8"/>
    <w:rsid w:val="00C90F47"/>
    <w:rsid w:val="00C9136F"/>
    <w:rsid w:val="00C91693"/>
    <w:rsid w:val="00C91BC8"/>
    <w:rsid w:val="00C9204C"/>
    <w:rsid w:val="00C923EB"/>
    <w:rsid w:val="00C9245D"/>
    <w:rsid w:val="00C929A3"/>
    <w:rsid w:val="00C93A5E"/>
    <w:rsid w:val="00C93C8B"/>
    <w:rsid w:val="00C93CDE"/>
    <w:rsid w:val="00C9404C"/>
    <w:rsid w:val="00C94434"/>
    <w:rsid w:val="00C9457E"/>
    <w:rsid w:val="00C948EA"/>
    <w:rsid w:val="00C94D57"/>
    <w:rsid w:val="00C952CD"/>
    <w:rsid w:val="00C955E3"/>
    <w:rsid w:val="00C95E56"/>
    <w:rsid w:val="00C96001"/>
    <w:rsid w:val="00C960BC"/>
    <w:rsid w:val="00C961BD"/>
    <w:rsid w:val="00C966F6"/>
    <w:rsid w:val="00C967FF"/>
    <w:rsid w:val="00C96936"/>
    <w:rsid w:val="00C9697D"/>
    <w:rsid w:val="00C96CFD"/>
    <w:rsid w:val="00C96D5F"/>
    <w:rsid w:val="00C976F4"/>
    <w:rsid w:val="00C977AA"/>
    <w:rsid w:val="00C9786C"/>
    <w:rsid w:val="00C97CF8"/>
    <w:rsid w:val="00CA0080"/>
    <w:rsid w:val="00CA0224"/>
    <w:rsid w:val="00CA0479"/>
    <w:rsid w:val="00CA0528"/>
    <w:rsid w:val="00CA0950"/>
    <w:rsid w:val="00CA0A48"/>
    <w:rsid w:val="00CA0AE3"/>
    <w:rsid w:val="00CA0B64"/>
    <w:rsid w:val="00CA0DBF"/>
    <w:rsid w:val="00CA10D3"/>
    <w:rsid w:val="00CA1E42"/>
    <w:rsid w:val="00CA2005"/>
    <w:rsid w:val="00CA2589"/>
    <w:rsid w:val="00CA2620"/>
    <w:rsid w:val="00CA265E"/>
    <w:rsid w:val="00CA2891"/>
    <w:rsid w:val="00CA2C37"/>
    <w:rsid w:val="00CA2CB3"/>
    <w:rsid w:val="00CA3563"/>
    <w:rsid w:val="00CA395C"/>
    <w:rsid w:val="00CA3A56"/>
    <w:rsid w:val="00CA3AA5"/>
    <w:rsid w:val="00CA3B66"/>
    <w:rsid w:val="00CA40E9"/>
    <w:rsid w:val="00CA47D8"/>
    <w:rsid w:val="00CA55D4"/>
    <w:rsid w:val="00CA561B"/>
    <w:rsid w:val="00CA58F0"/>
    <w:rsid w:val="00CA606A"/>
    <w:rsid w:val="00CA6361"/>
    <w:rsid w:val="00CA65B8"/>
    <w:rsid w:val="00CA6915"/>
    <w:rsid w:val="00CA6A20"/>
    <w:rsid w:val="00CA7410"/>
    <w:rsid w:val="00CA773C"/>
    <w:rsid w:val="00CA7C31"/>
    <w:rsid w:val="00CB0201"/>
    <w:rsid w:val="00CB04E0"/>
    <w:rsid w:val="00CB0A77"/>
    <w:rsid w:val="00CB0D09"/>
    <w:rsid w:val="00CB110C"/>
    <w:rsid w:val="00CB11C8"/>
    <w:rsid w:val="00CB130D"/>
    <w:rsid w:val="00CB1370"/>
    <w:rsid w:val="00CB13B6"/>
    <w:rsid w:val="00CB18C9"/>
    <w:rsid w:val="00CB1A30"/>
    <w:rsid w:val="00CB1B4F"/>
    <w:rsid w:val="00CB207E"/>
    <w:rsid w:val="00CB2599"/>
    <w:rsid w:val="00CB272A"/>
    <w:rsid w:val="00CB27A7"/>
    <w:rsid w:val="00CB2946"/>
    <w:rsid w:val="00CB2CE3"/>
    <w:rsid w:val="00CB2D4D"/>
    <w:rsid w:val="00CB2E07"/>
    <w:rsid w:val="00CB3082"/>
    <w:rsid w:val="00CB31EE"/>
    <w:rsid w:val="00CB333E"/>
    <w:rsid w:val="00CB35FC"/>
    <w:rsid w:val="00CB3871"/>
    <w:rsid w:val="00CB3A35"/>
    <w:rsid w:val="00CB3C60"/>
    <w:rsid w:val="00CB46F4"/>
    <w:rsid w:val="00CB4794"/>
    <w:rsid w:val="00CB4E7F"/>
    <w:rsid w:val="00CB5271"/>
    <w:rsid w:val="00CB537D"/>
    <w:rsid w:val="00CB5419"/>
    <w:rsid w:val="00CB5746"/>
    <w:rsid w:val="00CB5C16"/>
    <w:rsid w:val="00CB5D21"/>
    <w:rsid w:val="00CB5D52"/>
    <w:rsid w:val="00CB5DB4"/>
    <w:rsid w:val="00CB5F80"/>
    <w:rsid w:val="00CB61F6"/>
    <w:rsid w:val="00CB62DC"/>
    <w:rsid w:val="00CB6386"/>
    <w:rsid w:val="00CB6A58"/>
    <w:rsid w:val="00CB70F1"/>
    <w:rsid w:val="00CC0041"/>
    <w:rsid w:val="00CC0132"/>
    <w:rsid w:val="00CC027E"/>
    <w:rsid w:val="00CC060B"/>
    <w:rsid w:val="00CC08DB"/>
    <w:rsid w:val="00CC0E51"/>
    <w:rsid w:val="00CC13BF"/>
    <w:rsid w:val="00CC15F6"/>
    <w:rsid w:val="00CC19E5"/>
    <w:rsid w:val="00CC1A9A"/>
    <w:rsid w:val="00CC221E"/>
    <w:rsid w:val="00CC23B5"/>
    <w:rsid w:val="00CC2546"/>
    <w:rsid w:val="00CC2B5C"/>
    <w:rsid w:val="00CC2D3C"/>
    <w:rsid w:val="00CC306F"/>
    <w:rsid w:val="00CC30F6"/>
    <w:rsid w:val="00CC31B8"/>
    <w:rsid w:val="00CC33DB"/>
    <w:rsid w:val="00CC3598"/>
    <w:rsid w:val="00CC3967"/>
    <w:rsid w:val="00CC3E30"/>
    <w:rsid w:val="00CC41FC"/>
    <w:rsid w:val="00CC456B"/>
    <w:rsid w:val="00CC55B8"/>
    <w:rsid w:val="00CC5B7F"/>
    <w:rsid w:val="00CC5D7C"/>
    <w:rsid w:val="00CC67B4"/>
    <w:rsid w:val="00CC6B49"/>
    <w:rsid w:val="00CC6FF3"/>
    <w:rsid w:val="00CC7083"/>
    <w:rsid w:val="00CC73A6"/>
    <w:rsid w:val="00CC7742"/>
    <w:rsid w:val="00CD01A7"/>
    <w:rsid w:val="00CD03CE"/>
    <w:rsid w:val="00CD06F2"/>
    <w:rsid w:val="00CD09CA"/>
    <w:rsid w:val="00CD0D00"/>
    <w:rsid w:val="00CD1589"/>
    <w:rsid w:val="00CD1949"/>
    <w:rsid w:val="00CD228B"/>
    <w:rsid w:val="00CD22B5"/>
    <w:rsid w:val="00CD26EE"/>
    <w:rsid w:val="00CD28B0"/>
    <w:rsid w:val="00CD2D1E"/>
    <w:rsid w:val="00CD2FDB"/>
    <w:rsid w:val="00CD300F"/>
    <w:rsid w:val="00CD31BB"/>
    <w:rsid w:val="00CD3FAF"/>
    <w:rsid w:val="00CD417F"/>
    <w:rsid w:val="00CD44BC"/>
    <w:rsid w:val="00CD4573"/>
    <w:rsid w:val="00CD4E25"/>
    <w:rsid w:val="00CD508F"/>
    <w:rsid w:val="00CD5BCF"/>
    <w:rsid w:val="00CD5E80"/>
    <w:rsid w:val="00CD5E9B"/>
    <w:rsid w:val="00CD6322"/>
    <w:rsid w:val="00CD64C1"/>
    <w:rsid w:val="00CD6505"/>
    <w:rsid w:val="00CD66A8"/>
    <w:rsid w:val="00CD677F"/>
    <w:rsid w:val="00CD6E1D"/>
    <w:rsid w:val="00CD748F"/>
    <w:rsid w:val="00CE0046"/>
    <w:rsid w:val="00CE0083"/>
    <w:rsid w:val="00CE0129"/>
    <w:rsid w:val="00CE0351"/>
    <w:rsid w:val="00CE0900"/>
    <w:rsid w:val="00CE0B9A"/>
    <w:rsid w:val="00CE0CCF"/>
    <w:rsid w:val="00CE0D65"/>
    <w:rsid w:val="00CE0DD2"/>
    <w:rsid w:val="00CE1150"/>
    <w:rsid w:val="00CE123E"/>
    <w:rsid w:val="00CE1330"/>
    <w:rsid w:val="00CE14C4"/>
    <w:rsid w:val="00CE1AB2"/>
    <w:rsid w:val="00CE1EDE"/>
    <w:rsid w:val="00CE224F"/>
    <w:rsid w:val="00CE2516"/>
    <w:rsid w:val="00CE2927"/>
    <w:rsid w:val="00CE2D16"/>
    <w:rsid w:val="00CE2EF0"/>
    <w:rsid w:val="00CE2F42"/>
    <w:rsid w:val="00CE3291"/>
    <w:rsid w:val="00CE34B0"/>
    <w:rsid w:val="00CE37D1"/>
    <w:rsid w:val="00CE38DE"/>
    <w:rsid w:val="00CE3DB5"/>
    <w:rsid w:val="00CE463B"/>
    <w:rsid w:val="00CE4734"/>
    <w:rsid w:val="00CE4BB3"/>
    <w:rsid w:val="00CE532F"/>
    <w:rsid w:val="00CE5523"/>
    <w:rsid w:val="00CE56B0"/>
    <w:rsid w:val="00CE5715"/>
    <w:rsid w:val="00CE58A9"/>
    <w:rsid w:val="00CE5929"/>
    <w:rsid w:val="00CE59CF"/>
    <w:rsid w:val="00CE5E39"/>
    <w:rsid w:val="00CE5FF6"/>
    <w:rsid w:val="00CE6559"/>
    <w:rsid w:val="00CE655E"/>
    <w:rsid w:val="00CE70CA"/>
    <w:rsid w:val="00CE71F9"/>
    <w:rsid w:val="00CE7955"/>
    <w:rsid w:val="00CE7A40"/>
    <w:rsid w:val="00CE7A63"/>
    <w:rsid w:val="00CF0003"/>
    <w:rsid w:val="00CF0146"/>
    <w:rsid w:val="00CF0708"/>
    <w:rsid w:val="00CF0AEE"/>
    <w:rsid w:val="00CF0C89"/>
    <w:rsid w:val="00CF1095"/>
    <w:rsid w:val="00CF116A"/>
    <w:rsid w:val="00CF12DE"/>
    <w:rsid w:val="00CF166E"/>
    <w:rsid w:val="00CF1684"/>
    <w:rsid w:val="00CF1ACD"/>
    <w:rsid w:val="00CF1C6F"/>
    <w:rsid w:val="00CF222C"/>
    <w:rsid w:val="00CF227A"/>
    <w:rsid w:val="00CF253E"/>
    <w:rsid w:val="00CF2658"/>
    <w:rsid w:val="00CF2D20"/>
    <w:rsid w:val="00CF2DC0"/>
    <w:rsid w:val="00CF2EDA"/>
    <w:rsid w:val="00CF34CF"/>
    <w:rsid w:val="00CF3BA7"/>
    <w:rsid w:val="00CF3D73"/>
    <w:rsid w:val="00CF3E50"/>
    <w:rsid w:val="00CF3E71"/>
    <w:rsid w:val="00CF42C6"/>
    <w:rsid w:val="00CF4A4B"/>
    <w:rsid w:val="00CF4B68"/>
    <w:rsid w:val="00CF4C6C"/>
    <w:rsid w:val="00CF50BD"/>
    <w:rsid w:val="00CF5132"/>
    <w:rsid w:val="00CF5B0F"/>
    <w:rsid w:val="00CF5E4C"/>
    <w:rsid w:val="00CF6076"/>
    <w:rsid w:val="00CF6284"/>
    <w:rsid w:val="00CF6337"/>
    <w:rsid w:val="00CF66E6"/>
    <w:rsid w:val="00CF6DA6"/>
    <w:rsid w:val="00CF6EF1"/>
    <w:rsid w:val="00CF74B1"/>
    <w:rsid w:val="00CF79A6"/>
    <w:rsid w:val="00CF7C0D"/>
    <w:rsid w:val="00D00068"/>
    <w:rsid w:val="00D0072E"/>
    <w:rsid w:val="00D00796"/>
    <w:rsid w:val="00D009C4"/>
    <w:rsid w:val="00D00E87"/>
    <w:rsid w:val="00D01342"/>
    <w:rsid w:val="00D013BD"/>
    <w:rsid w:val="00D013C8"/>
    <w:rsid w:val="00D0140C"/>
    <w:rsid w:val="00D014C3"/>
    <w:rsid w:val="00D014F3"/>
    <w:rsid w:val="00D01595"/>
    <w:rsid w:val="00D01C62"/>
    <w:rsid w:val="00D01FF8"/>
    <w:rsid w:val="00D02436"/>
    <w:rsid w:val="00D026BD"/>
    <w:rsid w:val="00D02A17"/>
    <w:rsid w:val="00D02BF0"/>
    <w:rsid w:val="00D02C96"/>
    <w:rsid w:val="00D0317A"/>
    <w:rsid w:val="00D03427"/>
    <w:rsid w:val="00D03886"/>
    <w:rsid w:val="00D03D99"/>
    <w:rsid w:val="00D03F15"/>
    <w:rsid w:val="00D03F7A"/>
    <w:rsid w:val="00D03F9E"/>
    <w:rsid w:val="00D041C1"/>
    <w:rsid w:val="00D042DA"/>
    <w:rsid w:val="00D043D3"/>
    <w:rsid w:val="00D04522"/>
    <w:rsid w:val="00D04AD5"/>
    <w:rsid w:val="00D04C2C"/>
    <w:rsid w:val="00D04C91"/>
    <w:rsid w:val="00D04CED"/>
    <w:rsid w:val="00D04FF1"/>
    <w:rsid w:val="00D053FB"/>
    <w:rsid w:val="00D0580D"/>
    <w:rsid w:val="00D05A9C"/>
    <w:rsid w:val="00D06391"/>
    <w:rsid w:val="00D06458"/>
    <w:rsid w:val="00D06AB7"/>
    <w:rsid w:val="00D06F0E"/>
    <w:rsid w:val="00D0723D"/>
    <w:rsid w:val="00D07352"/>
    <w:rsid w:val="00D07B00"/>
    <w:rsid w:val="00D07B91"/>
    <w:rsid w:val="00D07CC0"/>
    <w:rsid w:val="00D07D5D"/>
    <w:rsid w:val="00D07EE9"/>
    <w:rsid w:val="00D07F01"/>
    <w:rsid w:val="00D100D8"/>
    <w:rsid w:val="00D103AC"/>
    <w:rsid w:val="00D106CF"/>
    <w:rsid w:val="00D10E61"/>
    <w:rsid w:val="00D110AB"/>
    <w:rsid w:val="00D1111F"/>
    <w:rsid w:val="00D11476"/>
    <w:rsid w:val="00D116B6"/>
    <w:rsid w:val="00D1248C"/>
    <w:rsid w:val="00D12587"/>
    <w:rsid w:val="00D13333"/>
    <w:rsid w:val="00D13341"/>
    <w:rsid w:val="00D133F4"/>
    <w:rsid w:val="00D13E5F"/>
    <w:rsid w:val="00D14284"/>
    <w:rsid w:val="00D1443C"/>
    <w:rsid w:val="00D153C3"/>
    <w:rsid w:val="00D15ABB"/>
    <w:rsid w:val="00D1615A"/>
    <w:rsid w:val="00D16178"/>
    <w:rsid w:val="00D16292"/>
    <w:rsid w:val="00D163A1"/>
    <w:rsid w:val="00D16711"/>
    <w:rsid w:val="00D16E70"/>
    <w:rsid w:val="00D16F93"/>
    <w:rsid w:val="00D17317"/>
    <w:rsid w:val="00D175CF"/>
    <w:rsid w:val="00D1799B"/>
    <w:rsid w:val="00D17F38"/>
    <w:rsid w:val="00D20288"/>
    <w:rsid w:val="00D20A05"/>
    <w:rsid w:val="00D20B74"/>
    <w:rsid w:val="00D2112A"/>
    <w:rsid w:val="00D21550"/>
    <w:rsid w:val="00D21977"/>
    <w:rsid w:val="00D21DC1"/>
    <w:rsid w:val="00D21F3D"/>
    <w:rsid w:val="00D220C8"/>
    <w:rsid w:val="00D2238E"/>
    <w:rsid w:val="00D2257B"/>
    <w:rsid w:val="00D225D4"/>
    <w:rsid w:val="00D2260F"/>
    <w:rsid w:val="00D2280E"/>
    <w:rsid w:val="00D228BB"/>
    <w:rsid w:val="00D22CFC"/>
    <w:rsid w:val="00D22E8B"/>
    <w:rsid w:val="00D22F1A"/>
    <w:rsid w:val="00D23425"/>
    <w:rsid w:val="00D23C85"/>
    <w:rsid w:val="00D24BD3"/>
    <w:rsid w:val="00D24F90"/>
    <w:rsid w:val="00D2515C"/>
    <w:rsid w:val="00D254AE"/>
    <w:rsid w:val="00D2552E"/>
    <w:rsid w:val="00D2578D"/>
    <w:rsid w:val="00D25876"/>
    <w:rsid w:val="00D258BD"/>
    <w:rsid w:val="00D258C9"/>
    <w:rsid w:val="00D25E20"/>
    <w:rsid w:val="00D25F4B"/>
    <w:rsid w:val="00D26A10"/>
    <w:rsid w:val="00D26EBA"/>
    <w:rsid w:val="00D2726E"/>
    <w:rsid w:val="00D279F0"/>
    <w:rsid w:val="00D27C52"/>
    <w:rsid w:val="00D27F65"/>
    <w:rsid w:val="00D30201"/>
    <w:rsid w:val="00D30A49"/>
    <w:rsid w:val="00D31022"/>
    <w:rsid w:val="00D3147D"/>
    <w:rsid w:val="00D314B6"/>
    <w:rsid w:val="00D32299"/>
    <w:rsid w:val="00D3242A"/>
    <w:rsid w:val="00D328CB"/>
    <w:rsid w:val="00D32F38"/>
    <w:rsid w:val="00D32F74"/>
    <w:rsid w:val="00D332A4"/>
    <w:rsid w:val="00D3337E"/>
    <w:rsid w:val="00D33405"/>
    <w:rsid w:val="00D334B8"/>
    <w:rsid w:val="00D335C7"/>
    <w:rsid w:val="00D33C17"/>
    <w:rsid w:val="00D33E27"/>
    <w:rsid w:val="00D34060"/>
    <w:rsid w:val="00D342E9"/>
    <w:rsid w:val="00D348C3"/>
    <w:rsid w:val="00D34B1A"/>
    <w:rsid w:val="00D34E26"/>
    <w:rsid w:val="00D35257"/>
    <w:rsid w:val="00D355E6"/>
    <w:rsid w:val="00D35B5E"/>
    <w:rsid w:val="00D35D7E"/>
    <w:rsid w:val="00D35E48"/>
    <w:rsid w:val="00D3609B"/>
    <w:rsid w:val="00D366A4"/>
    <w:rsid w:val="00D367D5"/>
    <w:rsid w:val="00D37592"/>
    <w:rsid w:val="00D37CF1"/>
    <w:rsid w:val="00D37E70"/>
    <w:rsid w:val="00D37E9C"/>
    <w:rsid w:val="00D40107"/>
    <w:rsid w:val="00D403F5"/>
    <w:rsid w:val="00D407E3"/>
    <w:rsid w:val="00D415C5"/>
    <w:rsid w:val="00D41686"/>
    <w:rsid w:val="00D41D55"/>
    <w:rsid w:val="00D4211B"/>
    <w:rsid w:val="00D426C0"/>
    <w:rsid w:val="00D427F0"/>
    <w:rsid w:val="00D429DF"/>
    <w:rsid w:val="00D42E5B"/>
    <w:rsid w:val="00D4343B"/>
    <w:rsid w:val="00D43653"/>
    <w:rsid w:val="00D4413D"/>
    <w:rsid w:val="00D445E3"/>
    <w:rsid w:val="00D44855"/>
    <w:rsid w:val="00D44960"/>
    <w:rsid w:val="00D44B91"/>
    <w:rsid w:val="00D44C25"/>
    <w:rsid w:val="00D44D14"/>
    <w:rsid w:val="00D44F3A"/>
    <w:rsid w:val="00D44F5C"/>
    <w:rsid w:val="00D456BF"/>
    <w:rsid w:val="00D45C6C"/>
    <w:rsid w:val="00D46211"/>
    <w:rsid w:val="00D46213"/>
    <w:rsid w:val="00D46535"/>
    <w:rsid w:val="00D46558"/>
    <w:rsid w:val="00D468D9"/>
    <w:rsid w:val="00D4727B"/>
    <w:rsid w:val="00D47E79"/>
    <w:rsid w:val="00D47FAE"/>
    <w:rsid w:val="00D506AA"/>
    <w:rsid w:val="00D5071E"/>
    <w:rsid w:val="00D50909"/>
    <w:rsid w:val="00D50BC6"/>
    <w:rsid w:val="00D50FA6"/>
    <w:rsid w:val="00D51728"/>
    <w:rsid w:val="00D51BC3"/>
    <w:rsid w:val="00D51CEB"/>
    <w:rsid w:val="00D51D37"/>
    <w:rsid w:val="00D51F9C"/>
    <w:rsid w:val="00D51FB8"/>
    <w:rsid w:val="00D525CC"/>
    <w:rsid w:val="00D52904"/>
    <w:rsid w:val="00D52AB7"/>
    <w:rsid w:val="00D52D15"/>
    <w:rsid w:val="00D52F24"/>
    <w:rsid w:val="00D530A2"/>
    <w:rsid w:val="00D5316A"/>
    <w:rsid w:val="00D5317A"/>
    <w:rsid w:val="00D53259"/>
    <w:rsid w:val="00D53343"/>
    <w:rsid w:val="00D53468"/>
    <w:rsid w:val="00D5351D"/>
    <w:rsid w:val="00D53A72"/>
    <w:rsid w:val="00D53C54"/>
    <w:rsid w:val="00D53EAE"/>
    <w:rsid w:val="00D54D63"/>
    <w:rsid w:val="00D55126"/>
    <w:rsid w:val="00D55D7D"/>
    <w:rsid w:val="00D562BD"/>
    <w:rsid w:val="00D56350"/>
    <w:rsid w:val="00D56B9C"/>
    <w:rsid w:val="00D56CE9"/>
    <w:rsid w:val="00D56EFB"/>
    <w:rsid w:val="00D571F2"/>
    <w:rsid w:val="00D572AD"/>
    <w:rsid w:val="00D57866"/>
    <w:rsid w:val="00D57A58"/>
    <w:rsid w:val="00D57CD0"/>
    <w:rsid w:val="00D57D49"/>
    <w:rsid w:val="00D57DD0"/>
    <w:rsid w:val="00D6099B"/>
    <w:rsid w:val="00D60CF4"/>
    <w:rsid w:val="00D60D26"/>
    <w:rsid w:val="00D61124"/>
    <w:rsid w:val="00D613ED"/>
    <w:rsid w:val="00D61C7F"/>
    <w:rsid w:val="00D61F36"/>
    <w:rsid w:val="00D6219A"/>
    <w:rsid w:val="00D62D1B"/>
    <w:rsid w:val="00D62D33"/>
    <w:rsid w:val="00D62EF6"/>
    <w:rsid w:val="00D63131"/>
    <w:rsid w:val="00D64484"/>
    <w:rsid w:val="00D6494A"/>
    <w:rsid w:val="00D64A55"/>
    <w:rsid w:val="00D64E83"/>
    <w:rsid w:val="00D64F4C"/>
    <w:rsid w:val="00D6560A"/>
    <w:rsid w:val="00D65D28"/>
    <w:rsid w:val="00D66535"/>
    <w:rsid w:val="00D666CB"/>
    <w:rsid w:val="00D66C37"/>
    <w:rsid w:val="00D66D59"/>
    <w:rsid w:val="00D67230"/>
    <w:rsid w:val="00D67858"/>
    <w:rsid w:val="00D67FF2"/>
    <w:rsid w:val="00D701A1"/>
    <w:rsid w:val="00D70FE8"/>
    <w:rsid w:val="00D713BB"/>
    <w:rsid w:val="00D7154E"/>
    <w:rsid w:val="00D71998"/>
    <w:rsid w:val="00D71A0D"/>
    <w:rsid w:val="00D71A35"/>
    <w:rsid w:val="00D71A99"/>
    <w:rsid w:val="00D71C21"/>
    <w:rsid w:val="00D71C23"/>
    <w:rsid w:val="00D71CAC"/>
    <w:rsid w:val="00D71EF0"/>
    <w:rsid w:val="00D71F14"/>
    <w:rsid w:val="00D72A30"/>
    <w:rsid w:val="00D72B08"/>
    <w:rsid w:val="00D72DC3"/>
    <w:rsid w:val="00D73091"/>
    <w:rsid w:val="00D73681"/>
    <w:rsid w:val="00D73A2A"/>
    <w:rsid w:val="00D73B02"/>
    <w:rsid w:val="00D73CC7"/>
    <w:rsid w:val="00D73F72"/>
    <w:rsid w:val="00D7421E"/>
    <w:rsid w:val="00D744A9"/>
    <w:rsid w:val="00D748A2"/>
    <w:rsid w:val="00D74CFE"/>
    <w:rsid w:val="00D74F57"/>
    <w:rsid w:val="00D75776"/>
    <w:rsid w:val="00D75A68"/>
    <w:rsid w:val="00D75FDC"/>
    <w:rsid w:val="00D76BBB"/>
    <w:rsid w:val="00D76BBD"/>
    <w:rsid w:val="00D76E05"/>
    <w:rsid w:val="00D76F36"/>
    <w:rsid w:val="00D77BB5"/>
    <w:rsid w:val="00D805F7"/>
    <w:rsid w:val="00D80609"/>
    <w:rsid w:val="00D806BE"/>
    <w:rsid w:val="00D80842"/>
    <w:rsid w:val="00D80BCB"/>
    <w:rsid w:val="00D80D45"/>
    <w:rsid w:val="00D80F09"/>
    <w:rsid w:val="00D810AA"/>
    <w:rsid w:val="00D8193A"/>
    <w:rsid w:val="00D81AA1"/>
    <w:rsid w:val="00D81B6D"/>
    <w:rsid w:val="00D81DB8"/>
    <w:rsid w:val="00D81EE1"/>
    <w:rsid w:val="00D81FBD"/>
    <w:rsid w:val="00D820C8"/>
    <w:rsid w:val="00D82535"/>
    <w:rsid w:val="00D82727"/>
    <w:rsid w:val="00D82963"/>
    <w:rsid w:val="00D8349B"/>
    <w:rsid w:val="00D834FE"/>
    <w:rsid w:val="00D8351B"/>
    <w:rsid w:val="00D838C0"/>
    <w:rsid w:val="00D83EA3"/>
    <w:rsid w:val="00D842F1"/>
    <w:rsid w:val="00D8439E"/>
    <w:rsid w:val="00D8448F"/>
    <w:rsid w:val="00D851BA"/>
    <w:rsid w:val="00D85406"/>
    <w:rsid w:val="00D859A2"/>
    <w:rsid w:val="00D863F9"/>
    <w:rsid w:val="00D86BA6"/>
    <w:rsid w:val="00D86EB0"/>
    <w:rsid w:val="00D87810"/>
    <w:rsid w:val="00D87DF8"/>
    <w:rsid w:val="00D9011F"/>
    <w:rsid w:val="00D90241"/>
    <w:rsid w:val="00D904B8"/>
    <w:rsid w:val="00D90A7F"/>
    <w:rsid w:val="00D91073"/>
    <w:rsid w:val="00D911BF"/>
    <w:rsid w:val="00D911FD"/>
    <w:rsid w:val="00D913EC"/>
    <w:rsid w:val="00D91852"/>
    <w:rsid w:val="00D91B82"/>
    <w:rsid w:val="00D91D85"/>
    <w:rsid w:val="00D91F9D"/>
    <w:rsid w:val="00D92134"/>
    <w:rsid w:val="00D92353"/>
    <w:rsid w:val="00D92519"/>
    <w:rsid w:val="00D9299E"/>
    <w:rsid w:val="00D92FA7"/>
    <w:rsid w:val="00D933D7"/>
    <w:rsid w:val="00D93A1C"/>
    <w:rsid w:val="00D93AC7"/>
    <w:rsid w:val="00D93CD9"/>
    <w:rsid w:val="00D93D05"/>
    <w:rsid w:val="00D93D06"/>
    <w:rsid w:val="00D93FF3"/>
    <w:rsid w:val="00D94044"/>
    <w:rsid w:val="00D9490D"/>
    <w:rsid w:val="00D95139"/>
    <w:rsid w:val="00D95228"/>
    <w:rsid w:val="00D9554D"/>
    <w:rsid w:val="00D9571E"/>
    <w:rsid w:val="00D959C7"/>
    <w:rsid w:val="00D95C09"/>
    <w:rsid w:val="00D95C7D"/>
    <w:rsid w:val="00D95CA6"/>
    <w:rsid w:val="00D96092"/>
    <w:rsid w:val="00D961CB"/>
    <w:rsid w:val="00D961DA"/>
    <w:rsid w:val="00D96782"/>
    <w:rsid w:val="00D972A6"/>
    <w:rsid w:val="00D97400"/>
    <w:rsid w:val="00D97895"/>
    <w:rsid w:val="00DA03F7"/>
    <w:rsid w:val="00DA14FF"/>
    <w:rsid w:val="00DA1B54"/>
    <w:rsid w:val="00DA1C93"/>
    <w:rsid w:val="00DA1E76"/>
    <w:rsid w:val="00DA1F28"/>
    <w:rsid w:val="00DA26DD"/>
    <w:rsid w:val="00DA2727"/>
    <w:rsid w:val="00DA2830"/>
    <w:rsid w:val="00DA29DF"/>
    <w:rsid w:val="00DA2D37"/>
    <w:rsid w:val="00DA34D5"/>
    <w:rsid w:val="00DA35F8"/>
    <w:rsid w:val="00DA3C57"/>
    <w:rsid w:val="00DA3CC0"/>
    <w:rsid w:val="00DA3DF6"/>
    <w:rsid w:val="00DA4562"/>
    <w:rsid w:val="00DA45A8"/>
    <w:rsid w:val="00DA4621"/>
    <w:rsid w:val="00DA46D6"/>
    <w:rsid w:val="00DA476B"/>
    <w:rsid w:val="00DA47F0"/>
    <w:rsid w:val="00DA4A35"/>
    <w:rsid w:val="00DA4B38"/>
    <w:rsid w:val="00DA4C4C"/>
    <w:rsid w:val="00DA51FE"/>
    <w:rsid w:val="00DA561C"/>
    <w:rsid w:val="00DA567E"/>
    <w:rsid w:val="00DA58C5"/>
    <w:rsid w:val="00DA5C7D"/>
    <w:rsid w:val="00DA5FE2"/>
    <w:rsid w:val="00DA6218"/>
    <w:rsid w:val="00DA6345"/>
    <w:rsid w:val="00DA6481"/>
    <w:rsid w:val="00DA6C0C"/>
    <w:rsid w:val="00DA6D2E"/>
    <w:rsid w:val="00DA7356"/>
    <w:rsid w:val="00DA780E"/>
    <w:rsid w:val="00DA7A9B"/>
    <w:rsid w:val="00DA7FAF"/>
    <w:rsid w:val="00DB0003"/>
    <w:rsid w:val="00DB034E"/>
    <w:rsid w:val="00DB0498"/>
    <w:rsid w:val="00DB070B"/>
    <w:rsid w:val="00DB0789"/>
    <w:rsid w:val="00DB082B"/>
    <w:rsid w:val="00DB13C9"/>
    <w:rsid w:val="00DB1771"/>
    <w:rsid w:val="00DB1DEA"/>
    <w:rsid w:val="00DB1EC4"/>
    <w:rsid w:val="00DB2292"/>
    <w:rsid w:val="00DB2469"/>
    <w:rsid w:val="00DB252F"/>
    <w:rsid w:val="00DB2B66"/>
    <w:rsid w:val="00DB2E59"/>
    <w:rsid w:val="00DB2F2C"/>
    <w:rsid w:val="00DB3196"/>
    <w:rsid w:val="00DB3220"/>
    <w:rsid w:val="00DB3331"/>
    <w:rsid w:val="00DB3514"/>
    <w:rsid w:val="00DB3BDA"/>
    <w:rsid w:val="00DB4474"/>
    <w:rsid w:val="00DB44CC"/>
    <w:rsid w:val="00DB455A"/>
    <w:rsid w:val="00DB50B2"/>
    <w:rsid w:val="00DB52E6"/>
    <w:rsid w:val="00DB532B"/>
    <w:rsid w:val="00DB54B5"/>
    <w:rsid w:val="00DB5CDB"/>
    <w:rsid w:val="00DB5D68"/>
    <w:rsid w:val="00DB5F40"/>
    <w:rsid w:val="00DB61C4"/>
    <w:rsid w:val="00DB6745"/>
    <w:rsid w:val="00DB6777"/>
    <w:rsid w:val="00DB6844"/>
    <w:rsid w:val="00DB6B38"/>
    <w:rsid w:val="00DB6F5A"/>
    <w:rsid w:val="00DB7649"/>
    <w:rsid w:val="00DB787F"/>
    <w:rsid w:val="00DB7984"/>
    <w:rsid w:val="00DB7C6F"/>
    <w:rsid w:val="00DB7C90"/>
    <w:rsid w:val="00DC04F0"/>
    <w:rsid w:val="00DC0718"/>
    <w:rsid w:val="00DC10C5"/>
    <w:rsid w:val="00DC12EF"/>
    <w:rsid w:val="00DC1A40"/>
    <w:rsid w:val="00DC1E3B"/>
    <w:rsid w:val="00DC1F19"/>
    <w:rsid w:val="00DC2110"/>
    <w:rsid w:val="00DC28FA"/>
    <w:rsid w:val="00DC2A56"/>
    <w:rsid w:val="00DC2EDC"/>
    <w:rsid w:val="00DC2F2D"/>
    <w:rsid w:val="00DC30DF"/>
    <w:rsid w:val="00DC38FE"/>
    <w:rsid w:val="00DC3915"/>
    <w:rsid w:val="00DC3960"/>
    <w:rsid w:val="00DC397F"/>
    <w:rsid w:val="00DC3CB3"/>
    <w:rsid w:val="00DC4277"/>
    <w:rsid w:val="00DC4591"/>
    <w:rsid w:val="00DC4FCC"/>
    <w:rsid w:val="00DC52D4"/>
    <w:rsid w:val="00DC579D"/>
    <w:rsid w:val="00DC5CD0"/>
    <w:rsid w:val="00DC5FFD"/>
    <w:rsid w:val="00DC6297"/>
    <w:rsid w:val="00DC6ADC"/>
    <w:rsid w:val="00DC7127"/>
    <w:rsid w:val="00DC7943"/>
    <w:rsid w:val="00DC7960"/>
    <w:rsid w:val="00DC7D07"/>
    <w:rsid w:val="00DD0325"/>
    <w:rsid w:val="00DD04F9"/>
    <w:rsid w:val="00DD072A"/>
    <w:rsid w:val="00DD0C4C"/>
    <w:rsid w:val="00DD0F68"/>
    <w:rsid w:val="00DD1159"/>
    <w:rsid w:val="00DD1240"/>
    <w:rsid w:val="00DD139A"/>
    <w:rsid w:val="00DD14EC"/>
    <w:rsid w:val="00DD18C9"/>
    <w:rsid w:val="00DD18F6"/>
    <w:rsid w:val="00DD1AAB"/>
    <w:rsid w:val="00DD1E66"/>
    <w:rsid w:val="00DD215B"/>
    <w:rsid w:val="00DD299B"/>
    <w:rsid w:val="00DD30B3"/>
    <w:rsid w:val="00DD3754"/>
    <w:rsid w:val="00DD3EB2"/>
    <w:rsid w:val="00DD4021"/>
    <w:rsid w:val="00DD4235"/>
    <w:rsid w:val="00DD42C6"/>
    <w:rsid w:val="00DD4349"/>
    <w:rsid w:val="00DD4582"/>
    <w:rsid w:val="00DD4623"/>
    <w:rsid w:val="00DD46D3"/>
    <w:rsid w:val="00DD47A7"/>
    <w:rsid w:val="00DD48D9"/>
    <w:rsid w:val="00DD49B5"/>
    <w:rsid w:val="00DD4DA1"/>
    <w:rsid w:val="00DD532B"/>
    <w:rsid w:val="00DD5D41"/>
    <w:rsid w:val="00DD6558"/>
    <w:rsid w:val="00DD7296"/>
    <w:rsid w:val="00DD78A5"/>
    <w:rsid w:val="00DD79CF"/>
    <w:rsid w:val="00DD7CCF"/>
    <w:rsid w:val="00DD7FC7"/>
    <w:rsid w:val="00DE0052"/>
    <w:rsid w:val="00DE0151"/>
    <w:rsid w:val="00DE069E"/>
    <w:rsid w:val="00DE081B"/>
    <w:rsid w:val="00DE092C"/>
    <w:rsid w:val="00DE099B"/>
    <w:rsid w:val="00DE1018"/>
    <w:rsid w:val="00DE1193"/>
    <w:rsid w:val="00DE2327"/>
    <w:rsid w:val="00DE2549"/>
    <w:rsid w:val="00DE2674"/>
    <w:rsid w:val="00DE2781"/>
    <w:rsid w:val="00DE29FB"/>
    <w:rsid w:val="00DE2D9F"/>
    <w:rsid w:val="00DE2E67"/>
    <w:rsid w:val="00DE3089"/>
    <w:rsid w:val="00DE30AF"/>
    <w:rsid w:val="00DE3447"/>
    <w:rsid w:val="00DE3666"/>
    <w:rsid w:val="00DE3959"/>
    <w:rsid w:val="00DE3AA7"/>
    <w:rsid w:val="00DE3B4E"/>
    <w:rsid w:val="00DE3E66"/>
    <w:rsid w:val="00DE4611"/>
    <w:rsid w:val="00DE499B"/>
    <w:rsid w:val="00DE4D5D"/>
    <w:rsid w:val="00DE4FC6"/>
    <w:rsid w:val="00DE5001"/>
    <w:rsid w:val="00DE5094"/>
    <w:rsid w:val="00DE51AB"/>
    <w:rsid w:val="00DE5345"/>
    <w:rsid w:val="00DE5768"/>
    <w:rsid w:val="00DE57A0"/>
    <w:rsid w:val="00DE5892"/>
    <w:rsid w:val="00DE5AD4"/>
    <w:rsid w:val="00DE5B5C"/>
    <w:rsid w:val="00DE60D3"/>
    <w:rsid w:val="00DE65B5"/>
    <w:rsid w:val="00DE6810"/>
    <w:rsid w:val="00DE690D"/>
    <w:rsid w:val="00DE6997"/>
    <w:rsid w:val="00DE6BD4"/>
    <w:rsid w:val="00DE6C03"/>
    <w:rsid w:val="00DE70A0"/>
    <w:rsid w:val="00DE748A"/>
    <w:rsid w:val="00DE751D"/>
    <w:rsid w:val="00DE7880"/>
    <w:rsid w:val="00DE7B40"/>
    <w:rsid w:val="00DF0071"/>
    <w:rsid w:val="00DF0132"/>
    <w:rsid w:val="00DF034A"/>
    <w:rsid w:val="00DF0355"/>
    <w:rsid w:val="00DF038A"/>
    <w:rsid w:val="00DF0661"/>
    <w:rsid w:val="00DF0952"/>
    <w:rsid w:val="00DF0C96"/>
    <w:rsid w:val="00DF1207"/>
    <w:rsid w:val="00DF2465"/>
    <w:rsid w:val="00DF24E9"/>
    <w:rsid w:val="00DF2A06"/>
    <w:rsid w:val="00DF2A3D"/>
    <w:rsid w:val="00DF2A99"/>
    <w:rsid w:val="00DF2B9B"/>
    <w:rsid w:val="00DF2CFB"/>
    <w:rsid w:val="00DF2E9D"/>
    <w:rsid w:val="00DF2F16"/>
    <w:rsid w:val="00DF3008"/>
    <w:rsid w:val="00DF35F8"/>
    <w:rsid w:val="00DF360F"/>
    <w:rsid w:val="00DF397E"/>
    <w:rsid w:val="00DF39B7"/>
    <w:rsid w:val="00DF41A5"/>
    <w:rsid w:val="00DF4388"/>
    <w:rsid w:val="00DF4687"/>
    <w:rsid w:val="00DF4E00"/>
    <w:rsid w:val="00DF4E12"/>
    <w:rsid w:val="00DF4EA2"/>
    <w:rsid w:val="00DF5669"/>
    <w:rsid w:val="00DF5686"/>
    <w:rsid w:val="00DF56C7"/>
    <w:rsid w:val="00DF5A03"/>
    <w:rsid w:val="00DF5D20"/>
    <w:rsid w:val="00DF5E99"/>
    <w:rsid w:val="00DF6461"/>
    <w:rsid w:val="00DF6733"/>
    <w:rsid w:val="00DF6BE4"/>
    <w:rsid w:val="00DF6C92"/>
    <w:rsid w:val="00DF6FB2"/>
    <w:rsid w:val="00DF716C"/>
    <w:rsid w:val="00DF7C49"/>
    <w:rsid w:val="00DF7E41"/>
    <w:rsid w:val="00DF7EB1"/>
    <w:rsid w:val="00DF7FCE"/>
    <w:rsid w:val="00E000D7"/>
    <w:rsid w:val="00E00644"/>
    <w:rsid w:val="00E0097D"/>
    <w:rsid w:val="00E00B06"/>
    <w:rsid w:val="00E00B76"/>
    <w:rsid w:val="00E00ED9"/>
    <w:rsid w:val="00E01229"/>
    <w:rsid w:val="00E01239"/>
    <w:rsid w:val="00E01261"/>
    <w:rsid w:val="00E015EF"/>
    <w:rsid w:val="00E01650"/>
    <w:rsid w:val="00E01889"/>
    <w:rsid w:val="00E0194A"/>
    <w:rsid w:val="00E019A5"/>
    <w:rsid w:val="00E01F84"/>
    <w:rsid w:val="00E02040"/>
    <w:rsid w:val="00E02121"/>
    <w:rsid w:val="00E02162"/>
    <w:rsid w:val="00E0245A"/>
    <w:rsid w:val="00E0286E"/>
    <w:rsid w:val="00E02D8B"/>
    <w:rsid w:val="00E02E3D"/>
    <w:rsid w:val="00E030DD"/>
    <w:rsid w:val="00E0334C"/>
    <w:rsid w:val="00E03762"/>
    <w:rsid w:val="00E037B4"/>
    <w:rsid w:val="00E03810"/>
    <w:rsid w:val="00E03E78"/>
    <w:rsid w:val="00E03F24"/>
    <w:rsid w:val="00E03F27"/>
    <w:rsid w:val="00E044A5"/>
    <w:rsid w:val="00E048DF"/>
    <w:rsid w:val="00E04AFD"/>
    <w:rsid w:val="00E04BA5"/>
    <w:rsid w:val="00E04D1E"/>
    <w:rsid w:val="00E04DCF"/>
    <w:rsid w:val="00E050D9"/>
    <w:rsid w:val="00E05A57"/>
    <w:rsid w:val="00E05F66"/>
    <w:rsid w:val="00E0604C"/>
    <w:rsid w:val="00E0693E"/>
    <w:rsid w:val="00E06AB7"/>
    <w:rsid w:val="00E07120"/>
    <w:rsid w:val="00E07406"/>
    <w:rsid w:val="00E07453"/>
    <w:rsid w:val="00E07823"/>
    <w:rsid w:val="00E078A2"/>
    <w:rsid w:val="00E07A93"/>
    <w:rsid w:val="00E07D1B"/>
    <w:rsid w:val="00E07D77"/>
    <w:rsid w:val="00E103B3"/>
    <w:rsid w:val="00E10E33"/>
    <w:rsid w:val="00E10F66"/>
    <w:rsid w:val="00E11794"/>
    <w:rsid w:val="00E11B4B"/>
    <w:rsid w:val="00E11CF8"/>
    <w:rsid w:val="00E11DDE"/>
    <w:rsid w:val="00E11EBF"/>
    <w:rsid w:val="00E1210F"/>
    <w:rsid w:val="00E127BC"/>
    <w:rsid w:val="00E12FF9"/>
    <w:rsid w:val="00E13595"/>
    <w:rsid w:val="00E137B8"/>
    <w:rsid w:val="00E1391F"/>
    <w:rsid w:val="00E1395D"/>
    <w:rsid w:val="00E13B61"/>
    <w:rsid w:val="00E13E03"/>
    <w:rsid w:val="00E14549"/>
    <w:rsid w:val="00E14917"/>
    <w:rsid w:val="00E14988"/>
    <w:rsid w:val="00E149AA"/>
    <w:rsid w:val="00E14B3A"/>
    <w:rsid w:val="00E14B46"/>
    <w:rsid w:val="00E14ED5"/>
    <w:rsid w:val="00E15532"/>
    <w:rsid w:val="00E1579A"/>
    <w:rsid w:val="00E157D8"/>
    <w:rsid w:val="00E15C34"/>
    <w:rsid w:val="00E1610C"/>
    <w:rsid w:val="00E16184"/>
    <w:rsid w:val="00E161EE"/>
    <w:rsid w:val="00E163B0"/>
    <w:rsid w:val="00E16410"/>
    <w:rsid w:val="00E16645"/>
    <w:rsid w:val="00E167DB"/>
    <w:rsid w:val="00E16DE4"/>
    <w:rsid w:val="00E170A5"/>
    <w:rsid w:val="00E17234"/>
    <w:rsid w:val="00E17342"/>
    <w:rsid w:val="00E1737E"/>
    <w:rsid w:val="00E1738E"/>
    <w:rsid w:val="00E17D00"/>
    <w:rsid w:val="00E17EC8"/>
    <w:rsid w:val="00E20493"/>
    <w:rsid w:val="00E2074D"/>
    <w:rsid w:val="00E20770"/>
    <w:rsid w:val="00E20B2A"/>
    <w:rsid w:val="00E20CF2"/>
    <w:rsid w:val="00E20ECF"/>
    <w:rsid w:val="00E210DC"/>
    <w:rsid w:val="00E2133B"/>
    <w:rsid w:val="00E213B3"/>
    <w:rsid w:val="00E2174A"/>
    <w:rsid w:val="00E218B5"/>
    <w:rsid w:val="00E219B5"/>
    <w:rsid w:val="00E2228B"/>
    <w:rsid w:val="00E223B9"/>
    <w:rsid w:val="00E224FC"/>
    <w:rsid w:val="00E22EED"/>
    <w:rsid w:val="00E22FB6"/>
    <w:rsid w:val="00E23168"/>
    <w:rsid w:val="00E23466"/>
    <w:rsid w:val="00E23545"/>
    <w:rsid w:val="00E2396A"/>
    <w:rsid w:val="00E23AB4"/>
    <w:rsid w:val="00E2466F"/>
    <w:rsid w:val="00E2481F"/>
    <w:rsid w:val="00E25629"/>
    <w:rsid w:val="00E25769"/>
    <w:rsid w:val="00E25AD8"/>
    <w:rsid w:val="00E25D5C"/>
    <w:rsid w:val="00E260ED"/>
    <w:rsid w:val="00E2635B"/>
    <w:rsid w:val="00E264FA"/>
    <w:rsid w:val="00E2654F"/>
    <w:rsid w:val="00E2679A"/>
    <w:rsid w:val="00E269DA"/>
    <w:rsid w:val="00E26AAC"/>
    <w:rsid w:val="00E26E78"/>
    <w:rsid w:val="00E2712B"/>
    <w:rsid w:val="00E2745E"/>
    <w:rsid w:val="00E274D2"/>
    <w:rsid w:val="00E2752D"/>
    <w:rsid w:val="00E2785B"/>
    <w:rsid w:val="00E27865"/>
    <w:rsid w:val="00E27868"/>
    <w:rsid w:val="00E279B0"/>
    <w:rsid w:val="00E27C7A"/>
    <w:rsid w:val="00E27CC8"/>
    <w:rsid w:val="00E27D48"/>
    <w:rsid w:val="00E27E5F"/>
    <w:rsid w:val="00E27ED5"/>
    <w:rsid w:val="00E27FA0"/>
    <w:rsid w:val="00E303CD"/>
    <w:rsid w:val="00E304FA"/>
    <w:rsid w:val="00E3081B"/>
    <w:rsid w:val="00E308E8"/>
    <w:rsid w:val="00E309A3"/>
    <w:rsid w:val="00E30B57"/>
    <w:rsid w:val="00E30B9E"/>
    <w:rsid w:val="00E30C82"/>
    <w:rsid w:val="00E30CBB"/>
    <w:rsid w:val="00E30DCF"/>
    <w:rsid w:val="00E318D2"/>
    <w:rsid w:val="00E31AA0"/>
    <w:rsid w:val="00E31F5E"/>
    <w:rsid w:val="00E326D9"/>
    <w:rsid w:val="00E327D7"/>
    <w:rsid w:val="00E3299A"/>
    <w:rsid w:val="00E32AB2"/>
    <w:rsid w:val="00E32FD8"/>
    <w:rsid w:val="00E33135"/>
    <w:rsid w:val="00E33511"/>
    <w:rsid w:val="00E3367C"/>
    <w:rsid w:val="00E33AE3"/>
    <w:rsid w:val="00E33BF4"/>
    <w:rsid w:val="00E3427A"/>
    <w:rsid w:val="00E349E3"/>
    <w:rsid w:val="00E3500D"/>
    <w:rsid w:val="00E35120"/>
    <w:rsid w:val="00E35223"/>
    <w:rsid w:val="00E35413"/>
    <w:rsid w:val="00E35475"/>
    <w:rsid w:val="00E35631"/>
    <w:rsid w:val="00E3582B"/>
    <w:rsid w:val="00E35C65"/>
    <w:rsid w:val="00E360AE"/>
    <w:rsid w:val="00E36320"/>
    <w:rsid w:val="00E368D1"/>
    <w:rsid w:val="00E36E6E"/>
    <w:rsid w:val="00E37178"/>
    <w:rsid w:val="00E37439"/>
    <w:rsid w:val="00E3746F"/>
    <w:rsid w:val="00E37D59"/>
    <w:rsid w:val="00E37E0D"/>
    <w:rsid w:val="00E37E91"/>
    <w:rsid w:val="00E4008A"/>
    <w:rsid w:val="00E40110"/>
    <w:rsid w:val="00E4012A"/>
    <w:rsid w:val="00E40595"/>
    <w:rsid w:val="00E4069F"/>
    <w:rsid w:val="00E408E5"/>
    <w:rsid w:val="00E40D42"/>
    <w:rsid w:val="00E40E22"/>
    <w:rsid w:val="00E41614"/>
    <w:rsid w:val="00E418C8"/>
    <w:rsid w:val="00E41C75"/>
    <w:rsid w:val="00E41DA6"/>
    <w:rsid w:val="00E42041"/>
    <w:rsid w:val="00E42250"/>
    <w:rsid w:val="00E424B1"/>
    <w:rsid w:val="00E42618"/>
    <w:rsid w:val="00E42621"/>
    <w:rsid w:val="00E42A56"/>
    <w:rsid w:val="00E42BC1"/>
    <w:rsid w:val="00E42CD5"/>
    <w:rsid w:val="00E436E4"/>
    <w:rsid w:val="00E43925"/>
    <w:rsid w:val="00E439F7"/>
    <w:rsid w:val="00E43B7D"/>
    <w:rsid w:val="00E43E7F"/>
    <w:rsid w:val="00E43F57"/>
    <w:rsid w:val="00E43FD2"/>
    <w:rsid w:val="00E44170"/>
    <w:rsid w:val="00E44326"/>
    <w:rsid w:val="00E4470E"/>
    <w:rsid w:val="00E4480C"/>
    <w:rsid w:val="00E44BBF"/>
    <w:rsid w:val="00E44CCD"/>
    <w:rsid w:val="00E44E41"/>
    <w:rsid w:val="00E459BE"/>
    <w:rsid w:val="00E45E87"/>
    <w:rsid w:val="00E4608B"/>
    <w:rsid w:val="00E4642E"/>
    <w:rsid w:val="00E4651E"/>
    <w:rsid w:val="00E466B3"/>
    <w:rsid w:val="00E46A36"/>
    <w:rsid w:val="00E46B29"/>
    <w:rsid w:val="00E46C5C"/>
    <w:rsid w:val="00E46D98"/>
    <w:rsid w:val="00E46E70"/>
    <w:rsid w:val="00E472B1"/>
    <w:rsid w:val="00E4735C"/>
    <w:rsid w:val="00E47816"/>
    <w:rsid w:val="00E47974"/>
    <w:rsid w:val="00E47CB6"/>
    <w:rsid w:val="00E50129"/>
    <w:rsid w:val="00E50673"/>
    <w:rsid w:val="00E5097B"/>
    <w:rsid w:val="00E51EBC"/>
    <w:rsid w:val="00E5220E"/>
    <w:rsid w:val="00E52324"/>
    <w:rsid w:val="00E52361"/>
    <w:rsid w:val="00E525FB"/>
    <w:rsid w:val="00E52626"/>
    <w:rsid w:val="00E52685"/>
    <w:rsid w:val="00E52943"/>
    <w:rsid w:val="00E529E9"/>
    <w:rsid w:val="00E52F22"/>
    <w:rsid w:val="00E53264"/>
    <w:rsid w:val="00E53477"/>
    <w:rsid w:val="00E536D8"/>
    <w:rsid w:val="00E537DD"/>
    <w:rsid w:val="00E5380F"/>
    <w:rsid w:val="00E53906"/>
    <w:rsid w:val="00E5403E"/>
    <w:rsid w:val="00E5431F"/>
    <w:rsid w:val="00E5436E"/>
    <w:rsid w:val="00E54680"/>
    <w:rsid w:val="00E5478E"/>
    <w:rsid w:val="00E54995"/>
    <w:rsid w:val="00E559F9"/>
    <w:rsid w:val="00E55B91"/>
    <w:rsid w:val="00E55EB3"/>
    <w:rsid w:val="00E561A5"/>
    <w:rsid w:val="00E5638F"/>
    <w:rsid w:val="00E5694B"/>
    <w:rsid w:val="00E56959"/>
    <w:rsid w:val="00E56A0B"/>
    <w:rsid w:val="00E56EEC"/>
    <w:rsid w:val="00E57424"/>
    <w:rsid w:val="00E57772"/>
    <w:rsid w:val="00E577F1"/>
    <w:rsid w:val="00E57BA7"/>
    <w:rsid w:val="00E57C62"/>
    <w:rsid w:val="00E57F0C"/>
    <w:rsid w:val="00E60454"/>
    <w:rsid w:val="00E6076A"/>
    <w:rsid w:val="00E60787"/>
    <w:rsid w:val="00E607FE"/>
    <w:rsid w:val="00E608B6"/>
    <w:rsid w:val="00E60BFB"/>
    <w:rsid w:val="00E6102F"/>
    <w:rsid w:val="00E6107A"/>
    <w:rsid w:val="00E61105"/>
    <w:rsid w:val="00E6123B"/>
    <w:rsid w:val="00E618DE"/>
    <w:rsid w:val="00E6208B"/>
    <w:rsid w:val="00E62147"/>
    <w:rsid w:val="00E621E5"/>
    <w:rsid w:val="00E6225E"/>
    <w:rsid w:val="00E62797"/>
    <w:rsid w:val="00E62A20"/>
    <w:rsid w:val="00E62B41"/>
    <w:rsid w:val="00E632D9"/>
    <w:rsid w:val="00E63462"/>
    <w:rsid w:val="00E63649"/>
    <w:rsid w:val="00E63BC3"/>
    <w:rsid w:val="00E63DD2"/>
    <w:rsid w:val="00E63E72"/>
    <w:rsid w:val="00E63F85"/>
    <w:rsid w:val="00E643DF"/>
    <w:rsid w:val="00E64872"/>
    <w:rsid w:val="00E6510B"/>
    <w:rsid w:val="00E6538B"/>
    <w:rsid w:val="00E65565"/>
    <w:rsid w:val="00E655A7"/>
    <w:rsid w:val="00E65BC4"/>
    <w:rsid w:val="00E6608C"/>
    <w:rsid w:val="00E66775"/>
    <w:rsid w:val="00E66BBE"/>
    <w:rsid w:val="00E66D42"/>
    <w:rsid w:val="00E67720"/>
    <w:rsid w:val="00E67990"/>
    <w:rsid w:val="00E67B05"/>
    <w:rsid w:val="00E70470"/>
    <w:rsid w:val="00E70547"/>
    <w:rsid w:val="00E7058C"/>
    <w:rsid w:val="00E7089D"/>
    <w:rsid w:val="00E70A78"/>
    <w:rsid w:val="00E70AEA"/>
    <w:rsid w:val="00E70C39"/>
    <w:rsid w:val="00E70CF7"/>
    <w:rsid w:val="00E7160E"/>
    <w:rsid w:val="00E71790"/>
    <w:rsid w:val="00E71F53"/>
    <w:rsid w:val="00E72157"/>
    <w:rsid w:val="00E72321"/>
    <w:rsid w:val="00E72499"/>
    <w:rsid w:val="00E72684"/>
    <w:rsid w:val="00E72EBB"/>
    <w:rsid w:val="00E72F38"/>
    <w:rsid w:val="00E7323D"/>
    <w:rsid w:val="00E73518"/>
    <w:rsid w:val="00E736E6"/>
    <w:rsid w:val="00E73B16"/>
    <w:rsid w:val="00E73C15"/>
    <w:rsid w:val="00E73EAF"/>
    <w:rsid w:val="00E73F6E"/>
    <w:rsid w:val="00E74005"/>
    <w:rsid w:val="00E74D6A"/>
    <w:rsid w:val="00E74EAC"/>
    <w:rsid w:val="00E752E9"/>
    <w:rsid w:val="00E75A1E"/>
    <w:rsid w:val="00E76041"/>
    <w:rsid w:val="00E7658C"/>
    <w:rsid w:val="00E76CD8"/>
    <w:rsid w:val="00E76CF5"/>
    <w:rsid w:val="00E76F01"/>
    <w:rsid w:val="00E771B7"/>
    <w:rsid w:val="00E77278"/>
    <w:rsid w:val="00E773D5"/>
    <w:rsid w:val="00E7768E"/>
    <w:rsid w:val="00E7779A"/>
    <w:rsid w:val="00E779D9"/>
    <w:rsid w:val="00E77D88"/>
    <w:rsid w:val="00E804F1"/>
    <w:rsid w:val="00E80AC2"/>
    <w:rsid w:val="00E81836"/>
    <w:rsid w:val="00E81959"/>
    <w:rsid w:val="00E8197D"/>
    <w:rsid w:val="00E81A89"/>
    <w:rsid w:val="00E81AFA"/>
    <w:rsid w:val="00E81EF6"/>
    <w:rsid w:val="00E82009"/>
    <w:rsid w:val="00E822FF"/>
    <w:rsid w:val="00E825B0"/>
    <w:rsid w:val="00E8261C"/>
    <w:rsid w:val="00E82762"/>
    <w:rsid w:val="00E82D52"/>
    <w:rsid w:val="00E83218"/>
    <w:rsid w:val="00E83385"/>
    <w:rsid w:val="00E8345E"/>
    <w:rsid w:val="00E8383E"/>
    <w:rsid w:val="00E83893"/>
    <w:rsid w:val="00E83DDE"/>
    <w:rsid w:val="00E83ECD"/>
    <w:rsid w:val="00E8400E"/>
    <w:rsid w:val="00E84271"/>
    <w:rsid w:val="00E846C1"/>
    <w:rsid w:val="00E84C7E"/>
    <w:rsid w:val="00E84F41"/>
    <w:rsid w:val="00E85346"/>
    <w:rsid w:val="00E85389"/>
    <w:rsid w:val="00E85516"/>
    <w:rsid w:val="00E8554C"/>
    <w:rsid w:val="00E85602"/>
    <w:rsid w:val="00E85612"/>
    <w:rsid w:val="00E856A4"/>
    <w:rsid w:val="00E85D4E"/>
    <w:rsid w:val="00E85DED"/>
    <w:rsid w:val="00E860F2"/>
    <w:rsid w:val="00E86A20"/>
    <w:rsid w:val="00E86C7C"/>
    <w:rsid w:val="00E86C8D"/>
    <w:rsid w:val="00E872D3"/>
    <w:rsid w:val="00E87968"/>
    <w:rsid w:val="00E87E80"/>
    <w:rsid w:val="00E87FA0"/>
    <w:rsid w:val="00E9025B"/>
    <w:rsid w:val="00E90288"/>
    <w:rsid w:val="00E9030B"/>
    <w:rsid w:val="00E908AC"/>
    <w:rsid w:val="00E911C7"/>
    <w:rsid w:val="00E9153E"/>
    <w:rsid w:val="00E917EE"/>
    <w:rsid w:val="00E9198E"/>
    <w:rsid w:val="00E91A48"/>
    <w:rsid w:val="00E91D33"/>
    <w:rsid w:val="00E91E99"/>
    <w:rsid w:val="00E91EA7"/>
    <w:rsid w:val="00E92381"/>
    <w:rsid w:val="00E9272B"/>
    <w:rsid w:val="00E9289B"/>
    <w:rsid w:val="00E92C55"/>
    <w:rsid w:val="00E9303F"/>
    <w:rsid w:val="00E93168"/>
    <w:rsid w:val="00E9321D"/>
    <w:rsid w:val="00E93BBD"/>
    <w:rsid w:val="00E93D3F"/>
    <w:rsid w:val="00E940BD"/>
    <w:rsid w:val="00E9444E"/>
    <w:rsid w:val="00E9496D"/>
    <w:rsid w:val="00E94BCF"/>
    <w:rsid w:val="00E94CAB"/>
    <w:rsid w:val="00E95118"/>
    <w:rsid w:val="00E95608"/>
    <w:rsid w:val="00E95640"/>
    <w:rsid w:val="00E958F8"/>
    <w:rsid w:val="00E95C75"/>
    <w:rsid w:val="00E963C8"/>
    <w:rsid w:val="00E965EC"/>
    <w:rsid w:val="00E975FB"/>
    <w:rsid w:val="00E978E2"/>
    <w:rsid w:val="00EA05B4"/>
    <w:rsid w:val="00EA09A9"/>
    <w:rsid w:val="00EA0A45"/>
    <w:rsid w:val="00EA0C7D"/>
    <w:rsid w:val="00EA0E34"/>
    <w:rsid w:val="00EA11B2"/>
    <w:rsid w:val="00EA1589"/>
    <w:rsid w:val="00EA1D61"/>
    <w:rsid w:val="00EA1EE2"/>
    <w:rsid w:val="00EA20B7"/>
    <w:rsid w:val="00EA2755"/>
    <w:rsid w:val="00EA2A95"/>
    <w:rsid w:val="00EA331E"/>
    <w:rsid w:val="00EA3460"/>
    <w:rsid w:val="00EA3590"/>
    <w:rsid w:val="00EA3835"/>
    <w:rsid w:val="00EA3A58"/>
    <w:rsid w:val="00EA3FD5"/>
    <w:rsid w:val="00EA43FC"/>
    <w:rsid w:val="00EA442A"/>
    <w:rsid w:val="00EA4712"/>
    <w:rsid w:val="00EA47FE"/>
    <w:rsid w:val="00EA50D4"/>
    <w:rsid w:val="00EA511C"/>
    <w:rsid w:val="00EA53C7"/>
    <w:rsid w:val="00EA54B1"/>
    <w:rsid w:val="00EA583C"/>
    <w:rsid w:val="00EA5A17"/>
    <w:rsid w:val="00EA60CA"/>
    <w:rsid w:val="00EA69CF"/>
    <w:rsid w:val="00EA6DB9"/>
    <w:rsid w:val="00EA735A"/>
    <w:rsid w:val="00EA75DB"/>
    <w:rsid w:val="00EA7726"/>
    <w:rsid w:val="00EA77FC"/>
    <w:rsid w:val="00EA7BF0"/>
    <w:rsid w:val="00EA7DB1"/>
    <w:rsid w:val="00EA7EF8"/>
    <w:rsid w:val="00EA7FBD"/>
    <w:rsid w:val="00EB039A"/>
    <w:rsid w:val="00EB03B0"/>
    <w:rsid w:val="00EB03F0"/>
    <w:rsid w:val="00EB071B"/>
    <w:rsid w:val="00EB09F6"/>
    <w:rsid w:val="00EB0E77"/>
    <w:rsid w:val="00EB0F82"/>
    <w:rsid w:val="00EB1466"/>
    <w:rsid w:val="00EB19CA"/>
    <w:rsid w:val="00EB1D85"/>
    <w:rsid w:val="00EB1DD3"/>
    <w:rsid w:val="00EB1E8E"/>
    <w:rsid w:val="00EB20AE"/>
    <w:rsid w:val="00EB2156"/>
    <w:rsid w:val="00EB240C"/>
    <w:rsid w:val="00EB2781"/>
    <w:rsid w:val="00EB2889"/>
    <w:rsid w:val="00EB3068"/>
    <w:rsid w:val="00EB3DF5"/>
    <w:rsid w:val="00EB4596"/>
    <w:rsid w:val="00EB45FE"/>
    <w:rsid w:val="00EB49B1"/>
    <w:rsid w:val="00EB4A26"/>
    <w:rsid w:val="00EB4D66"/>
    <w:rsid w:val="00EB4E8C"/>
    <w:rsid w:val="00EB4F23"/>
    <w:rsid w:val="00EB5288"/>
    <w:rsid w:val="00EB543E"/>
    <w:rsid w:val="00EB5537"/>
    <w:rsid w:val="00EB57BD"/>
    <w:rsid w:val="00EB5D3D"/>
    <w:rsid w:val="00EB5E8C"/>
    <w:rsid w:val="00EB5FC0"/>
    <w:rsid w:val="00EB5FD1"/>
    <w:rsid w:val="00EB61C2"/>
    <w:rsid w:val="00EB6313"/>
    <w:rsid w:val="00EB73A6"/>
    <w:rsid w:val="00EB7416"/>
    <w:rsid w:val="00EB7BD6"/>
    <w:rsid w:val="00EC0199"/>
    <w:rsid w:val="00EC0243"/>
    <w:rsid w:val="00EC02E0"/>
    <w:rsid w:val="00EC0451"/>
    <w:rsid w:val="00EC046E"/>
    <w:rsid w:val="00EC0856"/>
    <w:rsid w:val="00EC0B3C"/>
    <w:rsid w:val="00EC0D89"/>
    <w:rsid w:val="00EC0D8B"/>
    <w:rsid w:val="00EC15EC"/>
    <w:rsid w:val="00EC18EA"/>
    <w:rsid w:val="00EC197A"/>
    <w:rsid w:val="00EC1A0B"/>
    <w:rsid w:val="00EC1C08"/>
    <w:rsid w:val="00EC1FE9"/>
    <w:rsid w:val="00EC2D26"/>
    <w:rsid w:val="00EC2D40"/>
    <w:rsid w:val="00EC2DB0"/>
    <w:rsid w:val="00EC2F66"/>
    <w:rsid w:val="00EC2FA8"/>
    <w:rsid w:val="00EC308C"/>
    <w:rsid w:val="00EC34DD"/>
    <w:rsid w:val="00EC3532"/>
    <w:rsid w:val="00EC3785"/>
    <w:rsid w:val="00EC391E"/>
    <w:rsid w:val="00EC3A01"/>
    <w:rsid w:val="00EC3AC7"/>
    <w:rsid w:val="00EC3B7D"/>
    <w:rsid w:val="00EC3E28"/>
    <w:rsid w:val="00EC414F"/>
    <w:rsid w:val="00EC4440"/>
    <w:rsid w:val="00EC449E"/>
    <w:rsid w:val="00EC45A1"/>
    <w:rsid w:val="00EC491A"/>
    <w:rsid w:val="00EC4932"/>
    <w:rsid w:val="00EC4C33"/>
    <w:rsid w:val="00EC5210"/>
    <w:rsid w:val="00EC5410"/>
    <w:rsid w:val="00EC54AE"/>
    <w:rsid w:val="00EC573C"/>
    <w:rsid w:val="00EC5E42"/>
    <w:rsid w:val="00EC60B2"/>
    <w:rsid w:val="00EC60E0"/>
    <w:rsid w:val="00EC657F"/>
    <w:rsid w:val="00EC6684"/>
    <w:rsid w:val="00EC68FC"/>
    <w:rsid w:val="00EC6F50"/>
    <w:rsid w:val="00EC6FF0"/>
    <w:rsid w:val="00EC7CFC"/>
    <w:rsid w:val="00ED012F"/>
    <w:rsid w:val="00ED0393"/>
    <w:rsid w:val="00ED05DD"/>
    <w:rsid w:val="00ED07EA"/>
    <w:rsid w:val="00ED0D69"/>
    <w:rsid w:val="00ED0FB2"/>
    <w:rsid w:val="00ED1C84"/>
    <w:rsid w:val="00ED2417"/>
    <w:rsid w:val="00ED2550"/>
    <w:rsid w:val="00ED2676"/>
    <w:rsid w:val="00ED2767"/>
    <w:rsid w:val="00ED2CAD"/>
    <w:rsid w:val="00ED328B"/>
    <w:rsid w:val="00ED34BC"/>
    <w:rsid w:val="00ED3C74"/>
    <w:rsid w:val="00ED3D8D"/>
    <w:rsid w:val="00ED3E71"/>
    <w:rsid w:val="00ED42BC"/>
    <w:rsid w:val="00ED4390"/>
    <w:rsid w:val="00ED47DC"/>
    <w:rsid w:val="00ED4C7B"/>
    <w:rsid w:val="00ED4E0F"/>
    <w:rsid w:val="00ED4E89"/>
    <w:rsid w:val="00ED5058"/>
    <w:rsid w:val="00ED554B"/>
    <w:rsid w:val="00ED5B74"/>
    <w:rsid w:val="00ED5E3E"/>
    <w:rsid w:val="00ED60F1"/>
    <w:rsid w:val="00ED6259"/>
    <w:rsid w:val="00ED6485"/>
    <w:rsid w:val="00ED6653"/>
    <w:rsid w:val="00ED6D87"/>
    <w:rsid w:val="00ED6E0C"/>
    <w:rsid w:val="00ED6EF3"/>
    <w:rsid w:val="00ED7081"/>
    <w:rsid w:val="00ED76F9"/>
    <w:rsid w:val="00EE03F8"/>
    <w:rsid w:val="00EE0DBB"/>
    <w:rsid w:val="00EE108C"/>
    <w:rsid w:val="00EE1213"/>
    <w:rsid w:val="00EE13EB"/>
    <w:rsid w:val="00EE1D2E"/>
    <w:rsid w:val="00EE1D91"/>
    <w:rsid w:val="00EE2261"/>
    <w:rsid w:val="00EE2361"/>
    <w:rsid w:val="00EE2749"/>
    <w:rsid w:val="00EE2A74"/>
    <w:rsid w:val="00EE2A83"/>
    <w:rsid w:val="00EE39F2"/>
    <w:rsid w:val="00EE3A73"/>
    <w:rsid w:val="00EE3DA8"/>
    <w:rsid w:val="00EE49E5"/>
    <w:rsid w:val="00EE4EDD"/>
    <w:rsid w:val="00EE5076"/>
    <w:rsid w:val="00EE52E2"/>
    <w:rsid w:val="00EE56A8"/>
    <w:rsid w:val="00EE5921"/>
    <w:rsid w:val="00EE5C62"/>
    <w:rsid w:val="00EE60ED"/>
    <w:rsid w:val="00EE66FC"/>
    <w:rsid w:val="00EE708C"/>
    <w:rsid w:val="00EE71AA"/>
    <w:rsid w:val="00EE7348"/>
    <w:rsid w:val="00EE760C"/>
    <w:rsid w:val="00EF049F"/>
    <w:rsid w:val="00EF0772"/>
    <w:rsid w:val="00EF10E3"/>
    <w:rsid w:val="00EF10FB"/>
    <w:rsid w:val="00EF111C"/>
    <w:rsid w:val="00EF1121"/>
    <w:rsid w:val="00EF1352"/>
    <w:rsid w:val="00EF172C"/>
    <w:rsid w:val="00EF1882"/>
    <w:rsid w:val="00EF19D6"/>
    <w:rsid w:val="00EF1A43"/>
    <w:rsid w:val="00EF1B04"/>
    <w:rsid w:val="00EF1BE9"/>
    <w:rsid w:val="00EF1EE2"/>
    <w:rsid w:val="00EF2787"/>
    <w:rsid w:val="00EF2B8D"/>
    <w:rsid w:val="00EF2C7A"/>
    <w:rsid w:val="00EF2F58"/>
    <w:rsid w:val="00EF35BC"/>
    <w:rsid w:val="00EF409F"/>
    <w:rsid w:val="00EF413C"/>
    <w:rsid w:val="00EF41C6"/>
    <w:rsid w:val="00EF4224"/>
    <w:rsid w:val="00EF4381"/>
    <w:rsid w:val="00EF47EE"/>
    <w:rsid w:val="00EF4AD3"/>
    <w:rsid w:val="00EF4C03"/>
    <w:rsid w:val="00EF4CFB"/>
    <w:rsid w:val="00EF4FE0"/>
    <w:rsid w:val="00EF50FC"/>
    <w:rsid w:val="00EF5439"/>
    <w:rsid w:val="00EF55FC"/>
    <w:rsid w:val="00EF59B9"/>
    <w:rsid w:val="00EF6339"/>
    <w:rsid w:val="00EF649D"/>
    <w:rsid w:val="00EF6AD5"/>
    <w:rsid w:val="00EF7158"/>
    <w:rsid w:val="00EF719E"/>
    <w:rsid w:val="00F00132"/>
    <w:rsid w:val="00F00324"/>
    <w:rsid w:val="00F003CA"/>
    <w:rsid w:val="00F004E7"/>
    <w:rsid w:val="00F0068F"/>
    <w:rsid w:val="00F00BD8"/>
    <w:rsid w:val="00F01222"/>
    <w:rsid w:val="00F01648"/>
    <w:rsid w:val="00F0195B"/>
    <w:rsid w:val="00F019AA"/>
    <w:rsid w:val="00F01DC8"/>
    <w:rsid w:val="00F01ED5"/>
    <w:rsid w:val="00F01F47"/>
    <w:rsid w:val="00F01F4A"/>
    <w:rsid w:val="00F02585"/>
    <w:rsid w:val="00F025D5"/>
    <w:rsid w:val="00F0273D"/>
    <w:rsid w:val="00F02B74"/>
    <w:rsid w:val="00F03964"/>
    <w:rsid w:val="00F03967"/>
    <w:rsid w:val="00F040D1"/>
    <w:rsid w:val="00F0467F"/>
    <w:rsid w:val="00F04E63"/>
    <w:rsid w:val="00F04EB7"/>
    <w:rsid w:val="00F05107"/>
    <w:rsid w:val="00F05410"/>
    <w:rsid w:val="00F05842"/>
    <w:rsid w:val="00F05A87"/>
    <w:rsid w:val="00F05C36"/>
    <w:rsid w:val="00F05F3F"/>
    <w:rsid w:val="00F05FCD"/>
    <w:rsid w:val="00F063F1"/>
    <w:rsid w:val="00F06873"/>
    <w:rsid w:val="00F06A0A"/>
    <w:rsid w:val="00F06BF6"/>
    <w:rsid w:val="00F06ED0"/>
    <w:rsid w:val="00F07CB9"/>
    <w:rsid w:val="00F07F79"/>
    <w:rsid w:val="00F101D4"/>
    <w:rsid w:val="00F1029A"/>
    <w:rsid w:val="00F110DD"/>
    <w:rsid w:val="00F119FE"/>
    <w:rsid w:val="00F11B53"/>
    <w:rsid w:val="00F11D8E"/>
    <w:rsid w:val="00F11DF4"/>
    <w:rsid w:val="00F12011"/>
    <w:rsid w:val="00F12858"/>
    <w:rsid w:val="00F12D9B"/>
    <w:rsid w:val="00F12E64"/>
    <w:rsid w:val="00F12EE7"/>
    <w:rsid w:val="00F132FB"/>
    <w:rsid w:val="00F135AE"/>
    <w:rsid w:val="00F138A3"/>
    <w:rsid w:val="00F1398A"/>
    <w:rsid w:val="00F13FE3"/>
    <w:rsid w:val="00F1438C"/>
    <w:rsid w:val="00F14693"/>
    <w:rsid w:val="00F14DAD"/>
    <w:rsid w:val="00F14E9F"/>
    <w:rsid w:val="00F1502D"/>
    <w:rsid w:val="00F15129"/>
    <w:rsid w:val="00F15173"/>
    <w:rsid w:val="00F15647"/>
    <w:rsid w:val="00F15AA0"/>
    <w:rsid w:val="00F15D73"/>
    <w:rsid w:val="00F15F8C"/>
    <w:rsid w:val="00F1609D"/>
    <w:rsid w:val="00F16387"/>
    <w:rsid w:val="00F16FDE"/>
    <w:rsid w:val="00F17120"/>
    <w:rsid w:val="00F17331"/>
    <w:rsid w:val="00F1781D"/>
    <w:rsid w:val="00F17C0A"/>
    <w:rsid w:val="00F17D50"/>
    <w:rsid w:val="00F2019C"/>
    <w:rsid w:val="00F20394"/>
    <w:rsid w:val="00F20448"/>
    <w:rsid w:val="00F205AD"/>
    <w:rsid w:val="00F2070D"/>
    <w:rsid w:val="00F20A07"/>
    <w:rsid w:val="00F20A89"/>
    <w:rsid w:val="00F20B12"/>
    <w:rsid w:val="00F20D4D"/>
    <w:rsid w:val="00F2106F"/>
    <w:rsid w:val="00F212B0"/>
    <w:rsid w:val="00F21424"/>
    <w:rsid w:val="00F21589"/>
    <w:rsid w:val="00F21BAD"/>
    <w:rsid w:val="00F21EAF"/>
    <w:rsid w:val="00F225A5"/>
    <w:rsid w:val="00F22896"/>
    <w:rsid w:val="00F22A0A"/>
    <w:rsid w:val="00F22A4F"/>
    <w:rsid w:val="00F22F1D"/>
    <w:rsid w:val="00F23099"/>
    <w:rsid w:val="00F23152"/>
    <w:rsid w:val="00F233F7"/>
    <w:rsid w:val="00F23484"/>
    <w:rsid w:val="00F23899"/>
    <w:rsid w:val="00F23ABE"/>
    <w:rsid w:val="00F23C26"/>
    <w:rsid w:val="00F23E0E"/>
    <w:rsid w:val="00F24072"/>
    <w:rsid w:val="00F24111"/>
    <w:rsid w:val="00F24823"/>
    <w:rsid w:val="00F24918"/>
    <w:rsid w:val="00F24A61"/>
    <w:rsid w:val="00F24E1B"/>
    <w:rsid w:val="00F24F55"/>
    <w:rsid w:val="00F250EB"/>
    <w:rsid w:val="00F25343"/>
    <w:rsid w:val="00F25B9C"/>
    <w:rsid w:val="00F26020"/>
    <w:rsid w:val="00F26139"/>
    <w:rsid w:val="00F262CF"/>
    <w:rsid w:val="00F26459"/>
    <w:rsid w:val="00F26660"/>
    <w:rsid w:val="00F267FE"/>
    <w:rsid w:val="00F26C8B"/>
    <w:rsid w:val="00F26E26"/>
    <w:rsid w:val="00F270DC"/>
    <w:rsid w:val="00F2762A"/>
    <w:rsid w:val="00F277B9"/>
    <w:rsid w:val="00F2782D"/>
    <w:rsid w:val="00F27949"/>
    <w:rsid w:val="00F27A9D"/>
    <w:rsid w:val="00F27C92"/>
    <w:rsid w:val="00F27CE9"/>
    <w:rsid w:val="00F27D55"/>
    <w:rsid w:val="00F27FA1"/>
    <w:rsid w:val="00F30837"/>
    <w:rsid w:val="00F30B2A"/>
    <w:rsid w:val="00F30C07"/>
    <w:rsid w:val="00F3144B"/>
    <w:rsid w:val="00F316D2"/>
    <w:rsid w:val="00F31EA2"/>
    <w:rsid w:val="00F31F27"/>
    <w:rsid w:val="00F326D3"/>
    <w:rsid w:val="00F32AC9"/>
    <w:rsid w:val="00F32C3B"/>
    <w:rsid w:val="00F32FAA"/>
    <w:rsid w:val="00F330A3"/>
    <w:rsid w:val="00F3312C"/>
    <w:rsid w:val="00F33212"/>
    <w:rsid w:val="00F336A5"/>
    <w:rsid w:val="00F33E62"/>
    <w:rsid w:val="00F3429B"/>
    <w:rsid w:val="00F3482A"/>
    <w:rsid w:val="00F34E2C"/>
    <w:rsid w:val="00F3508B"/>
    <w:rsid w:val="00F35217"/>
    <w:rsid w:val="00F35664"/>
    <w:rsid w:val="00F35677"/>
    <w:rsid w:val="00F359C6"/>
    <w:rsid w:val="00F35B0C"/>
    <w:rsid w:val="00F35F71"/>
    <w:rsid w:val="00F36141"/>
    <w:rsid w:val="00F3616E"/>
    <w:rsid w:val="00F36D32"/>
    <w:rsid w:val="00F3736E"/>
    <w:rsid w:val="00F374DD"/>
    <w:rsid w:val="00F377BA"/>
    <w:rsid w:val="00F37989"/>
    <w:rsid w:val="00F379EA"/>
    <w:rsid w:val="00F4036C"/>
    <w:rsid w:val="00F408DD"/>
    <w:rsid w:val="00F40C98"/>
    <w:rsid w:val="00F40D71"/>
    <w:rsid w:val="00F412A8"/>
    <w:rsid w:val="00F412C9"/>
    <w:rsid w:val="00F41587"/>
    <w:rsid w:val="00F4185A"/>
    <w:rsid w:val="00F419AD"/>
    <w:rsid w:val="00F420B2"/>
    <w:rsid w:val="00F421E7"/>
    <w:rsid w:val="00F42496"/>
    <w:rsid w:val="00F429AB"/>
    <w:rsid w:val="00F42C7B"/>
    <w:rsid w:val="00F42DBA"/>
    <w:rsid w:val="00F42F6A"/>
    <w:rsid w:val="00F431B3"/>
    <w:rsid w:val="00F43899"/>
    <w:rsid w:val="00F43E8A"/>
    <w:rsid w:val="00F440DC"/>
    <w:rsid w:val="00F446FA"/>
    <w:rsid w:val="00F44846"/>
    <w:rsid w:val="00F44C83"/>
    <w:rsid w:val="00F44DE4"/>
    <w:rsid w:val="00F44ECB"/>
    <w:rsid w:val="00F44F55"/>
    <w:rsid w:val="00F45737"/>
    <w:rsid w:val="00F45BD8"/>
    <w:rsid w:val="00F460B0"/>
    <w:rsid w:val="00F4613B"/>
    <w:rsid w:val="00F46938"/>
    <w:rsid w:val="00F46F4F"/>
    <w:rsid w:val="00F471A8"/>
    <w:rsid w:val="00F47243"/>
    <w:rsid w:val="00F4736E"/>
    <w:rsid w:val="00F47753"/>
    <w:rsid w:val="00F477DB"/>
    <w:rsid w:val="00F501D2"/>
    <w:rsid w:val="00F509B8"/>
    <w:rsid w:val="00F509B9"/>
    <w:rsid w:val="00F50BB0"/>
    <w:rsid w:val="00F50EBA"/>
    <w:rsid w:val="00F51B17"/>
    <w:rsid w:val="00F51E92"/>
    <w:rsid w:val="00F51EE2"/>
    <w:rsid w:val="00F521CA"/>
    <w:rsid w:val="00F5266C"/>
    <w:rsid w:val="00F528DE"/>
    <w:rsid w:val="00F52955"/>
    <w:rsid w:val="00F52A62"/>
    <w:rsid w:val="00F52CA9"/>
    <w:rsid w:val="00F52F38"/>
    <w:rsid w:val="00F52FCA"/>
    <w:rsid w:val="00F539F2"/>
    <w:rsid w:val="00F53C6C"/>
    <w:rsid w:val="00F54992"/>
    <w:rsid w:val="00F54A76"/>
    <w:rsid w:val="00F54EA2"/>
    <w:rsid w:val="00F550D3"/>
    <w:rsid w:val="00F55377"/>
    <w:rsid w:val="00F5554F"/>
    <w:rsid w:val="00F55663"/>
    <w:rsid w:val="00F56002"/>
    <w:rsid w:val="00F56060"/>
    <w:rsid w:val="00F5610C"/>
    <w:rsid w:val="00F56366"/>
    <w:rsid w:val="00F56DD4"/>
    <w:rsid w:val="00F56F49"/>
    <w:rsid w:val="00F56F83"/>
    <w:rsid w:val="00F57BC3"/>
    <w:rsid w:val="00F57F92"/>
    <w:rsid w:val="00F60CDF"/>
    <w:rsid w:val="00F60F71"/>
    <w:rsid w:val="00F6125C"/>
    <w:rsid w:val="00F61A1D"/>
    <w:rsid w:val="00F61E28"/>
    <w:rsid w:val="00F61EF0"/>
    <w:rsid w:val="00F61F33"/>
    <w:rsid w:val="00F620F7"/>
    <w:rsid w:val="00F62233"/>
    <w:rsid w:val="00F62293"/>
    <w:rsid w:val="00F6232F"/>
    <w:rsid w:val="00F62746"/>
    <w:rsid w:val="00F62AB5"/>
    <w:rsid w:val="00F634D6"/>
    <w:rsid w:val="00F635F4"/>
    <w:rsid w:val="00F6369E"/>
    <w:rsid w:val="00F63DA7"/>
    <w:rsid w:val="00F63FCD"/>
    <w:rsid w:val="00F640B5"/>
    <w:rsid w:val="00F6414E"/>
    <w:rsid w:val="00F6433D"/>
    <w:rsid w:val="00F643DD"/>
    <w:rsid w:val="00F64955"/>
    <w:rsid w:val="00F64979"/>
    <w:rsid w:val="00F64BDB"/>
    <w:rsid w:val="00F64F31"/>
    <w:rsid w:val="00F6506C"/>
    <w:rsid w:val="00F650F1"/>
    <w:rsid w:val="00F65686"/>
    <w:rsid w:val="00F656C6"/>
    <w:rsid w:val="00F65753"/>
    <w:rsid w:val="00F6583F"/>
    <w:rsid w:val="00F65896"/>
    <w:rsid w:val="00F65BAB"/>
    <w:rsid w:val="00F662ED"/>
    <w:rsid w:val="00F663CE"/>
    <w:rsid w:val="00F6645C"/>
    <w:rsid w:val="00F66497"/>
    <w:rsid w:val="00F66C84"/>
    <w:rsid w:val="00F67157"/>
    <w:rsid w:val="00F6727F"/>
    <w:rsid w:val="00F67546"/>
    <w:rsid w:val="00F67B01"/>
    <w:rsid w:val="00F67C28"/>
    <w:rsid w:val="00F7082E"/>
    <w:rsid w:val="00F70DD3"/>
    <w:rsid w:val="00F71388"/>
    <w:rsid w:val="00F714AA"/>
    <w:rsid w:val="00F7158A"/>
    <w:rsid w:val="00F718CB"/>
    <w:rsid w:val="00F71EEC"/>
    <w:rsid w:val="00F72202"/>
    <w:rsid w:val="00F72303"/>
    <w:rsid w:val="00F7230E"/>
    <w:rsid w:val="00F726F8"/>
    <w:rsid w:val="00F7274A"/>
    <w:rsid w:val="00F72D7E"/>
    <w:rsid w:val="00F73445"/>
    <w:rsid w:val="00F73EAB"/>
    <w:rsid w:val="00F74168"/>
    <w:rsid w:val="00F741D8"/>
    <w:rsid w:val="00F74295"/>
    <w:rsid w:val="00F7452B"/>
    <w:rsid w:val="00F748E6"/>
    <w:rsid w:val="00F74C89"/>
    <w:rsid w:val="00F74CC0"/>
    <w:rsid w:val="00F74E4B"/>
    <w:rsid w:val="00F752D3"/>
    <w:rsid w:val="00F75478"/>
    <w:rsid w:val="00F759A3"/>
    <w:rsid w:val="00F75C0A"/>
    <w:rsid w:val="00F75DD2"/>
    <w:rsid w:val="00F75EFE"/>
    <w:rsid w:val="00F762C9"/>
    <w:rsid w:val="00F76375"/>
    <w:rsid w:val="00F7665E"/>
    <w:rsid w:val="00F76809"/>
    <w:rsid w:val="00F7688E"/>
    <w:rsid w:val="00F76CED"/>
    <w:rsid w:val="00F76D00"/>
    <w:rsid w:val="00F76E11"/>
    <w:rsid w:val="00F77012"/>
    <w:rsid w:val="00F772F7"/>
    <w:rsid w:val="00F775A7"/>
    <w:rsid w:val="00F77B8C"/>
    <w:rsid w:val="00F77F86"/>
    <w:rsid w:val="00F77FC9"/>
    <w:rsid w:val="00F807FA"/>
    <w:rsid w:val="00F80C9A"/>
    <w:rsid w:val="00F80CB0"/>
    <w:rsid w:val="00F813C9"/>
    <w:rsid w:val="00F81415"/>
    <w:rsid w:val="00F8155A"/>
    <w:rsid w:val="00F815F4"/>
    <w:rsid w:val="00F81713"/>
    <w:rsid w:val="00F8171B"/>
    <w:rsid w:val="00F818C3"/>
    <w:rsid w:val="00F8250C"/>
    <w:rsid w:val="00F82DC4"/>
    <w:rsid w:val="00F82DDA"/>
    <w:rsid w:val="00F8349E"/>
    <w:rsid w:val="00F83619"/>
    <w:rsid w:val="00F83672"/>
    <w:rsid w:val="00F837C8"/>
    <w:rsid w:val="00F83AD6"/>
    <w:rsid w:val="00F84076"/>
    <w:rsid w:val="00F84697"/>
    <w:rsid w:val="00F848BA"/>
    <w:rsid w:val="00F84C3B"/>
    <w:rsid w:val="00F84C51"/>
    <w:rsid w:val="00F84E34"/>
    <w:rsid w:val="00F84ECD"/>
    <w:rsid w:val="00F84EFC"/>
    <w:rsid w:val="00F85567"/>
    <w:rsid w:val="00F8558D"/>
    <w:rsid w:val="00F85CC9"/>
    <w:rsid w:val="00F85F08"/>
    <w:rsid w:val="00F861CC"/>
    <w:rsid w:val="00F861FD"/>
    <w:rsid w:val="00F8625D"/>
    <w:rsid w:val="00F86973"/>
    <w:rsid w:val="00F87105"/>
    <w:rsid w:val="00F87116"/>
    <w:rsid w:val="00F871A4"/>
    <w:rsid w:val="00F873AD"/>
    <w:rsid w:val="00F87727"/>
    <w:rsid w:val="00F87C8E"/>
    <w:rsid w:val="00F87D09"/>
    <w:rsid w:val="00F87E2F"/>
    <w:rsid w:val="00F87E4C"/>
    <w:rsid w:val="00F87EAB"/>
    <w:rsid w:val="00F9041C"/>
    <w:rsid w:val="00F90579"/>
    <w:rsid w:val="00F9097C"/>
    <w:rsid w:val="00F90B58"/>
    <w:rsid w:val="00F911A5"/>
    <w:rsid w:val="00F91385"/>
    <w:rsid w:val="00F916BC"/>
    <w:rsid w:val="00F916E6"/>
    <w:rsid w:val="00F91889"/>
    <w:rsid w:val="00F92501"/>
    <w:rsid w:val="00F925B8"/>
    <w:rsid w:val="00F92E84"/>
    <w:rsid w:val="00F9314C"/>
    <w:rsid w:val="00F93224"/>
    <w:rsid w:val="00F9322F"/>
    <w:rsid w:val="00F93289"/>
    <w:rsid w:val="00F93363"/>
    <w:rsid w:val="00F9362C"/>
    <w:rsid w:val="00F9367F"/>
    <w:rsid w:val="00F93688"/>
    <w:rsid w:val="00F936AB"/>
    <w:rsid w:val="00F93B8A"/>
    <w:rsid w:val="00F93FB3"/>
    <w:rsid w:val="00F940C4"/>
    <w:rsid w:val="00F94636"/>
    <w:rsid w:val="00F94637"/>
    <w:rsid w:val="00F946F0"/>
    <w:rsid w:val="00F94718"/>
    <w:rsid w:val="00F94DF7"/>
    <w:rsid w:val="00F94DFC"/>
    <w:rsid w:val="00F951F4"/>
    <w:rsid w:val="00F9594A"/>
    <w:rsid w:val="00F95C52"/>
    <w:rsid w:val="00F96A88"/>
    <w:rsid w:val="00F96BBD"/>
    <w:rsid w:val="00F9705C"/>
    <w:rsid w:val="00F97097"/>
    <w:rsid w:val="00F97C21"/>
    <w:rsid w:val="00F97ED6"/>
    <w:rsid w:val="00F97EEB"/>
    <w:rsid w:val="00FA02E7"/>
    <w:rsid w:val="00FA0C21"/>
    <w:rsid w:val="00FA0C9A"/>
    <w:rsid w:val="00FA1015"/>
    <w:rsid w:val="00FA13FF"/>
    <w:rsid w:val="00FA1928"/>
    <w:rsid w:val="00FA194F"/>
    <w:rsid w:val="00FA19BA"/>
    <w:rsid w:val="00FA2477"/>
    <w:rsid w:val="00FA2500"/>
    <w:rsid w:val="00FA2814"/>
    <w:rsid w:val="00FA2E55"/>
    <w:rsid w:val="00FA2FC0"/>
    <w:rsid w:val="00FA3029"/>
    <w:rsid w:val="00FA3C13"/>
    <w:rsid w:val="00FA3D96"/>
    <w:rsid w:val="00FA40D1"/>
    <w:rsid w:val="00FA4CA9"/>
    <w:rsid w:val="00FA4D9D"/>
    <w:rsid w:val="00FA4EE9"/>
    <w:rsid w:val="00FA578B"/>
    <w:rsid w:val="00FA5DC9"/>
    <w:rsid w:val="00FA6D13"/>
    <w:rsid w:val="00FA6E00"/>
    <w:rsid w:val="00FA6E1A"/>
    <w:rsid w:val="00FA6F58"/>
    <w:rsid w:val="00FA70D4"/>
    <w:rsid w:val="00FA71E1"/>
    <w:rsid w:val="00FA726F"/>
    <w:rsid w:val="00FA7599"/>
    <w:rsid w:val="00FA7791"/>
    <w:rsid w:val="00FA7D7D"/>
    <w:rsid w:val="00FA7FB5"/>
    <w:rsid w:val="00FB0141"/>
    <w:rsid w:val="00FB0756"/>
    <w:rsid w:val="00FB081A"/>
    <w:rsid w:val="00FB0885"/>
    <w:rsid w:val="00FB08D5"/>
    <w:rsid w:val="00FB0983"/>
    <w:rsid w:val="00FB0B68"/>
    <w:rsid w:val="00FB0BB3"/>
    <w:rsid w:val="00FB0FE5"/>
    <w:rsid w:val="00FB163A"/>
    <w:rsid w:val="00FB204A"/>
    <w:rsid w:val="00FB215B"/>
    <w:rsid w:val="00FB2228"/>
    <w:rsid w:val="00FB2461"/>
    <w:rsid w:val="00FB2642"/>
    <w:rsid w:val="00FB276A"/>
    <w:rsid w:val="00FB2B9F"/>
    <w:rsid w:val="00FB2BD7"/>
    <w:rsid w:val="00FB2C11"/>
    <w:rsid w:val="00FB2CB1"/>
    <w:rsid w:val="00FB3532"/>
    <w:rsid w:val="00FB388E"/>
    <w:rsid w:val="00FB391A"/>
    <w:rsid w:val="00FB3DD2"/>
    <w:rsid w:val="00FB3FF7"/>
    <w:rsid w:val="00FB4BA3"/>
    <w:rsid w:val="00FB50C8"/>
    <w:rsid w:val="00FB52C5"/>
    <w:rsid w:val="00FB56E6"/>
    <w:rsid w:val="00FB5758"/>
    <w:rsid w:val="00FB5A14"/>
    <w:rsid w:val="00FB5BFA"/>
    <w:rsid w:val="00FB5CC5"/>
    <w:rsid w:val="00FB61A2"/>
    <w:rsid w:val="00FB6579"/>
    <w:rsid w:val="00FB6757"/>
    <w:rsid w:val="00FB68F2"/>
    <w:rsid w:val="00FB6EA3"/>
    <w:rsid w:val="00FB7A6F"/>
    <w:rsid w:val="00FB7D95"/>
    <w:rsid w:val="00FC01B6"/>
    <w:rsid w:val="00FC03BC"/>
    <w:rsid w:val="00FC0827"/>
    <w:rsid w:val="00FC0989"/>
    <w:rsid w:val="00FC125C"/>
    <w:rsid w:val="00FC1373"/>
    <w:rsid w:val="00FC158F"/>
    <w:rsid w:val="00FC1590"/>
    <w:rsid w:val="00FC1628"/>
    <w:rsid w:val="00FC173D"/>
    <w:rsid w:val="00FC1DA6"/>
    <w:rsid w:val="00FC1DD9"/>
    <w:rsid w:val="00FC1ECE"/>
    <w:rsid w:val="00FC1F52"/>
    <w:rsid w:val="00FC2115"/>
    <w:rsid w:val="00FC220B"/>
    <w:rsid w:val="00FC2252"/>
    <w:rsid w:val="00FC261B"/>
    <w:rsid w:val="00FC2763"/>
    <w:rsid w:val="00FC2A91"/>
    <w:rsid w:val="00FC2EDF"/>
    <w:rsid w:val="00FC31AD"/>
    <w:rsid w:val="00FC3338"/>
    <w:rsid w:val="00FC3F50"/>
    <w:rsid w:val="00FC40FC"/>
    <w:rsid w:val="00FC4631"/>
    <w:rsid w:val="00FC5580"/>
    <w:rsid w:val="00FC57F6"/>
    <w:rsid w:val="00FC582C"/>
    <w:rsid w:val="00FC589A"/>
    <w:rsid w:val="00FC5E29"/>
    <w:rsid w:val="00FC6B87"/>
    <w:rsid w:val="00FD05FB"/>
    <w:rsid w:val="00FD0616"/>
    <w:rsid w:val="00FD09BA"/>
    <w:rsid w:val="00FD0C4E"/>
    <w:rsid w:val="00FD1330"/>
    <w:rsid w:val="00FD22A5"/>
    <w:rsid w:val="00FD267D"/>
    <w:rsid w:val="00FD29D7"/>
    <w:rsid w:val="00FD29F3"/>
    <w:rsid w:val="00FD2DF1"/>
    <w:rsid w:val="00FD2F0D"/>
    <w:rsid w:val="00FD3140"/>
    <w:rsid w:val="00FD32B9"/>
    <w:rsid w:val="00FD32D0"/>
    <w:rsid w:val="00FD3481"/>
    <w:rsid w:val="00FD3490"/>
    <w:rsid w:val="00FD3910"/>
    <w:rsid w:val="00FD3938"/>
    <w:rsid w:val="00FD3992"/>
    <w:rsid w:val="00FD3E9F"/>
    <w:rsid w:val="00FD40CC"/>
    <w:rsid w:val="00FD4625"/>
    <w:rsid w:val="00FD4A6C"/>
    <w:rsid w:val="00FD4C48"/>
    <w:rsid w:val="00FD4CE2"/>
    <w:rsid w:val="00FD4E37"/>
    <w:rsid w:val="00FD50BB"/>
    <w:rsid w:val="00FD50E2"/>
    <w:rsid w:val="00FD5448"/>
    <w:rsid w:val="00FD5704"/>
    <w:rsid w:val="00FD5B6A"/>
    <w:rsid w:val="00FD60A2"/>
    <w:rsid w:val="00FD6504"/>
    <w:rsid w:val="00FD6BF7"/>
    <w:rsid w:val="00FD6F0C"/>
    <w:rsid w:val="00FD6FF6"/>
    <w:rsid w:val="00FD73F8"/>
    <w:rsid w:val="00FD7A79"/>
    <w:rsid w:val="00FD7CFD"/>
    <w:rsid w:val="00FD7ED7"/>
    <w:rsid w:val="00FD7F29"/>
    <w:rsid w:val="00FE01B6"/>
    <w:rsid w:val="00FE035A"/>
    <w:rsid w:val="00FE03E6"/>
    <w:rsid w:val="00FE0463"/>
    <w:rsid w:val="00FE072F"/>
    <w:rsid w:val="00FE0770"/>
    <w:rsid w:val="00FE09A5"/>
    <w:rsid w:val="00FE0AB0"/>
    <w:rsid w:val="00FE0B65"/>
    <w:rsid w:val="00FE0B9C"/>
    <w:rsid w:val="00FE0F4F"/>
    <w:rsid w:val="00FE117D"/>
    <w:rsid w:val="00FE148C"/>
    <w:rsid w:val="00FE1C8F"/>
    <w:rsid w:val="00FE1FD1"/>
    <w:rsid w:val="00FE269F"/>
    <w:rsid w:val="00FE26A9"/>
    <w:rsid w:val="00FE27B5"/>
    <w:rsid w:val="00FE2A56"/>
    <w:rsid w:val="00FE3105"/>
    <w:rsid w:val="00FE3289"/>
    <w:rsid w:val="00FE3879"/>
    <w:rsid w:val="00FE3B29"/>
    <w:rsid w:val="00FE3D96"/>
    <w:rsid w:val="00FE3F75"/>
    <w:rsid w:val="00FE3FAB"/>
    <w:rsid w:val="00FE428B"/>
    <w:rsid w:val="00FE50F5"/>
    <w:rsid w:val="00FE5801"/>
    <w:rsid w:val="00FE5A0E"/>
    <w:rsid w:val="00FE5E21"/>
    <w:rsid w:val="00FE61D9"/>
    <w:rsid w:val="00FE6571"/>
    <w:rsid w:val="00FE6789"/>
    <w:rsid w:val="00FE690D"/>
    <w:rsid w:val="00FE6A31"/>
    <w:rsid w:val="00FE6A98"/>
    <w:rsid w:val="00FE6B68"/>
    <w:rsid w:val="00FE6D24"/>
    <w:rsid w:val="00FE6E45"/>
    <w:rsid w:val="00FE722D"/>
    <w:rsid w:val="00FE7B6C"/>
    <w:rsid w:val="00FF01EB"/>
    <w:rsid w:val="00FF0329"/>
    <w:rsid w:val="00FF0A46"/>
    <w:rsid w:val="00FF0B11"/>
    <w:rsid w:val="00FF0B33"/>
    <w:rsid w:val="00FF0EB3"/>
    <w:rsid w:val="00FF111F"/>
    <w:rsid w:val="00FF140E"/>
    <w:rsid w:val="00FF146A"/>
    <w:rsid w:val="00FF14DD"/>
    <w:rsid w:val="00FF16B6"/>
    <w:rsid w:val="00FF189E"/>
    <w:rsid w:val="00FF207A"/>
    <w:rsid w:val="00FF226B"/>
    <w:rsid w:val="00FF25B6"/>
    <w:rsid w:val="00FF278A"/>
    <w:rsid w:val="00FF2AF5"/>
    <w:rsid w:val="00FF2B02"/>
    <w:rsid w:val="00FF2DBC"/>
    <w:rsid w:val="00FF2F1A"/>
    <w:rsid w:val="00FF32D0"/>
    <w:rsid w:val="00FF3A5D"/>
    <w:rsid w:val="00FF3CB5"/>
    <w:rsid w:val="00FF47B2"/>
    <w:rsid w:val="00FF489A"/>
    <w:rsid w:val="00FF48BD"/>
    <w:rsid w:val="00FF4C20"/>
    <w:rsid w:val="00FF5018"/>
    <w:rsid w:val="00FF506C"/>
    <w:rsid w:val="00FF51BD"/>
    <w:rsid w:val="00FF5299"/>
    <w:rsid w:val="00FF52F6"/>
    <w:rsid w:val="00FF5401"/>
    <w:rsid w:val="00FF5B12"/>
    <w:rsid w:val="00FF61F7"/>
    <w:rsid w:val="00FF6B3F"/>
    <w:rsid w:val="00FF6D96"/>
    <w:rsid w:val="00FF6FD9"/>
    <w:rsid w:val="00FF7DBA"/>
    <w:rsid w:val="0514D236"/>
    <w:rsid w:val="055F1501"/>
    <w:rsid w:val="07CFFEAA"/>
    <w:rsid w:val="09BAC9C8"/>
    <w:rsid w:val="09E95A80"/>
    <w:rsid w:val="0A638BDF"/>
    <w:rsid w:val="0A71B451"/>
    <w:rsid w:val="0D20C71A"/>
    <w:rsid w:val="0DFF2137"/>
    <w:rsid w:val="0E3E83C3"/>
    <w:rsid w:val="0FBFDB51"/>
    <w:rsid w:val="11762E88"/>
    <w:rsid w:val="11D60828"/>
    <w:rsid w:val="13A01113"/>
    <w:rsid w:val="1651F72A"/>
    <w:rsid w:val="17050DAF"/>
    <w:rsid w:val="18003152"/>
    <w:rsid w:val="197ECFD1"/>
    <w:rsid w:val="1B59D946"/>
    <w:rsid w:val="1E321025"/>
    <w:rsid w:val="1E890439"/>
    <w:rsid w:val="21A48B5C"/>
    <w:rsid w:val="21DE0BC5"/>
    <w:rsid w:val="231B02C2"/>
    <w:rsid w:val="2495D490"/>
    <w:rsid w:val="24BBA734"/>
    <w:rsid w:val="24DF52B3"/>
    <w:rsid w:val="29227F6A"/>
    <w:rsid w:val="29E18B77"/>
    <w:rsid w:val="33387152"/>
    <w:rsid w:val="34E1E41E"/>
    <w:rsid w:val="367F6DAE"/>
    <w:rsid w:val="3C23D68D"/>
    <w:rsid w:val="3CDCAA12"/>
    <w:rsid w:val="3ED6751C"/>
    <w:rsid w:val="408E5EA1"/>
    <w:rsid w:val="41713554"/>
    <w:rsid w:val="437DB2D3"/>
    <w:rsid w:val="4475E13F"/>
    <w:rsid w:val="456AC418"/>
    <w:rsid w:val="4634C995"/>
    <w:rsid w:val="46A1DA71"/>
    <w:rsid w:val="48BB8C1F"/>
    <w:rsid w:val="4904A8A5"/>
    <w:rsid w:val="490EF1C7"/>
    <w:rsid w:val="4CA66A4B"/>
    <w:rsid w:val="4D91C0CA"/>
    <w:rsid w:val="4F25C061"/>
    <w:rsid w:val="5091ACF6"/>
    <w:rsid w:val="51C41E2D"/>
    <w:rsid w:val="5784C1DC"/>
    <w:rsid w:val="57FD591F"/>
    <w:rsid w:val="59DDCC73"/>
    <w:rsid w:val="5ACF5548"/>
    <w:rsid w:val="5B66C851"/>
    <w:rsid w:val="5CF37464"/>
    <w:rsid w:val="5D603FFE"/>
    <w:rsid w:val="5FB77A66"/>
    <w:rsid w:val="6036B837"/>
    <w:rsid w:val="629FE571"/>
    <w:rsid w:val="62F6D573"/>
    <w:rsid w:val="63180870"/>
    <w:rsid w:val="64E57272"/>
    <w:rsid w:val="65D974FF"/>
    <w:rsid w:val="6613AF18"/>
    <w:rsid w:val="6B51CF76"/>
    <w:rsid w:val="6DA8C645"/>
    <w:rsid w:val="70D6F761"/>
    <w:rsid w:val="725D7FF7"/>
    <w:rsid w:val="7637AD47"/>
    <w:rsid w:val="79ED27EA"/>
    <w:rsid w:val="7BB29AFD"/>
    <w:rsid w:val="7CB1727A"/>
    <w:rsid w:val="7F8B8C63"/>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FF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FDE"/>
    <w:rPr>
      <w:rFonts w:ascii="Times New Roman" w:eastAsia="Times New Roman" w:hAnsi="Times New Roman"/>
      <w:sz w:val="24"/>
      <w:szCs w:val="24"/>
    </w:rPr>
  </w:style>
  <w:style w:type="paragraph" w:styleId="Titre1">
    <w:name w:val="heading 1"/>
    <w:aliases w:val="Titre 1 Car Car Car Car Car Car Car Car Car Car Car Car Car Car Car Car Car Car,Main Heading,TCI 1.  Heading,Main Heading 1,Document Header1, 1,Heading 11,head,Heading 1_MNV,Chapitre,page top,Titre1,TITRE 1, Main Heading,titre n1,1,Title 1, 2"/>
    <w:basedOn w:val="Normal"/>
    <w:next w:val="Normal"/>
    <w:link w:val="Titre1Car"/>
    <w:uiPriority w:val="9"/>
    <w:qFormat/>
    <w:rsid w:val="00D80D45"/>
    <w:pPr>
      <w:keepNext/>
      <w:keepLines/>
      <w:spacing w:before="480"/>
      <w:outlineLvl w:val="0"/>
    </w:pPr>
    <w:rPr>
      <w:rFonts w:ascii="Cambria" w:hAnsi="Cambria"/>
      <w:b/>
      <w:bCs/>
      <w:color w:val="365F91"/>
      <w:sz w:val="28"/>
      <w:szCs w:val="28"/>
    </w:rPr>
  </w:style>
  <w:style w:type="paragraph" w:styleId="Titre2">
    <w:name w:val="heading 2"/>
    <w:aliases w:val="Paranum,alec2,Title Header2,sous-chapitre,Titre 2 * 0.0.,Titre 2*,Titre 2 / 1.,Titre 2 Annexe,retrait normal,Titre5,Titre1.1,Sous-Titre,CHAP2,2,(cntl 2),T2,Titre 22,Titre 221,Titre 222,Titre 223,Titre 224,Titre 2211,Titre 2221,Titre 225"/>
    <w:basedOn w:val="Normal"/>
    <w:next w:val="Normal"/>
    <w:link w:val="Titre2Car"/>
    <w:unhideWhenUsed/>
    <w:qFormat/>
    <w:rsid w:val="00DC7127"/>
    <w:pPr>
      <w:keepNext/>
      <w:numPr>
        <w:ilvl w:val="1"/>
        <w:numId w:val="1"/>
      </w:numPr>
      <w:tabs>
        <w:tab w:val="left" w:pos="-720"/>
      </w:tabs>
      <w:suppressAutoHyphens/>
      <w:jc w:val="both"/>
      <w:outlineLvl w:val="1"/>
    </w:pPr>
    <w:rPr>
      <w:rFonts w:ascii="Tahoma" w:hAnsi="Tahoma" w:cs="Tahoma"/>
      <w:b/>
      <w:iCs/>
      <w:color w:val="5B9BD5"/>
      <w:kern w:val="32"/>
      <w:sz w:val="22"/>
      <w:szCs w:val="22"/>
    </w:rPr>
  </w:style>
  <w:style w:type="paragraph" w:styleId="Titre3">
    <w:name w:val="heading 3"/>
    <w:aliases w:val="retrait2,Section,Ss titre 1,Ss titre 2,Titre 3 / 1.1.,Titre 3 (1.1.1.),TITRE 3 (1.1.1.),Titre 3 Annexes,retrait21,§1.1.1,§1.1.1.,InterTitre,CHAP3,T3,Section1,Section2,Section11,titre3,H3,TITRE 3,titre n3,Titre pad 3,Titre 3 Car3,Centered"/>
    <w:basedOn w:val="Paragraphedeliste"/>
    <w:next w:val="Normal"/>
    <w:link w:val="Titre3Car"/>
    <w:uiPriority w:val="9"/>
    <w:unhideWhenUsed/>
    <w:qFormat/>
    <w:rsid w:val="004F5604"/>
    <w:pPr>
      <w:numPr>
        <w:ilvl w:val="2"/>
        <w:numId w:val="1"/>
      </w:numPr>
      <w:outlineLvl w:val="2"/>
    </w:pPr>
    <w:rPr>
      <w:rFonts w:ascii="Arial" w:hAnsi="Arial" w:cs="Arial"/>
      <w:b/>
      <w:bCs/>
      <w:sz w:val="22"/>
      <w:szCs w:val="22"/>
    </w:rPr>
  </w:style>
  <w:style w:type="paragraph" w:styleId="Titre4">
    <w:name w:val="heading 4"/>
    <w:aliases w:val="Sous-Section,Titre 4 Annexes,§1.1.1.1,§1.1.1.1.,Sous-InterTitre,CHAP4,Sous-Section1,Sous-Section2,Sous-Section11,4,Titre okla4,Titre pad 4,Titre 4 re,T4,Sous-Sec,H4,Titre Présentation BIPE,MainPara,Centred,Cen.,Sous-Section3,CHAP41,H,Premiè..."/>
    <w:basedOn w:val="Paragraphedeliste"/>
    <w:next w:val="Titre5"/>
    <w:link w:val="Titre4Car"/>
    <w:uiPriority w:val="9"/>
    <w:qFormat/>
    <w:rsid w:val="005C61F5"/>
    <w:pPr>
      <w:numPr>
        <w:ilvl w:val="3"/>
        <w:numId w:val="1"/>
      </w:numPr>
      <w:outlineLvl w:val="3"/>
    </w:pPr>
    <w:rPr>
      <w:rFonts w:ascii="Tahoma" w:hAnsi="Tahoma" w:cs="Tahoma"/>
      <w:b/>
      <w:sz w:val="22"/>
      <w:szCs w:val="22"/>
    </w:rPr>
  </w:style>
  <w:style w:type="paragraph" w:styleId="Titre5">
    <w:name w:val="heading 5"/>
    <w:aliases w:val="Titre 1b,Titre figure,Titre 1b1,intercalaire,Titre 5 A.B.C,Titre pad 5,T5,police procédure,H5,Heading 5.§1.1.1.1.1.,Titre 1b2,Titre figure1,Titre 1b11,intercalaire1,Titre pad 51,T51,police procédure1,Titre 5 Car1,Titre 5 A.B.C1,T52, Side,Side"/>
    <w:basedOn w:val="Normal"/>
    <w:next w:val="Corpsdetexte"/>
    <w:link w:val="Titre5Car"/>
    <w:qFormat/>
    <w:rsid w:val="00D80D45"/>
    <w:pPr>
      <w:numPr>
        <w:ilvl w:val="4"/>
        <w:numId w:val="17"/>
      </w:numPr>
      <w:tabs>
        <w:tab w:val="left" w:pos="720"/>
      </w:tabs>
      <w:spacing w:after="240"/>
      <w:jc w:val="both"/>
      <w:outlineLvl w:val="4"/>
    </w:pPr>
    <w:rPr>
      <w:i/>
      <w:sz w:val="20"/>
      <w:szCs w:val="20"/>
    </w:rPr>
  </w:style>
  <w:style w:type="paragraph" w:styleId="Titre6">
    <w:name w:val="heading 6"/>
    <w:aliases w:val="T6,Titre 6 Car Car Car,T61,T62,H6,_Tableau titre,E6,Style Sommaire,ann,(a,b,..),Gras,Do Not Use 6,BCAL t6"/>
    <w:basedOn w:val="Normal"/>
    <w:next w:val="Normal"/>
    <w:link w:val="Titre6Car"/>
    <w:qFormat/>
    <w:rsid w:val="00D80D45"/>
    <w:pPr>
      <w:keepNext/>
      <w:numPr>
        <w:ilvl w:val="5"/>
        <w:numId w:val="17"/>
      </w:numPr>
      <w:autoSpaceDE w:val="0"/>
      <w:autoSpaceDN w:val="0"/>
      <w:adjustRightInd w:val="0"/>
      <w:spacing w:line="240" w:lineRule="atLeast"/>
      <w:outlineLvl w:val="5"/>
    </w:pPr>
    <w:rPr>
      <w:b/>
      <w:bCs/>
    </w:rPr>
  </w:style>
  <w:style w:type="paragraph" w:styleId="Titre7">
    <w:name w:val="heading 7"/>
    <w:aliases w:val="Annexes,Do Not Use 7,BCAL t7,DO NOT USE 7,Legal Level 1.1."/>
    <w:basedOn w:val="Normal"/>
    <w:next w:val="Normal"/>
    <w:link w:val="Titre7Car"/>
    <w:qFormat/>
    <w:rsid w:val="00D80D45"/>
    <w:pPr>
      <w:keepNext/>
      <w:numPr>
        <w:ilvl w:val="6"/>
        <w:numId w:val="17"/>
      </w:numPr>
      <w:autoSpaceDE w:val="0"/>
      <w:autoSpaceDN w:val="0"/>
      <w:adjustRightInd w:val="0"/>
      <w:spacing w:line="240" w:lineRule="atLeast"/>
      <w:jc w:val="both"/>
      <w:outlineLvl w:val="6"/>
    </w:pPr>
    <w:rPr>
      <w:b/>
      <w:bCs/>
      <w:iCs/>
      <w:color w:val="000000"/>
    </w:rPr>
  </w:style>
  <w:style w:type="paragraph" w:styleId="Titre8">
    <w:name w:val="heading 8"/>
    <w:aliases w:val="Do Not Use 8,table caption,Appendix Level 2,not In use,DO NOT USE 8,Legal Level 1.1.1."/>
    <w:basedOn w:val="Normal"/>
    <w:next w:val="Normal"/>
    <w:link w:val="Titre8Car"/>
    <w:qFormat/>
    <w:rsid w:val="00D80D45"/>
    <w:pPr>
      <w:keepNext/>
      <w:numPr>
        <w:ilvl w:val="7"/>
        <w:numId w:val="17"/>
      </w:numPr>
      <w:jc w:val="both"/>
      <w:outlineLvl w:val="7"/>
    </w:pPr>
    <w:rPr>
      <w:b/>
      <w:bCs/>
    </w:rPr>
  </w:style>
  <w:style w:type="paragraph" w:styleId="Titre9">
    <w:name w:val="heading 9"/>
    <w:aliases w:val="Do Not Use 9,annexe,Titre 9 annexe,Appendix Level 3,Not in use,After Section,DO NOT USE 9,Legal Level 1.1.1.1.,DNV-H9"/>
    <w:basedOn w:val="Normal"/>
    <w:next w:val="Normal"/>
    <w:link w:val="Titre9Car"/>
    <w:qFormat/>
    <w:rsid w:val="00D80D45"/>
    <w:pPr>
      <w:keepNext/>
      <w:numPr>
        <w:ilvl w:val="8"/>
        <w:numId w:val="17"/>
      </w:numPr>
      <w:overflowPunct w:val="0"/>
      <w:autoSpaceDE w:val="0"/>
      <w:autoSpaceDN w:val="0"/>
      <w:adjustRightInd w:val="0"/>
      <w:jc w:val="center"/>
      <w:textAlignment w:val="baseline"/>
      <w:outlineLvl w:val="8"/>
    </w:pPr>
    <w:rPr>
      <w:b/>
      <w:sz w:val="5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 Car Car Car Car Car Car Car Car Car Car Car Car Car1,Main Heading Car,TCI 1.  Heading Car,Main Heading 1 Car,Document Header1 Car, 1 Car,Heading 11 Car,head Car,Heading 1_MNV Car,Chapitre Car,page top Car"/>
    <w:link w:val="Titre1"/>
    <w:uiPriority w:val="9"/>
    <w:rsid w:val="00D80D45"/>
    <w:rPr>
      <w:rFonts w:ascii="Cambria" w:eastAsia="Times New Roman" w:hAnsi="Cambria"/>
      <w:b/>
      <w:bCs/>
      <w:color w:val="365F91"/>
      <w:sz w:val="28"/>
      <w:szCs w:val="28"/>
      <w:lang w:val="en-US" w:eastAsia="en-US"/>
    </w:rPr>
  </w:style>
  <w:style w:type="character" w:customStyle="1" w:styleId="Titre2Car">
    <w:name w:val="Titre 2 Car"/>
    <w:aliases w:val="Paranum Car,alec2 Car,Title Header2 Car,sous-chapitre Car,Titre 2 * 0.0. Car,Titre 2* Car,Titre 2 / 1. Car,Titre 2 Annexe Car,retrait normal Car,Titre5 Car,Titre1.1 Car,Sous-Titre Car,CHAP2 Car,2 Car,(cntl 2) Car,T2 Car,Titre 22 Car"/>
    <w:link w:val="Titre2"/>
    <w:rsid w:val="00DC7127"/>
    <w:rPr>
      <w:rFonts w:ascii="Tahoma" w:eastAsia="Times New Roman" w:hAnsi="Tahoma" w:cs="Tahoma"/>
      <w:b/>
      <w:iCs/>
      <w:color w:val="5B9BD5"/>
      <w:kern w:val="32"/>
      <w:sz w:val="22"/>
      <w:szCs w:val="22"/>
    </w:rPr>
  </w:style>
  <w:style w:type="paragraph" w:styleId="Paragraphedeliste">
    <w:name w:val="List Paragraph"/>
    <w:aliases w:val="Titre 10,Yalgo corps,Paragraphe de liste11,Bullets,Medium Grid 1 - Accent 21,References,List Paragraph (numbered (a)),Numbered List Paragraph,Liste 1,List Paragraph1,List Bullet Mary,ReferencesCxSpLast,Colorful List - Accent 11,lp1,L"/>
    <w:basedOn w:val="Normal"/>
    <w:link w:val="ParagraphedelisteCar"/>
    <w:uiPriority w:val="34"/>
    <w:qFormat/>
    <w:rsid w:val="00D80D45"/>
    <w:pPr>
      <w:ind w:left="720"/>
      <w:contextualSpacing/>
    </w:pPr>
  </w:style>
  <w:style w:type="character" w:customStyle="1" w:styleId="ParagraphedelisteCar">
    <w:name w:val="Paragraphe de liste Car"/>
    <w:aliases w:val="Titre 10 Car,Yalgo corps Car,Paragraphe de liste11 Car,Bullets Car,Medium Grid 1 - Accent 21 Car,References Car,List Paragraph (numbered (a)) Car,Numbered List Paragraph Car,Liste 1 Car,List Paragraph1 Car,List Bullet Mary Car"/>
    <w:link w:val="Paragraphedeliste"/>
    <w:uiPriority w:val="34"/>
    <w:qFormat/>
    <w:locked/>
    <w:rsid w:val="00D80D45"/>
    <w:rPr>
      <w:rFonts w:ascii="Times New Roman" w:eastAsia="Times New Roman" w:hAnsi="Times New Roman" w:cs="Times New Roman"/>
      <w:sz w:val="24"/>
      <w:szCs w:val="24"/>
      <w:lang w:val="en-US"/>
    </w:rPr>
  </w:style>
  <w:style w:type="character" w:customStyle="1" w:styleId="Titre3Car">
    <w:name w:val="Titre 3 Car"/>
    <w:aliases w:val="retrait2 Car,Section Car,Ss titre 1 Car,Ss titre 2 Car,Titre 3 / 1.1. Car,Titre 3 (1.1.1.) Car,TITRE 3 (1.1.1.) Car,Titre 3 Annexes Car,retrait21 Car,§1.1.1 Car,§1.1.1. Car,InterTitre Car,CHAP3 Car,T3 Car,Section1 Car,Section2 Car,titre3 Car"/>
    <w:link w:val="Titre3"/>
    <w:uiPriority w:val="9"/>
    <w:rsid w:val="004F5604"/>
    <w:rPr>
      <w:rFonts w:ascii="Arial" w:eastAsia="Times New Roman" w:hAnsi="Arial" w:cs="Arial"/>
      <w:b/>
      <w:bCs/>
      <w:sz w:val="22"/>
      <w:szCs w:val="22"/>
    </w:rPr>
  </w:style>
  <w:style w:type="paragraph" w:styleId="Corpsdetexte">
    <w:name w:val="Body Text"/>
    <w:aliases w:val="tx"/>
    <w:basedOn w:val="Normal"/>
    <w:link w:val="CorpsdetexteCar"/>
    <w:uiPriority w:val="99"/>
    <w:rsid w:val="00D80D45"/>
    <w:pPr>
      <w:tabs>
        <w:tab w:val="left" w:pos="720"/>
      </w:tabs>
      <w:spacing w:after="240"/>
      <w:jc w:val="both"/>
    </w:pPr>
    <w:rPr>
      <w:sz w:val="20"/>
      <w:szCs w:val="20"/>
    </w:rPr>
  </w:style>
  <w:style w:type="character" w:customStyle="1" w:styleId="CorpsdetexteCar">
    <w:name w:val="Corps de texte Car"/>
    <w:aliases w:val="tx Car"/>
    <w:link w:val="Corpsdetexte"/>
    <w:uiPriority w:val="99"/>
    <w:rsid w:val="00D80D45"/>
    <w:rPr>
      <w:rFonts w:ascii="Times New Roman" w:eastAsia="Times New Roman" w:hAnsi="Times New Roman" w:cs="Times New Roman"/>
      <w:szCs w:val="20"/>
      <w:lang w:eastAsia="fr-FR"/>
    </w:rPr>
  </w:style>
  <w:style w:type="character" w:customStyle="1" w:styleId="Titre5Car">
    <w:name w:val="Titre 5 Car"/>
    <w:aliases w:val="Titre 1b Car,Titre figure Car,Titre 1b1 Car,intercalaire Car,Titre 5 A.B.C Car,Titre pad 5 Car,T5 Car,police procédure Car,H5 Car,Heading 5.§1.1.1.1.1. Car,Titre 1b2 Car,Titre figure1 Car,Titre 1b11 Car,intercalaire1 Car,Titre pad 51 Car"/>
    <w:link w:val="Titre5"/>
    <w:rsid w:val="00D80D45"/>
    <w:rPr>
      <w:rFonts w:ascii="Times New Roman" w:eastAsia="Times New Roman" w:hAnsi="Times New Roman"/>
      <w:i/>
    </w:rPr>
  </w:style>
  <w:style w:type="character" w:customStyle="1" w:styleId="Titre4Car">
    <w:name w:val="Titre 4 Car"/>
    <w:aliases w:val="Sous-Section Car,Titre 4 Annexes Car,§1.1.1.1 Car,§1.1.1.1. Car,Sous-InterTitre Car,CHAP4 Car,Sous-Section1 Car,Sous-Section2 Car,Sous-Section11 Car,4 Car,Titre okla4 Car,Titre pad 4 Car,Titre 4 re Car,T4 Car,Sous-Sec Car,H4 Car,MainPara Car"/>
    <w:link w:val="Titre4"/>
    <w:uiPriority w:val="9"/>
    <w:rsid w:val="005C61F5"/>
    <w:rPr>
      <w:rFonts w:ascii="Tahoma" w:eastAsia="Times New Roman" w:hAnsi="Tahoma" w:cs="Tahoma"/>
      <w:b/>
      <w:sz w:val="22"/>
      <w:szCs w:val="22"/>
    </w:rPr>
  </w:style>
  <w:style w:type="character" w:customStyle="1" w:styleId="Titre6Car">
    <w:name w:val="Titre 6 Car"/>
    <w:aliases w:val="T6 Car,Titre 6 Car Car Car Car,T61 Car,T62 Car,H6 Car,_Tableau titre Car,E6 Car,Style Sommaire Car,ann Car,(a Car,b Car,..) Car,Gras Car,Do Not Use 6 Car,BCAL t6 Car"/>
    <w:link w:val="Titre6"/>
    <w:rsid w:val="00D80D45"/>
    <w:rPr>
      <w:rFonts w:ascii="Times New Roman" w:eastAsia="Times New Roman" w:hAnsi="Times New Roman"/>
      <w:b/>
      <w:bCs/>
      <w:sz w:val="24"/>
      <w:szCs w:val="24"/>
    </w:rPr>
  </w:style>
  <w:style w:type="character" w:customStyle="1" w:styleId="Titre7Car">
    <w:name w:val="Titre 7 Car"/>
    <w:aliases w:val="Annexes Car,Do Not Use 7 Car,BCAL t7 Car,DO NOT USE 7 Car,Legal Level 1.1. Car"/>
    <w:link w:val="Titre7"/>
    <w:rsid w:val="00D80D45"/>
    <w:rPr>
      <w:rFonts w:ascii="Times New Roman" w:eastAsia="Times New Roman" w:hAnsi="Times New Roman"/>
      <w:b/>
      <w:bCs/>
      <w:iCs/>
      <w:color w:val="000000"/>
      <w:sz w:val="24"/>
      <w:szCs w:val="24"/>
    </w:rPr>
  </w:style>
  <w:style w:type="character" w:customStyle="1" w:styleId="Titre8Car">
    <w:name w:val="Titre 8 Car"/>
    <w:aliases w:val="Do Not Use 8 Car,table caption Car,Appendix Level 2 Car,not In use Car,DO NOT USE 8 Car,Legal Level 1.1.1. Car"/>
    <w:link w:val="Titre8"/>
    <w:rsid w:val="00D80D45"/>
    <w:rPr>
      <w:rFonts w:ascii="Times New Roman" w:eastAsia="Times New Roman" w:hAnsi="Times New Roman"/>
      <w:b/>
      <w:bCs/>
      <w:sz w:val="24"/>
      <w:szCs w:val="24"/>
    </w:rPr>
  </w:style>
  <w:style w:type="character" w:customStyle="1" w:styleId="Titre9Car">
    <w:name w:val="Titre 9 Car"/>
    <w:aliases w:val="Do Not Use 9 Car,annexe Car,Titre 9 annexe Car,Appendix Level 3 Car,Not in use Car,After Section Car,DO NOT USE 9 Car,Legal Level 1.1.1.1. Car,DNV-H9 Car"/>
    <w:link w:val="Titre9"/>
    <w:rsid w:val="00D80D45"/>
    <w:rPr>
      <w:rFonts w:ascii="Times New Roman" w:eastAsia="Times New Roman" w:hAnsi="Times New Roman"/>
      <w:b/>
      <w:sz w:val="52"/>
    </w:rPr>
  </w:style>
  <w:style w:type="character" w:styleId="Lienhypertexte">
    <w:name w:val="Hyperlink"/>
    <w:uiPriority w:val="99"/>
    <w:rsid w:val="00D80D45"/>
    <w:rPr>
      <w:rFonts w:cs="Times New Roman"/>
      <w:color w:val="0000FF"/>
      <w:u w:val="single"/>
    </w:rPr>
  </w:style>
  <w:style w:type="table" w:styleId="Grilledutableau">
    <w:name w:val="Table Grid"/>
    <w:aliases w:val="GT0,Vale 4,Table long document,mtbs,SGS Table Basic 1,BPUA Table,CV table,CV1,EY Table,TNS table,TabelEcorys,Table Grid (Appendix list),Table Grid CEPA,Table Grid CFAA,Table Grid_mod,Table style,none,notes,表格样式,网格型!,（网格型）"/>
    <w:basedOn w:val="TableauNormal"/>
    <w:uiPriority w:val="39"/>
    <w:qFormat/>
    <w:rsid w:val="00D80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unhideWhenUsed/>
    <w:rsid w:val="00D80D45"/>
    <w:rPr>
      <w:rFonts w:ascii="Tahoma" w:hAnsi="Tahoma"/>
      <w:sz w:val="16"/>
      <w:szCs w:val="16"/>
    </w:rPr>
  </w:style>
  <w:style w:type="character" w:customStyle="1" w:styleId="TextedebullesCar">
    <w:name w:val="Texte de bulles Car"/>
    <w:link w:val="Textedebulles"/>
    <w:uiPriority w:val="99"/>
    <w:rsid w:val="00D80D45"/>
    <w:rPr>
      <w:rFonts w:ascii="Tahoma" w:eastAsia="Times New Roman" w:hAnsi="Tahoma" w:cs="Tahoma"/>
      <w:sz w:val="16"/>
      <w:szCs w:val="16"/>
      <w:lang w:val="en-US"/>
    </w:rPr>
  </w:style>
  <w:style w:type="paragraph" w:styleId="Pieddepage">
    <w:name w:val="footer"/>
    <w:aliases w:val="puces points"/>
    <w:basedOn w:val="Normal"/>
    <w:link w:val="PieddepageCar"/>
    <w:uiPriority w:val="99"/>
    <w:qFormat/>
    <w:rsid w:val="00D80D45"/>
    <w:pPr>
      <w:tabs>
        <w:tab w:val="center" w:pos="4320"/>
        <w:tab w:val="right" w:pos="8640"/>
      </w:tabs>
    </w:pPr>
  </w:style>
  <w:style w:type="character" w:customStyle="1" w:styleId="PieddepageCar">
    <w:name w:val="Pied de page Car"/>
    <w:aliases w:val="puces points Car"/>
    <w:link w:val="Pieddepage"/>
    <w:uiPriority w:val="99"/>
    <w:rsid w:val="00D80D45"/>
    <w:rPr>
      <w:rFonts w:ascii="Times New Roman" w:eastAsia="Times New Roman" w:hAnsi="Times New Roman" w:cs="Times New Roman"/>
      <w:sz w:val="24"/>
      <w:szCs w:val="24"/>
      <w:lang w:eastAsia="fr-FR"/>
    </w:rPr>
  </w:style>
  <w:style w:type="paragraph" w:customStyle="1" w:styleId="Outline">
    <w:name w:val="Outline"/>
    <w:basedOn w:val="Normal"/>
    <w:rsid w:val="00D80D45"/>
    <w:pPr>
      <w:spacing w:before="240"/>
    </w:pPr>
    <w:rPr>
      <w:kern w:val="28"/>
      <w:sz w:val="22"/>
      <w:szCs w:val="20"/>
    </w:rPr>
  </w:style>
  <w:style w:type="paragraph" w:styleId="PrformatHTML">
    <w:name w:val="HTML Preformatted"/>
    <w:basedOn w:val="Normal"/>
    <w:link w:val="PrformatHTMLCar"/>
    <w:uiPriority w:val="99"/>
    <w:rsid w:val="00D80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link w:val="PrformatHTML"/>
    <w:uiPriority w:val="99"/>
    <w:rsid w:val="00D80D45"/>
    <w:rPr>
      <w:rFonts w:ascii="Courier New" w:eastAsia="Times New Roman" w:hAnsi="Courier New" w:cs="Courier New"/>
      <w:sz w:val="20"/>
      <w:szCs w:val="20"/>
      <w:lang w:eastAsia="fr-FR"/>
    </w:rPr>
  </w:style>
  <w:style w:type="character" w:customStyle="1" w:styleId="Titre1CarCarCarCarCarCarCarCarCarCarCarCarCarCarCarCarCarCarCar">
    <w:name w:val="Titre 1 Car Car Car Car Car Car Car Car Car Car Car Car Car Car Car Car Car Car Car"/>
    <w:rsid w:val="00D80D45"/>
    <w:rPr>
      <w:b/>
      <w:bCs/>
      <w:color w:val="000000"/>
      <w:sz w:val="24"/>
      <w:lang w:val="fr-FR" w:eastAsia="fr-FR" w:bidi="ar-SA"/>
    </w:rPr>
  </w:style>
  <w:style w:type="paragraph" w:styleId="Lgende">
    <w:name w:val="caption"/>
    <w:aliases w:val="Car Car Car, Car,Car,Légende21,Légende111,Car111,Car Car Car Car Car Car Car Car Car111,Car Car Car Car Car111,Car Car Car Car111,Car Car Car Car Car Car Car Car211,Car Car Car Car Car Car Car Car Car Car Car Car Car Car Car11,Légende1 Car,Fig,M"/>
    <w:basedOn w:val="Normal"/>
    <w:next w:val="Normal"/>
    <w:link w:val="LgendeCar"/>
    <w:uiPriority w:val="35"/>
    <w:qFormat/>
    <w:rsid w:val="00D80D45"/>
    <w:rPr>
      <w:b/>
      <w:bCs/>
      <w:sz w:val="20"/>
      <w:szCs w:val="20"/>
    </w:rPr>
  </w:style>
  <w:style w:type="character" w:customStyle="1" w:styleId="LgendeCar">
    <w:name w:val="Légende Car"/>
    <w:aliases w:val="Car Car Car Car, Car Car,Car Car,Légende21 Car,Légende111 Car,Car111 Car,Car Car Car Car Car Car Car Car Car111 Car,Car Car Car Car Car111 Car,Car Car Car Car111 Car,Car Car Car Car Car Car Car Car211 Car,Légende1 Car Car,Fig Car,M Car"/>
    <w:link w:val="Lgende"/>
    <w:uiPriority w:val="35"/>
    <w:qFormat/>
    <w:locked/>
    <w:rsid w:val="00D80D45"/>
    <w:rPr>
      <w:rFonts w:ascii="Times New Roman" w:eastAsia="Times New Roman" w:hAnsi="Times New Roman" w:cs="Times New Roman"/>
      <w:b/>
      <w:bCs/>
      <w:sz w:val="20"/>
      <w:szCs w:val="20"/>
    </w:rPr>
  </w:style>
  <w:style w:type="paragraph" w:customStyle="1" w:styleId="TableText">
    <w:name w:val="Table_Text"/>
    <w:basedOn w:val="Normal"/>
    <w:rsid w:val="00D80D45"/>
    <w:pPr>
      <w:overflowPunct w:val="0"/>
      <w:autoSpaceDE w:val="0"/>
      <w:autoSpaceDN w:val="0"/>
      <w:adjustRightInd w:val="0"/>
      <w:spacing w:before="80" w:after="40"/>
      <w:textAlignment w:val="baseline"/>
    </w:pPr>
    <w:rPr>
      <w:rFonts w:ascii="Arial" w:hAnsi="Arial"/>
      <w:sz w:val="18"/>
      <w:szCs w:val="20"/>
    </w:rPr>
  </w:style>
  <w:style w:type="paragraph" w:styleId="Notedebasdepage">
    <w:name w:val="footnote text"/>
    <w:aliases w:val="Footnote Text Char Char Char Char Char Char Char Char Char Char Char Char Char Char Char Char Char Char Char Char Char,FOOTNOTES,fn,single space,footnote text,f,Char,Footnote Text Char2 Char,Footnote Text Char1 Char Char,Ch,Geneva 9"/>
    <w:basedOn w:val="Normal"/>
    <w:link w:val="NotedebasdepageCar"/>
    <w:uiPriority w:val="99"/>
    <w:qFormat/>
    <w:rsid w:val="00D80D45"/>
    <w:pPr>
      <w:tabs>
        <w:tab w:val="left" w:pos="720"/>
      </w:tabs>
      <w:ind w:firstLine="720"/>
      <w:jc w:val="both"/>
    </w:pPr>
    <w:rPr>
      <w:sz w:val="20"/>
      <w:szCs w:val="20"/>
    </w:rPr>
  </w:style>
  <w:style w:type="character" w:customStyle="1" w:styleId="NotedebasdepageCar">
    <w:name w:val="Note de bas de page Car"/>
    <w:aliases w:val="Footnote Text Char Char Char Char Char Char Char Char Char Char Char Char Char Char Char Char Char Char Char Char Char Car,FOOTNOTES Car,fn Car,single space Car,footnote text Car,f Car,Char Car,Footnote Text Char2 Char Car,Ch Car"/>
    <w:link w:val="Notedebasdepage"/>
    <w:uiPriority w:val="99"/>
    <w:qFormat/>
    <w:rsid w:val="00D80D45"/>
    <w:rPr>
      <w:rFonts w:ascii="Times New Roman" w:eastAsia="Times New Roman" w:hAnsi="Times New Roman" w:cs="Times New Roman"/>
      <w:sz w:val="20"/>
      <w:szCs w:val="20"/>
      <w:lang w:eastAsia="fr-FR"/>
    </w:rPr>
  </w:style>
  <w:style w:type="paragraph" w:styleId="Titre">
    <w:name w:val="Title"/>
    <w:basedOn w:val="Normal"/>
    <w:link w:val="TitreCar"/>
    <w:uiPriority w:val="10"/>
    <w:qFormat/>
    <w:rsid w:val="00D80D45"/>
    <w:pPr>
      <w:spacing w:after="120"/>
      <w:jc w:val="center"/>
    </w:pPr>
    <w:rPr>
      <w:b/>
      <w:szCs w:val="20"/>
    </w:rPr>
  </w:style>
  <w:style w:type="character" w:customStyle="1" w:styleId="TitreCar">
    <w:name w:val="Titre Car"/>
    <w:link w:val="Titre"/>
    <w:uiPriority w:val="10"/>
    <w:rsid w:val="00D80D45"/>
    <w:rPr>
      <w:rFonts w:ascii="Times New Roman" w:eastAsia="Times New Roman" w:hAnsi="Times New Roman" w:cs="Times New Roman"/>
      <w:b/>
      <w:sz w:val="24"/>
      <w:szCs w:val="20"/>
      <w:lang w:val="en-US" w:eastAsia="fr-FR"/>
    </w:rPr>
  </w:style>
  <w:style w:type="paragraph" w:styleId="Retraitcorpsdetexte">
    <w:name w:val="Body Text Indent"/>
    <w:basedOn w:val="Normal"/>
    <w:link w:val="RetraitcorpsdetexteCar"/>
    <w:uiPriority w:val="99"/>
    <w:rsid w:val="00D80D45"/>
    <w:pPr>
      <w:autoSpaceDE w:val="0"/>
      <w:autoSpaceDN w:val="0"/>
      <w:adjustRightInd w:val="0"/>
      <w:spacing w:line="240" w:lineRule="atLeast"/>
      <w:ind w:left="720" w:hanging="720"/>
    </w:pPr>
    <w:rPr>
      <w:b/>
      <w:bCs/>
      <w:color w:val="000000"/>
      <w:szCs w:val="20"/>
    </w:rPr>
  </w:style>
  <w:style w:type="character" w:customStyle="1" w:styleId="RetraitcorpsdetexteCar">
    <w:name w:val="Retrait corps de texte Car"/>
    <w:link w:val="Retraitcorpsdetexte"/>
    <w:uiPriority w:val="99"/>
    <w:rsid w:val="00D80D45"/>
    <w:rPr>
      <w:rFonts w:ascii="Times New Roman" w:eastAsia="Times New Roman" w:hAnsi="Times New Roman" w:cs="Times New Roman"/>
      <w:b/>
      <w:bCs/>
      <w:color w:val="000000"/>
      <w:sz w:val="24"/>
      <w:szCs w:val="20"/>
      <w:lang w:eastAsia="fr-FR"/>
    </w:rPr>
  </w:style>
  <w:style w:type="paragraph" w:styleId="En-tte">
    <w:name w:val="header"/>
    <w:aliases w:val="En-tête client,En-tête CV,Car2,/ pied de page,Section Header,Header1,STYLE NORMAL,alize,Daily events,h,HeaderPort,header,Header - Double 11pt,Header2,TENDER,subject head new,BRL TeT,Kopfzeile (IL),ContentsHeader,KPMG,Kopfzeile Angebot,Para3,h3+"/>
    <w:basedOn w:val="Normal"/>
    <w:link w:val="En-tteCar"/>
    <w:uiPriority w:val="99"/>
    <w:qFormat/>
    <w:rsid w:val="00D80D45"/>
    <w:pPr>
      <w:tabs>
        <w:tab w:val="center" w:pos="4320"/>
        <w:tab w:val="right" w:pos="8640"/>
      </w:tabs>
    </w:pPr>
  </w:style>
  <w:style w:type="character" w:customStyle="1" w:styleId="En-tteCar">
    <w:name w:val="En-tête Car"/>
    <w:aliases w:val="En-tête client Car,En-tête CV Car,Car2 Car,/ pied de page Car,Section Header Car,Header1 Car,STYLE NORMAL Car,alize Car,Daily events Car,h Car,HeaderPort Car,header Car,Header - Double 11pt Car,Header2 Car,TENDER Car,subject head new Car"/>
    <w:link w:val="En-tte"/>
    <w:uiPriority w:val="99"/>
    <w:rsid w:val="00D80D45"/>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D80D45"/>
    <w:pPr>
      <w:tabs>
        <w:tab w:val="left" w:pos="720"/>
      </w:tabs>
      <w:spacing w:after="240"/>
      <w:jc w:val="both"/>
    </w:pPr>
    <w:rPr>
      <w:sz w:val="20"/>
      <w:szCs w:val="20"/>
    </w:rPr>
  </w:style>
  <w:style w:type="character" w:customStyle="1" w:styleId="Corpsdetexte2Car">
    <w:name w:val="Corps de texte 2 Car"/>
    <w:link w:val="Corpsdetexte2"/>
    <w:rsid w:val="00D80D45"/>
    <w:rPr>
      <w:rFonts w:ascii="Times New Roman" w:eastAsia="Times New Roman" w:hAnsi="Times New Roman" w:cs="Times New Roman"/>
      <w:szCs w:val="20"/>
      <w:lang w:eastAsia="fr-FR"/>
    </w:rPr>
  </w:style>
  <w:style w:type="paragraph" w:styleId="Corpsdetexte3">
    <w:name w:val="Body Text 3"/>
    <w:basedOn w:val="Normal"/>
    <w:link w:val="Corpsdetexte3Car"/>
    <w:rsid w:val="00D80D45"/>
    <w:pPr>
      <w:tabs>
        <w:tab w:val="left" w:pos="720"/>
      </w:tabs>
      <w:spacing w:after="240"/>
      <w:jc w:val="both"/>
    </w:pPr>
    <w:rPr>
      <w:sz w:val="20"/>
      <w:szCs w:val="20"/>
    </w:rPr>
  </w:style>
  <w:style w:type="character" w:customStyle="1" w:styleId="Corpsdetexte3Car">
    <w:name w:val="Corps de texte 3 Car"/>
    <w:link w:val="Corpsdetexte3"/>
    <w:rsid w:val="00D80D45"/>
    <w:rPr>
      <w:rFonts w:ascii="Times New Roman" w:eastAsia="Times New Roman" w:hAnsi="Times New Roman" w:cs="Times New Roman"/>
      <w:szCs w:val="20"/>
      <w:lang w:eastAsia="fr-FR"/>
    </w:rPr>
  </w:style>
  <w:style w:type="character" w:styleId="Appelnotedebasdep">
    <w:name w:val="footnote reference"/>
    <w:aliases w:val="ftref,Footnote Reference Number,Style 6,Char Char Char Char Car Char,16 Point,Superscript 6 Point,Footnote Reference_LVL6,Footnote Reference_LVL61,Footnote Reference_LVL62,Footnote Reference_LVL63,Footnote Reference_LVL64,SUPERS"/>
    <w:link w:val="CarattereCarattereCharCharCharCharCharCharZchn"/>
    <w:uiPriority w:val="99"/>
    <w:qFormat/>
    <w:rsid w:val="00D80D45"/>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Appelnotedebasdep"/>
    <w:uiPriority w:val="99"/>
    <w:rsid w:val="00D80D45"/>
    <w:pPr>
      <w:spacing w:after="160" w:line="240" w:lineRule="exact"/>
      <w:ind w:left="360" w:hanging="360"/>
      <w:jc w:val="both"/>
    </w:pPr>
    <w:rPr>
      <w:rFonts w:ascii="Calibri" w:eastAsia="Calibri" w:hAnsi="Calibri"/>
      <w:sz w:val="20"/>
      <w:szCs w:val="20"/>
      <w:vertAlign w:val="superscript"/>
    </w:rPr>
  </w:style>
  <w:style w:type="paragraph" w:customStyle="1" w:styleId="Corpsdetexte4">
    <w:name w:val="Corps de texte 4"/>
    <w:basedOn w:val="Normal"/>
    <w:rsid w:val="00D80D45"/>
    <w:pPr>
      <w:spacing w:after="240"/>
      <w:jc w:val="both"/>
    </w:pPr>
    <w:rPr>
      <w:sz w:val="22"/>
      <w:szCs w:val="20"/>
    </w:rPr>
  </w:style>
  <w:style w:type="paragraph" w:customStyle="1" w:styleId="BodyTextIndent31">
    <w:name w:val="Body Text Indent 31"/>
    <w:basedOn w:val="Normal"/>
    <w:rsid w:val="00D80D45"/>
    <w:pPr>
      <w:widowControl w:val="0"/>
      <w:tabs>
        <w:tab w:val="num" w:pos="360"/>
      </w:tabs>
      <w:jc w:val="both"/>
    </w:pPr>
    <w:rPr>
      <w:sz w:val="22"/>
      <w:szCs w:val="20"/>
    </w:rPr>
  </w:style>
  <w:style w:type="paragraph" w:styleId="Sous-titre">
    <w:name w:val="Subtitle"/>
    <w:basedOn w:val="Normal"/>
    <w:link w:val="Sous-titreCar"/>
    <w:uiPriority w:val="11"/>
    <w:qFormat/>
    <w:rsid w:val="00D80D45"/>
    <w:pPr>
      <w:ind w:left="720"/>
      <w:jc w:val="center"/>
    </w:pPr>
    <w:rPr>
      <w:b/>
      <w:bCs/>
      <w:lang w:val="fr-CA"/>
    </w:rPr>
  </w:style>
  <w:style w:type="character" w:customStyle="1" w:styleId="Sous-titreCar">
    <w:name w:val="Sous-titre Car"/>
    <w:link w:val="Sous-titre"/>
    <w:uiPriority w:val="11"/>
    <w:rsid w:val="00D80D45"/>
    <w:rPr>
      <w:rFonts w:ascii="Times New Roman" w:eastAsia="Times New Roman" w:hAnsi="Times New Roman" w:cs="Times New Roman"/>
      <w:b/>
      <w:bCs/>
      <w:sz w:val="24"/>
      <w:szCs w:val="24"/>
      <w:lang w:val="fr-CA"/>
    </w:rPr>
  </w:style>
  <w:style w:type="character" w:styleId="Numrodepage">
    <w:name w:val="page number"/>
    <w:basedOn w:val="Policepardfaut"/>
    <w:uiPriority w:val="99"/>
    <w:rsid w:val="00D80D45"/>
  </w:style>
  <w:style w:type="paragraph" w:styleId="NormalWeb">
    <w:name w:val="Normal (Web)"/>
    <w:basedOn w:val="Normal"/>
    <w:link w:val="NormalWebCar"/>
    <w:uiPriority w:val="99"/>
    <w:rsid w:val="00D80D45"/>
    <w:pPr>
      <w:spacing w:before="100" w:beforeAutospacing="1" w:after="100" w:afterAutospacing="1"/>
    </w:pPr>
    <w:rPr>
      <w:rFonts w:ascii="Arial Unicode MS" w:eastAsia="Arial Unicode MS" w:hAnsi="Arial Unicode MS" w:cs="Arial Unicode MS"/>
      <w:lang w:val="fr-CA"/>
    </w:rPr>
  </w:style>
  <w:style w:type="character" w:customStyle="1" w:styleId="NormalWebCar">
    <w:name w:val="Normal (Web) Car"/>
    <w:link w:val="NormalWeb"/>
    <w:uiPriority w:val="99"/>
    <w:rsid w:val="00205F75"/>
    <w:rPr>
      <w:rFonts w:ascii="Arial Unicode MS" w:eastAsia="Arial Unicode MS" w:hAnsi="Arial Unicode MS" w:cs="Arial Unicode MS"/>
      <w:sz w:val="24"/>
      <w:szCs w:val="24"/>
      <w:lang w:val="fr-CA"/>
    </w:rPr>
  </w:style>
  <w:style w:type="paragraph" w:styleId="Retraitcorpsdetexte2">
    <w:name w:val="Body Text Indent 2"/>
    <w:basedOn w:val="Normal"/>
    <w:link w:val="Retraitcorpsdetexte2Car"/>
    <w:rsid w:val="00D80D45"/>
    <w:pPr>
      <w:spacing w:after="120" w:line="480" w:lineRule="auto"/>
      <w:ind w:left="283"/>
    </w:pPr>
  </w:style>
  <w:style w:type="character" w:customStyle="1" w:styleId="Retraitcorpsdetexte2Car">
    <w:name w:val="Retrait corps de texte 2 Car"/>
    <w:link w:val="Retraitcorpsdetexte2"/>
    <w:rsid w:val="00D80D4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D80D45"/>
    <w:pPr>
      <w:spacing w:after="120"/>
      <w:ind w:left="283"/>
    </w:pPr>
    <w:rPr>
      <w:sz w:val="16"/>
      <w:szCs w:val="16"/>
    </w:rPr>
  </w:style>
  <w:style w:type="character" w:customStyle="1" w:styleId="Retraitcorpsdetexte3Car">
    <w:name w:val="Retrait corps de texte 3 Car"/>
    <w:link w:val="Retraitcorpsdetexte3"/>
    <w:rsid w:val="00D80D45"/>
    <w:rPr>
      <w:rFonts w:ascii="Times New Roman" w:eastAsia="Times New Roman" w:hAnsi="Times New Roman" w:cs="Times New Roman"/>
      <w:sz w:val="16"/>
      <w:szCs w:val="16"/>
      <w:lang w:eastAsia="fr-FR"/>
    </w:rPr>
  </w:style>
  <w:style w:type="paragraph" w:customStyle="1" w:styleId="Outline1">
    <w:name w:val="Outline1"/>
    <w:basedOn w:val="Outline"/>
    <w:next w:val="Outline2"/>
    <w:rsid w:val="00D80D45"/>
    <w:pPr>
      <w:keepNext/>
      <w:numPr>
        <w:numId w:val="2"/>
      </w:numPr>
      <w:tabs>
        <w:tab w:val="clear" w:pos="432"/>
        <w:tab w:val="num" w:pos="360"/>
      </w:tabs>
      <w:ind w:left="360" w:hanging="360"/>
    </w:pPr>
    <w:rPr>
      <w:szCs w:val="22"/>
    </w:rPr>
  </w:style>
  <w:style w:type="paragraph" w:customStyle="1" w:styleId="Outline2">
    <w:name w:val="Outline2"/>
    <w:basedOn w:val="Normal"/>
    <w:rsid w:val="00D80D45"/>
    <w:pPr>
      <w:tabs>
        <w:tab w:val="num" w:pos="864"/>
      </w:tabs>
      <w:spacing w:before="240"/>
      <w:ind w:left="864" w:hanging="504"/>
    </w:pPr>
    <w:rPr>
      <w:kern w:val="28"/>
      <w:sz w:val="22"/>
      <w:szCs w:val="22"/>
    </w:rPr>
  </w:style>
  <w:style w:type="paragraph" w:customStyle="1" w:styleId="Outline3">
    <w:name w:val="Outline3"/>
    <w:basedOn w:val="Normal"/>
    <w:rsid w:val="00D80D45"/>
    <w:pPr>
      <w:tabs>
        <w:tab w:val="num" w:pos="1368"/>
      </w:tabs>
      <w:spacing w:before="240"/>
      <w:ind w:left="1368" w:hanging="504"/>
    </w:pPr>
    <w:rPr>
      <w:kern w:val="28"/>
      <w:sz w:val="22"/>
      <w:szCs w:val="22"/>
    </w:rPr>
  </w:style>
  <w:style w:type="paragraph" w:customStyle="1" w:styleId="Outline4">
    <w:name w:val="Outline4"/>
    <w:basedOn w:val="Normal"/>
    <w:rsid w:val="00D80D45"/>
    <w:pPr>
      <w:tabs>
        <w:tab w:val="num" w:pos="1872"/>
      </w:tabs>
      <w:spacing w:before="240"/>
      <w:ind w:left="1872" w:hanging="504"/>
    </w:pPr>
    <w:rPr>
      <w:kern w:val="28"/>
      <w:sz w:val="22"/>
      <w:szCs w:val="22"/>
    </w:rPr>
  </w:style>
  <w:style w:type="paragraph" w:customStyle="1" w:styleId="BodyTextKeep">
    <w:name w:val="Body Text Keep"/>
    <w:basedOn w:val="Corpsdetexte"/>
    <w:rsid w:val="00D80D45"/>
    <w:pPr>
      <w:keepNext/>
      <w:tabs>
        <w:tab w:val="clear" w:pos="720"/>
      </w:tabs>
      <w:spacing w:line="240" w:lineRule="atLeast"/>
    </w:pPr>
    <w:rPr>
      <w:rFonts w:ascii="Garamond" w:hAnsi="Garamond"/>
      <w:lang w:eastAsia="en-US"/>
    </w:rPr>
  </w:style>
  <w:style w:type="paragraph" w:customStyle="1" w:styleId="p1">
    <w:name w:val="p1"/>
    <w:basedOn w:val="Normal"/>
    <w:rsid w:val="00D80D45"/>
    <w:pPr>
      <w:widowControl w:val="0"/>
      <w:tabs>
        <w:tab w:val="left" w:pos="720"/>
      </w:tabs>
      <w:overflowPunct w:val="0"/>
      <w:autoSpaceDE w:val="0"/>
      <w:autoSpaceDN w:val="0"/>
      <w:adjustRightInd w:val="0"/>
      <w:spacing w:line="240" w:lineRule="atLeast"/>
      <w:jc w:val="both"/>
      <w:textAlignment w:val="baseline"/>
    </w:pPr>
    <w:rPr>
      <w:szCs w:val="20"/>
    </w:rPr>
  </w:style>
  <w:style w:type="paragraph" w:customStyle="1" w:styleId="Style4">
    <w:name w:val="Style4"/>
    <w:basedOn w:val="Tabledesillustrations"/>
    <w:next w:val="Tabledesillustrations"/>
    <w:rsid w:val="00D80D45"/>
    <w:pPr>
      <w:jc w:val="both"/>
    </w:pPr>
    <w:rPr>
      <w:b/>
      <w:bCs/>
      <w:u w:val="single"/>
      <w:lang w:val="fr-CA"/>
    </w:rPr>
  </w:style>
  <w:style w:type="paragraph" w:styleId="Tabledesillustrations">
    <w:name w:val="table of figures"/>
    <w:basedOn w:val="Normal"/>
    <w:next w:val="Normal"/>
    <w:uiPriority w:val="99"/>
    <w:rsid w:val="00D80D45"/>
    <w:pPr>
      <w:ind w:left="480" w:hanging="480"/>
    </w:pPr>
    <w:rPr>
      <w:rFonts w:ascii="Calibri" w:hAnsi="Calibri" w:cs="Calibri"/>
      <w:smallCaps/>
      <w:sz w:val="20"/>
      <w:szCs w:val="20"/>
    </w:rPr>
  </w:style>
  <w:style w:type="paragraph" w:customStyle="1" w:styleId="Style2">
    <w:name w:val="Style2"/>
    <w:basedOn w:val="Titre2"/>
    <w:rsid w:val="00D80D45"/>
    <w:rPr>
      <w:rFonts w:ascii="Comic Sans MS" w:hAnsi="Comic Sans MS"/>
      <w:bCs/>
      <w:color w:val="auto"/>
      <w:sz w:val="24"/>
      <w:szCs w:val="24"/>
    </w:rPr>
  </w:style>
  <w:style w:type="paragraph" w:styleId="TM1">
    <w:name w:val="toc 1"/>
    <w:basedOn w:val="Normal"/>
    <w:next w:val="Normal"/>
    <w:autoRedefine/>
    <w:uiPriority w:val="39"/>
    <w:rsid w:val="008019AE"/>
    <w:pPr>
      <w:tabs>
        <w:tab w:val="right" w:leader="dot" w:pos="9061"/>
      </w:tabs>
      <w:spacing w:before="120" w:after="120"/>
    </w:pPr>
    <w:rPr>
      <w:rFonts w:ascii="Calibri" w:hAnsi="Calibri" w:cs="Calibri"/>
      <w:b/>
      <w:bCs/>
      <w:caps/>
      <w:sz w:val="20"/>
      <w:szCs w:val="20"/>
    </w:rPr>
  </w:style>
  <w:style w:type="paragraph" w:styleId="TM2">
    <w:name w:val="toc 2"/>
    <w:basedOn w:val="Normal"/>
    <w:next w:val="Normal"/>
    <w:autoRedefine/>
    <w:uiPriority w:val="39"/>
    <w:rsid w:val="0074394F"/>
    <w:pPr>
      <w:ind w:left="240"/>
    </w:pPr>
    <w:rPr>
      <w:rFonts w:ascii="Calibri" w:hAnsi="Calibri" w:cs="Calibri"/>
      <w:smallCaps/>
      <w:sz w:val="20"/>
      <w:szCs w:val="20"/>
    </w:rPr>
  </w:style>
  <w:style w:type="character" w:styleId="Lienhypertextesuivivisit">
    <w:name w:val="FollowedHyperlink"/>
    <w:rsid w:val="00D80D45"/>
    <w:rPr>
      <w:color w:val="800080"/>
      <w:u w:val="single"/>
    </w:rPr>
  </w:style>
  <w:style w:type="paragraph" w:customStyle="1" w:styleId="MainParanoChapter">
    <w:name w:val="Main Para no Chapter #"/>
    <w:basedOn w:val="Normal"/>
    <w:rsid w:val="00D80D45"/>
    <w:pPr>
      <w:tabs>
        <w:tab w:val="num" w:pos="1065"/>
      </w:tabs>
      <w:spacing w:after="240"/>
      <w:outlineLvl w:val="1"/>
    </w:pPr>
  </w:style>
  <w:style w:type="paragraph" w:customStyle="1" w:styleId="BankNormal">
    <w:name w:val="BankNormal"/>
    <w:basedOn w:val="Normal"/>
    <w:rsid w:val="00D80D45"/>
    <w:pPr>
      <w:spacing w:after="240"/>
    </w:pPr>
    <w:rPr>
      <w:szCs w:val="20"/>
    </w:rPr>
  </w:style>
  <w:style w:type="paragraph" w:customStyle="1" w:styleId="para">
    <w:name w:val="para"/>
    <w:basedOn w:val="Normal"/>
    <w:rsid w:val="00D80D45"/>
    <w:pPr>
      <w:ind w:firstLine="284"/>
      <w:jc w:val="both"/>
    </w:pPr>
  </w:style>
  <w:style w:type="paragraph" w:customStyle="1" w:styleId="PDSHeading2">
    <w:name w:val="PDS Heading 2"/>
    <w:next w:val="Normal"/>
    <w:rsid w:val="00D80D45"/>
    <w:pPr>
      <w:keepNext/>
      <w:numPr>
        <w:ilvl w:val="1"/>
        <w:numId w:val="3"/>
      </w:numPr>
    </w:pPr>
    <w:rPr>
      <w:rFonts w:ascii="Times New Roman" w:eastAsia="Times New Roman" w:hAnsi="Times New Roman"/>
      <w:b/>
      <w:sz w:val="24"/>
      <w:lang w:val="en-US" w:eastAsia="en-US"/>
    </w:rPr>
  </w:style>
  <w:style w:type="paragraph" w:customStyle="1" w:styleId="PDSHeading1">
    <w:name w:val="PDS Heading 1"/>
    <w:next w:val="PDSHeading2"/>
    <w:rsid w:val="002861AC"/>
    <w:pPr>
      <w:keepNext/>
      <w:tabs>
        <w:tab w:val="num" w:pos="360"/>
      </w:tabs>
      <w:ind w:left="360" w:hanging="360"/>
      <w:outlineLvl w:val="0"/>
    </w:pPr>
    <w:rPr>
      <w:rFonts w:ascii="Times New Roman" w:eastAsia="Times New Roman" w:hAnsi="Times New Roman"/>
      <w:b/>
      <w:caps/>
      <w:sz w:val="24"/>
      <w:lang w:val="en-US" w:eastAsia="en-US"/>
    </w:rPr>
  </w:style>
  <w:style w:type="paragraph" w:customStyle="1" w:styleId="PDSHeading10">
    <w:name w:val="PDSHeading1"/>
    <w:next w:val="Normal"/>
    <w:rsid w:val="00D80D45"/>
    <w:rPr>
      <w:rFonts w:ascii="Times New Roman" w:eastAsia="Times New Roman" w:hAnsi="Times New Roman"/>
      <w:b/>
      <w:sz w:val="24"/>
      <w:lang w:val="en-US" w:eastAsia="en-US"/>
    </w:rPr>
  </w:style>
  <w:style w:type="paragraph" w:customStyle="1" w:styleId="MainParawithChapter">
    <w:name w:val="Main Para with Chapter#"/>
    <w:basedOn w:val="Normal"/>
    <w:rsid w:val="00D80D45"/>
    <w:pPr>
      <w:numPr>
        <w:ilvl w:val="1"/>
        <w:numId w:val="4"/>
      </w:numPr>
      <w:tabs>
        <w:tab w:val="clear" w:pos="720"/>
      </w:tabs>
      <w:spacing w:after="240"/>
      <w:ind w:left="0" w:firstLine="0"/>
      <w:outlineLvl w:val="1"/>
    </w:pPr>
  </w:style>
  <w:style w:type="character" w:customStyle="1" w:styleId="spelle">
    <w:name w:val="spelle"/>
    <w:basedOn w:val="Policepardfaut"/>
    <w:rsid w:val="00D80D45"/>
  </w:style>
  <w:style w:type="paragraph" w:customStyle="1" w:styleId="TxBrp7">
    <w:name w:val="TxBr_p7"/>
    <w:basedOn w:val="Normal"/>
    <w:rsid w:val="00D80D45"/>
    <w:pPr>
      <w:widowControl w:val="0"/>
      <w:tabs>
        <w:tab w:val="left" w:pos="204"/>
      </w:tabs>
      <w:spacing w:line="255" w:lineRule="atLeast"/>
    </w:pPr>
    <w:rPr>
      <w:snapToGrid w:val="0"/>
      <w:szCs w:val="20"/>
    </w:rPr>
  </w:style>
  <w:style w:type="character" w:customStyle="1" w:styleId="grame">
    <w:name w:val="grame"/>
    <w:basedOn w:val="Policepardfaut"/>
    <w:rsid w:val="00D80D45"/>
  </w:style>
  <w:style w:type="paragraph" w:customStyle="1" w:styleId="TxBrp8">
    <w:name w:val="TxBr_p8"/>
    <w:basedOn w:val="Normal"/>
    <w:rsid w:val="00D80D45"/>
    <w:pPr>
      <w:widowControl w:val="0"/>
      <w:tabs>
        <w:tab w:val="left" w:pos="368"/>
      </w:tabs>
      <w:spacing w:line="255" w:lineRule="atLeast"/>
      <w:ind w:left="731" w:hanging="363"/>
    </w:pPr>
    <w:rPr>
      <w:snapToGrid w:val="0"/>
      <w:szCs w:val="20"/>
    </w:rPr>
  </w:style>
  <w:style w:type="paragraph" w:styleId="TM3">
    <w:name w:val="toc 3"/>
    <w:basedOn w:val="Normal"/>
    <w:next w:val="Normal"/>
    <w:autoRedefine/>
    <w:uiPriority w:val="39"/>
    <w:rsid w:val="00C07DB2"/>
    <w:pPr>
      <w:ind w:left="480"/>
    </w:pPr>
    <w:rPr>
      <w:rFonts w:ascii="Calibri" w:hAnsi="Calibri" w:cs="Calibri"/>
      <w:i/>
      <w:iCs/>
      <w:sz w:val="20"/>
      <w:szCs w:val="20"/>
    </w:rPr>
  </w:style>
  <w:style w:type="paragraph" w:styleId="TM4">
    <w:name w:val="toc 4"/>
    <w:basedOn w:val="Normal"/>
    <w:next w:val="Normal"/>
    <w:autoRedefine/>
    <w:uiPriority w:val="39"/>
    <w:rsid w:val="00E3427A"/>
    <w:pPr>
      <w:ind w:left="720"/>
    </w:pPr>
    <w:rPr>
      <w:rFonts w:ascii="Calibri" w:hAnsi="Calibri" w:cs="Calibri"/>
      <w:sz w:val="18"/>
      <w:szCs w:val="18"/>
    </w:rPr>
  </w:style>
  <w:style w:type="paragraph" w:styleId="TM5">
    <w:name w:val="toc 5"/>
    <w:basedOn w:val="Normal"/>
    <w:next w:val="Normal"/>
    <w:autoRedefine/>
    <w:uiPriority w:val="39"/>
    <w:rsid w:val="00D80D45"/>
    <w:pPr>
      <w:ind w:left="960"/>
    </w:pPr>
    <w:rPr>
      <w:rFonts w:ascii="Calibri" w:hAnsi="Calibri" w:cs="Calibri"/>
      <w:sz w:val="18"/>
      <w:szCs w:val="18"/>
    </w:rPr>
  </w:style>
  <w:style w:type="paragraph" w:styleId="TM6">
    <w:name w:val="toc 6"/>
    <w:basedOn w:val="Normal"/>
    <w:next w:val="Normal"/>
    <w:autoRedefine/>
    <w:uiPriority w:val="39"/>
    <w:rsid w:val="00D80D45"/>
    <w:pPr>
      <w:ind w:left="1200"/>
    </w:pPr>
    <w:rPr>
      <w:rFonts w:ascii="Calibri" w:hAnsi="Calibri" w:cs="Calibri"/>
      <w:sz w:val="18"/>
      <w:szCs w:val="18"/>
    </w:rPr>
  </w:style>
  <w:style w:type="paragraph" w:styleId="TM7">
    <w:name w:val="toc 7"/>
    <w:basedOn w:val="Normal"/>
    <w:next w:val="Normal"/>
    <w:autoRedefine/>
    <w:uiPriority w:val="39"/>
    <w:rsid w:val="00D80D45"/>
    <w:pPr>
      <w:ind w:left="1440"/>
    </w:pPr>
    <w:rPr>
      <w:rFonts w:ascii="Calibri" w:hAnsi="Calibri" w:cs="Calibri"/>
      <w:sz w:val="18"/>
      <w:szCs w:val="18"/>
    </w:rPr>
  </w:style>
  <w:style w:type="paragraph" w:styleId="TM8">
    <w:name w:val="toc 8"/>
    <w:basedOn w:val="Normal"/>
    <w:next w:val="Normal"/>
    <w:autoRedefine/>
    <w:uiPriority w:val="39"/>
    <w:rsid w:val="00D80D45"/>
    <w:pPr>
      <w:ind w:left="1680"/>
    </w:pPr>
    <w:rPr>
      <w:rFonts w:ascii="Calibri" w:hAnsi="Calibri" w:cs="Calibri"/>
      <w:sz w:val="18"/>
      <w:szCs w:val="18"/>
    </w:rPr>
  </w:style>
  <w:style w:type="paragraph" w:styleId="TM9">
    <w:name w:val="toc 9"/>
    <w:basedOn w:val="Normal"/>
    <w:next w:val="Normal"/>
    <w:autoRedefine/>
    <w:uiPriority w:val="39"/>
    <w:rsid w:val="00D80D45"/>
    <w:pPr>
      <w:ind w:left="1920"/>
    </w:pPr>
    <w:rPr>
      <w:rFonts w:ascii="Calibri" w:hAnsi="Calibri" w:cs="Calibri"/>
      <w:sz w:val="18"/>
      <w:szCs w:val="18"/>
    </w:rPr>
  </w:style>
  <w:style w:type="paragraph" w:styleId="Textebrut">
    <w:name w:val="Plain Text"/>
    <w:basedOn w:val="Normal"/>
    <w:link w:val="TextebrutCar"/>
    <w:rsid w:val="00D80D45"/>
    <w:rPr>
      <w:rFonts w:ascii="Courier New" w:hAnsi="Courier New"/>
      <w:sz w:val="20"/>
      <w:szCs w:val="20"/>
      <w:lang w:val="fr-BE"/>
    </w:rPr>
  </w:style>
  <w:style w:type="character" w:customStyle="1" w:styleId="TextebrutCar">
    <w:name w:val="Texte brut Car"/>
    <w:link w:val="Textebrut"/>
    <w:rsid w:val="00D80D45"/>
    <w:rPr>
      <w:rFonts w:ascii="Courier New" w:eastAsia="Times New Roman" w:hAnsi="Courier New" w:cs="Courier New"/>
      <w:sz w:val="20"/>
      <w:szCs w:val="20"/>
      <w:lang w:val="fr-BE" w:eastAsia="fr-FR"/>
    </w:rPr>
  </w:style>
  <w:style w:type="paragraph" w:styleId="Listepuces">
    <w:name w:val="List Bullet"/>
    <w:basedOn w:val="Normal"/>
    <w:autoRedefine/>
    <w:rsid w:val="00D80D45"/>
    <w:pPr>
      <w:jc w:val="both"/>
    </w:pPr>
    <w:rPr>
      <w:szCs w:val="20"/>
      <w:lang w:val="fr-CA"/>
    </w:rPr>
  </w:style>
  <w:style w:type="paragraph" w:customStyle="1" w:styleId="puce">
    <w:name w:val="puce"/>
    <w:basedOn w:val="Normal"/>
    <w:rsid w:val="00D80D45"/>
    <w:pPr>
      <w:numPr>
        <w:numId w:val="5"/>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jc w:val="both"/>
    </w:pPr>
    <w:rPr>
      <w:rFonts w:ascii="Century Schoolbook" w:hAnsi="Century Schoolbook"/>
      <w:sz w:val="22"/>
      <w:szCs w:val="20"/>
    </w:rPr>
  </w:style>
  <w:style w:type="paragraph" w:customStyle="1" w:styleId="Indice1">
    <w:name w:val="Indice1"/>
    <w:basedOn w:val="Normal"/>
    <w:rsid w:val="00D80D45"/>
    <w:pPr>
      <w:tabs>
        <w:tab w:val="num" w:pos="720"/>
      </w:tabs>
      <w:ind w:left="720" w:hanging="360"/>
    </w:pPr>
    <w:rPr>
      <w:sz w:val="22"/>
      <w:szCs w:val="22"/>
    </w:rPr>
  </w:style>
  <w:style w:type="paragraph" w:customStyle="1" w:styleId="Block">
    <w:name w:val="Block"/>
    <w:basedOn w:val="Normal"/>
    <w:rsid w:val="00D80D45"/>
    <w:pPr>
      <w:widowControl w:val="0"/>
      <w:numPr>
        <w:numId w:val="6"/>
      </w:numPr>
      <w:tabs>
        <w:tab w:val="clear" w:pos="360"/>
      </w:tabs>
      <w:ind w:left="0" w:firstLine="0"/>
    </w:pPr>
    <w:rPr>
      <w:b/>
      <w:bCs/>
      <w:sz w:val="22"/>
      <w:szCs w:val="22"/>
    </w:rPr>
  </w:style>
  <w:style w:type="paragraph" w:styleId="Commentaire">
    <w:name w:val="annotation text"/>
    <w:aliases w:val="Comment Text1, Car1"/>
    <w:basedOn w:val="Normal"/>
    <w:link w:val="CommentaireCar"/>
    <w:uiPriority w:val="99"/>
    <w:qFormat/>
    <w:rsid w:val="00D80D45"/>
    <w:pPr>
      <w:spacing w:before="100" w:beforeAutospacing="1" w:after="100" w:afterAutospacing="1"/>
      <w:jc w:val="both"/>
    </w:pPr>
    <w:rPr>
      <w:sz w:val="20"/>
      <w:szCs w:val="20"/>
    </w:rPr>
  </w:style>
  <w:style w:type="character" w:customStyle="1" w:styleId="CommentaireCar">
    <w:name w:val="Commentaire Car"/>
    <w:aliases w:val="Comment Text1 Car, Car1 Car"/>
    <w:link w:val="Commentaire"/>
    <w:uiPriority w:val="99"/>
    <w:qFormat/>
    <w:rsid w:val="00D80D45"/>
    <w:rPr>
      <w:rFonts w:ascii="Times New Roman" w:eastAsia="Times New Roman" w:hAnsi="Times New Roman" w:cs="Times New Roman"/>
      <w:sz w:val="20"/>
      <w:szCs w:val="20"/>
      <w:lang w:eastAsia="fr-FR"/>
    </w:rPr>
  </w:style>
  <w:style w:type="character" w:customStyle="1" w:styleId="En-tteCarCar">
    <w:name w:val="En-tête Car Car"/>
    <w:rsid w:val="00D80D45"/>
    <w:rPr>
      <w:lang w:val="fr-FR" w:eastAsia="fr-FR" w:bidi="ar-SA"/>
    </w:rPr>
  </w:style>
  <w:style w:type="paragraph" w:customStyle="1" w:styleId="font7">
    <w:name w:val="font7"/>
    <w:basedOn w:val="Normal"/>
    <w:rsid w:val="00D80D45"/>
    <w:pPr>
      <w:spacing w:before="100" w:beforeAutospacing="1" w:after="100" w:afterAutospacing="1"/>
    </w:pPr>
    <w:rPr>
      <w:rFonts w:eastAsia="Arial Unicode MS"/>
      <w:sz w:val="22"/>
      <w:szCs w:val="22"/>
    </w:rPr>
  </w:style>
  <w:style w:type="paragraph" w:customStyle="1" w:styleId="RapEIS">
    <w:name w:val="RapEIS"/>
    <w:basedOn w:val="TM1"/>
    <w:autoRedefine/>
    <w:rsid w:val="00D80D45"/>
    <w:rPr>
      <w:b w:val="0"/>
      <w:caps w:val="0"/>
      <w:lang w:eastAsia="en-US"/>
    </w:rPr>
  </w:style>
  <w:style w:type="paragraph" w:customStyle="1" w:styleId="9-Intervalle">
    <w:name w:val="9 - Intervalle"/>
    <w:basedOn w:val="Normal"/>
    <w:rsid w:val="00D80D45"/>
    <w:pPr>
      <w:tabs>
        <w:tab w:val="left" w:pos="709"/>
        <w:tab w:val="left" w:pos="1360"/>
        <w:tab w:val="right" w:pos="9072"/>
        <w:tab w:val="right" w:pos="9100"/>
      </w:tabs>
      <w:autoSpaceDE w:val="0"/>
      <w:autoSpaceDN w:val="0"/>
      <w:adjustRightInd w:val="0"/>
      <w:spacing w:line="100" w:lineRule="exact"/>
      <w:jc w:val="both"/>
    </w:pPr>
    <w:rPr>
      <w:sz w:val="16"/>
      <w:szCs w:val="16"/>
    </w:rPr>
  </w:style>
  <w:style w:type="character" w:styleId="MachinecrireHTML">
    <w:name w:val="HTML Typewriter"/>
    <w:semiHidden/>
    <w:rsid w:val="00D80D45"/>
    <w:rPr>
      <w:rFonts w:ascii="Courier New" w:eastAsia="Courier New" w:hAnsi="Courier New" w:cs="Courier New"/>
      <w:sz w:val="20"/>
      <w:szCs w:val="20"/>
    </w:rPr>
  </w:style>
  <w:style w:type="paragraph" w:customStyle="1" w:styleId="Retraitpuces1">
    <w:name w:val="Retrait à puces 1"/>
    <w:basedOn w:val="Normal"/>
    <w:rsid w:val="00D80D45"/>
    <w:pPr>
      <w:numPr>
        <w:numId w:val="7"/>
      </w:numPr>
      <w:spacing w:after="120"/>
      <w:jc w:val="both"/>
    </w:pPr>
    <w:rPr>
      <w:szCs w:val="20"/>
    </w:rPr>
  </w:style>
  <w:style w:type="paragraph" w:customStyle="1" w:styleId="Titretableau">
    <w:name w:val="Titre tableau"/>
    <w:basedOn w:val="Normal"/>
    <w:rsid w:val="00D80D45"/>
    <w:pPr>
      <w:keepNext/>
      <w:spacing w:before="100" w:after="160"/>
      <w:jc w:val="both"/>
    </w:pPr>
    <w:rPr>
      <w:b/>
      <w:szCs w:val="20"/>
    </w:rPr>
  </w:style>
  <w:style w:type="paragraph" w:customStyle="1" w:styleId="StyleLatinArialComplexeArial9ptJustifi">
    <w:name w:val="Style (Latin) Arial (Complexe) Arial 9 pt Justifié"/>
    <w:basedOn w:val="Normal"/>
    <w:rsid w:val="00D80D45"/>
    <w:pPr>
      <w:jc w:val="both"/>
    </w:pPr>
    <w:rPr>
      <w:rFonts w:ascii="Arial" w:hAnsi="Arial" w:cs="Arial"/>
      <w:sz w:val="18"/>
      <w:szCs w:val="18"/>
    </w:rPr>
  </w:style>
  <w:style w:type="paragraph" w:customStyle="1" w:styleId="StyleTitre4Avant0pt">
    <w:name w:val="Style Titre 4 + Avant : 0 pt"/>
    <w:basedOn w:val="Titre4"/>
    <w:rsid w:val="00D80D45"/>
    <w:pPr>
      <w:widowControl w:val="0"/>
      <w:tabs>
        <w:tab w:val="num" w:pos="2880"/>
      </w:tabs>
      <w:spacing w:after="200"/>
      <w:ind w:left="862" w:hanging="862"/>
    </w:pPr>
    <w:rPr>
      <w:rFonts w:ascii="Arial" w:hAnsi="Arial" w:cs="Arial"/>
      <w:b w:val="0"/>
      <w:bCs/>
      <w:i/>
      <w:iCs/>
    </w:rPr>
  </w:style>
  <w:style w:type="character" w:styleId="lev">
    <w:name w:val="Strong"/>
    <w:uiPriority w:val="22"/>
    <w:qFormat/>
    <w:rsid w:val="00D80D45"/>
    <w:rPr>
      <w:b/>
      <w:bCs/>
    </w:rPr>
  </w:style>
  <w:style w:type="paragraph" w:customStyle="1" w:styleId="Normalprretrait">
    <w:name w:val="Normal préretrait"/>
    <w:basedOn w:val="Normal"/>
    <w:rsid w:val="00D80D45"/>
    <w:pPr>
      <w:keepNext/>
      <w:spacing w:after="120"/>
      <w:jc w:val="both"/>
    </w:pPr>
    <w:rPr>
      <w:szCs w:val="20"/>
    </w:rPr>
  </w:style>
  <w:style w:type="paragraph" w:styleId="Listenumros2">
    <w:name w:val="List Number 2"/>
    <w:basedOn w:val="Normal"/>
    <w:semiHidden/>
    <w:rsid w:val="00D80D45"/>
    <w:pPr>
      <w:numPr>
        <w:numId w:val="8"/>
      </w:numPr>
    </w:pPr>
    <w:rPr>
      <w:sz w:val="22"/>
    </w:rPr>
  </w:style>
  <w:style w:type="paragraph" w:customStyle="1" w:styleId="Check-list">
    <w:name w:val="Check-list"/>
    <w:basedOn w:val="Normal"/>
    <w:rsid w:val="00D80D45"/>
    <w:pPr>
      <w:widowControl w:val="0"/>
      <w:numPr>
        <w:numId w:val="9"/>
      </w:numPr>
      <w:spacing w:after="160"/>
      <w:jc w:val="both"/>
    </w:pPr>
    <w:rPr>
      <w:rFonts w:ascii="Arial" w:hAnsi="Arial" w:cs="Arial"/>
      <w:bCs/>
      <w:sz w:val="20"/>
      <w:szCs w:val="20"/>
    </w:rPr>
  </w:style>
  <w:style w:type="paragraph" w:customStyle="1" w:styleId="7">
    <w:name w:val="7"/>
    <w:basedOn w:val="Normal"/>
    <w:rsid w:val="00D80D45"/>
    <w:pPr>
      <w:tabs>
        <w:tab w:val="left" w:pos="1800"/>
        <w:tab w:val="right" w:pos="9044"/>
      </w:tabs>
      <w:spacing w:after="60"/>
      <w:ind w:left="1803" w:hanging="510"/>
      <w:jc w:val="both"/>
    </w:pPr>
    <w:rPr>
      <w:sz w:val="22"/>
      <w:szCs w:val="20"/>
    </w:rPr>
  </w:style>
  <w:style w:type="paragraph" w:customStyle="1" w:styleId="3">
    <w:name w:val="3"/>
    <w:basedOn w:val="Normal"/>
    <w:next w:val="Normal"/>
    <w:rsid w:val="00D80D45"/>
    <w:pPr>
      <w:keepNext/>
      <w:keepLines/>
      <w:tabs>
        <w:tab w:val="left" w:pos="900"/>
      </w:tabs>
      <w:suppressAutoHyphens/>
      <w:spacing w:before="60" w:after="60" w:line="240" w:lineRule="exact"/>
      <w:ind w:left="540" w:firstLine="4"/>
      <w:outlineLvl w:val="2"/>
    </w:pPr>
    <w:rPr>
      <w:rFonts w:ascii="Arial Black" w:hAnsi="Arial Black"/>
      <w:color w:val="0000FF"/>
    </w:rPr>
  </w:style>
  <w:style w:type="paragraph" w:customStyle="1" w:styleId="0">
    <w:name w:val="0"/>
    <w:rsid w:val="00D80D45"/>
    <w:pPr>
      <w:tabs>
        <w:tab w:val="left" w:pos="1800"/>
        <w:tab w:val="right" w:pos="9000"/>
      </w:tabs>
      <w:spacing w:after="120"/>
      <w:ind w:left="1260"/>
      <w:jc w:val="both"/>
    </w:pPr>
    <w:rPr>
      <w:rFonts w:ascii="Times New Roman" w:eastAsia="Times New Roman" w:hAnsi="Times New Roman"/>
      <w:sz w:val="22"/>
    </w:rPr>
  </w:style>
  <w:style w:type="character" w:customStyle="1" w:styleId="goohl4">
    <w:name w:val="goohl4"/>
    <w:basedOn w:val="Policepardfaut"/>
    <w:rsid w:val="00D80D45"/>
  </w:style>
  <w:style w:type="character" w:customStyle="1" w:styleId="texte1">
    <w:name w:val="texte1"/>
    <w:basedOn w:val="Policepardfaut"/>
    <w:rsid w:val="00D80D45"/>
  </w:style>
  <w:style w:type="character" w:styleId="CitationHTML">
    <w:name w:val="HTML Cite"/>
    <w:uiPriority w:val="99"/>
    <w:semiHidden/>
    <w:rsid w:val="00D80D45"/>
    <w:rPr>
      <w:i/>
      <w:iCs/>
    </w:rPr>
  </w:style>
  <w:style w:type="character" w:styleId="Marquedecommentaire">
    <w:name w:val="annotation reference"/>
    <w:uiPriority w:val="99"/>
    <w:rsid w:val="00D80D45"/>
    <w:rPr>
      <w:sz w:val="16"/>
      <w:szCs w:val="16"/>
    </w:rPr>
  </w:style>
  <w:style w:type="paragraph" w:customStyle="1" w:styleId="Default">
    <w:name w:val="Default"/>
    <w:link w:val="DefaultCar"/>
    <w:qFormat/>
    <w:rsid w:val="00D80D45"/>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DefaultCar">
    <w:name w:val="Default Car"/>
    <w:link w:val="Default"/>
    <w:rsid w:val="009700A6"/>
    <w:rPr>
      <w:rFonts w:ascii="Times New Roman" w:eastAsia="Times New Roman" w:hAnsi="Times New Roman"/>
      <w:color w:val="000000"/>
      <w:sz w:val="24"/>
      <w:szCs w:val="24"/>
      <w:lang w:val="en-US" w:eastAsia="en-US"/>
    </w:rPr>
  </w:style>
  <w:style w:type="paragraph" w:styleId="Normalcentr">
    <w:name w:val="Block Text"/>
    <w:basedOn w:val="Normal"/>
    <w:rsid w:val="00D80D45"/>
    <w:pPr>
      <w:ind w:left="180" w:right="5292" w:hanging="180"/>
    </w:pPr>
  </w:style>
  <w:style w:type="paragraph" w:customStyle="1" w:styleId="TxBr5p1">
    <w:name w:val="TxBr_5p1"/>
    <w:basedOn w:val="Normal"/>
    <w:rsid w:val="00D80D45"/>
    <w:pPr>
      <w:tabs>
        <w:tab w:val="left" w:pos="204"/>
      </w:tabs>
      <w:spacing w:line="283" w:lineRule="atLeast"/>
      <w:jc w:val="both"/>
    </w:pPr>
    <w:rPr>
      <w:snapToGrid w:val="0"/>
      <w:szCs w:val="20"/>
    </w:rPr>
  </w:style>
  <w:style w:type="paragraph" w:styleId="Index1">
    <w:name w:val="index 1"/>
    <w:basedOn w:val="Normal"/>
    <w:next w:val="Normal"/>
    <w:autoRedefine/>
    <w:semiHidden/>
    <w:rsid w:val="00D80D45"/>
    <w:pPr>
      <w:spacing w:line="300" w:lineRule="auto"/>
      <w:jc w:val="both"/>
    </w:pPr>
    <w:rPr>
      <w:color w:val="000000"/>
      <w:sz w:val="26"/>
      <w:szCs w:val="26"/>
    </w:rPr>
  </w:style>
  <w:style w:type="paragraph" w:styleId="TitreTR">
    <w:name w:val="toa heading"/>
    <w:aliases w:val="Références bibliographiques"/>
    <w:basedOn w:val="Normal"/>
    <w:next w:val="Normal"/>
    <w:semiHidden/>
    <w:rsid w:val="00D80D45"/>
    <w:pPr>
      <w:numPr>
        <w:numId w:val="10"/>
      </w:numPr>
      <w:spacing w:before="120"/>
    </w:pPr>
    <w:rPr>
      <w:rFonts w:ascii="Arial" w:hAnsi="Arial" w:cs="Arial"/>
      <w:b/>
      <w:bCs/>
    </w:rPr>
  </w:style>
  <w:style w:type="paragraph" w:customStyle="1" w:styleId="Style1">
    <w:name w:val="Style1"/>
    <w:basedOn w:val="Titre1"/>
    <w:link w:val="Style1Car"/>
    <w:qFormat/>
    <w:rsid w:val="00D80D45"/>
    <w:pPr>
      <w:keepLines w:val="0"/>
      <w:numPr>
        <w:numId w:val="11"/>
      </w:numPr>
      <w:spacing w:before="240" w:after="60"/>
      <w:jc w:val="both"/>
    </w:pPr>
    <w:rPr>
      <w:rFonts w:ascii="Times New Roman" w:hAnsi="Times New Roman"/>
      <w:color w:val="auto"/>
      <w:kern w:val="32"/>
      <w:sz w:val="22"/>
      <w:szCs w:val="22"/>
    </w:rPr>
  </w:style>
  <w:style w:type="paragraph" w:customStyle="1" w:styleId="symbole">
    <w:name w:val="symbole"/>
    <w:basedOn w:val="Normal"/>
    <w:rsid w:val="00D80D45"/>
    <w:pPr>
      <w:spacing w:before="540" w:after="100" w:afterAutospacing="1"/>
    </w:pPr>
  </w:style>
  <w:style w:type="paragraph" w:customStyle="1" w:styleId="CarcterCarCarCarcterCarcter">
    <w:name w:val="Carácter Car Car Carácter Carácter"/>
    <w:basedOn w:val="Normal"/>
    <w:rsid w:val="00D80D45"/>
    <w:pPr>
      <w:spacing w:after="160" w:line="240" w:lineRule="exact"/>
    </w:pPr>
    <w:rPr>
      <w:rFonts w:ascii="Book Antiqua" w:hAnsi="Book Antiqua"/>
      <w:sz w:val="20"/>
      <w:szCs w:val="20"/>
    </w:rPr>
  </w:style>
  <w:style w:type="paragraph" w:styleId="Listenumros3">
    <w:name w:val="List Number 3"/>
    <w:rsid w:val="002861AC"/>
    <w:pPr>
      <w:numPr>
        <w:numId w:val="12"/>
      </w:numPr>
      <w:snapToGrid w:val="0"/>
    </w:pPr>
    <w:rPr>
      <w:rFonts w:ascii="Times New Roman" w:eastAsia="Times New Roman" w:hAnsi="Times New Roman"/>
      <w:sz w:val="22"/>
      <w:lang w:eastAsia="en-US"/>
    </w:rPr>
  </w:style>
  <w:style w:type="paragraph" w:styleId="Objetducommentaire">
    <w:name w:val="annotation subject"/>
    <w:basedOn w:val="Commentaire"/>
    <w:next w:val="Commentaire"/>
    <w:link w:val="ObjetducommentaireCar"/>
    <w:uiPriority w:val="99"/>
    <w:semiHidden/>
    <w:unhideWhenUsed/>
    <w:rsid w:val="00D80D45"/>
    <w:pPr>
      <w:spacing w:before="0" w:beforeAutospacing="0" w:after="0" w:afterAutospacing="0"/>
      <w:jc w:val="left"/>
    </w:pPr>
    <w:rPr>
      <w:b/>
      <w:bCs/>
    </w:rPr>
  </w:style>
  <w:style w:type="character" w:customStyle="1" w:styleId="ObjetducommentaireCar">
    <w:name w:val="Objet du commentaire Car"/>
    <w:link w:val="Objetducommentaire"/>
    <w:uiPriority w:val="99"/>
    <w:semiHidden/>
    <w:rsid w:val="00D80D45"/>
    <w:rPr>
      <w:rFonts w:ascii="Times New Roman" w:eastAsia="Times New Roman" w:hAnsi="Times New Roman" w:cs="Times New Roman"/>
      <w:b/>
      <w:bCs/>
      <w:sz w:val="20"/>
      <w:szCs w:val="20"/>
      <w:lang w:eastAsia="fr-FR"/>
    </w:rPr>
  </w:style>
  <w:style w:type="paragraph" w:customStyle="1" w:styleId="ModelDoubleNoIndent">
    <w:name w:val="ModelDoubleNoIndent"/>
    <w:basedOn w:val="Normal"/>
    <w:rsid w:val="00D80D45"/>
    <w:pPr>
      <w:spacing w:after="360" w:line="480" w:lineRule="auto"/>
      <w:jc w:val="both"/>
    </w:pPr>
    <w:rPr>
      <w:sz w:val="22"/>
      <w:szCs w:val="20"/>
    </w:rPr>
  </w:style>
  <w:style w:type="paragraph" w:customStyle="1" w:styleId="Normal1">
    <w:name w:val="Normal1"/>
    <w:basedOn w:val="Normal"/>
    <w:link w:val="normalCar"/>
    <w:rsid w:val="00D80D45"/>
    <w:pPr>
      <w:tabs>
        <w:tab w:val="left" w:pos="1134"/>
      </w:tabs>
      <w:jc w:val="both"/>
    </w:pPr>
    <w:rPr>
      <w:sz w:val="23"/>
      <w:szCs w:val="20"/>
    </w:rPr>
  </w:style>
  <w:style w:type="character" w:customStyle="1" w:styleId="normalCar">
    <w:name w:val="normal Car"/>
    <w:link w:val="Normal1"/>
    <w:rsid w:val="00D80D45"/>
    <w:rPr>
      <w:rFonts w:ascii="Times New Roman" w:eastAsia="Times New Roman" w:hAnsi="Times New Roman" w:cs="Times New Roman"/>
      <w:sz w:val="23"/>
      <w:szCs w:val="20"/>
    </w:rPr>
  </w:style>
  <w:style w:type="paragraph" w:customStyle="1" w:styleId="p5">
    <w:name w:val="p5"/>
    <w:basedOn w:val="Normal"/>
    <w:rsid w:val="00D80D45"/>
    <w:pPr>
      <w:tabs>
        <w:tab w:val="left" w:pos="720"/>
      </w:tabs>
      <w:spacing w:line="240" w:lineRule="atLeast"/>
      <w:jc w:val="both"/>
    </w:pPr>
    <w:rPr>
      <w:snapToGrid w:val="0"/>
      <w:szCs w:val="20"/>
    </w:rPr>
  </w:style>
  <w:style w:type="paragraph" w:customStyle="1" w:styleId="p27">
    <w:name w:val="p27"/>
    <w:basedOn w:val="Normal"/>
    <w:rsid w:val="00D80D45"/>
    <w:pPr>
      <w:tabs>
        <w:tab w:val="left" w:pos="720"/>
      </w:tabs>
      <w:spacing w:line="240" w:lineRule="atLeast"/>
    </w:pPr>
    <w:rPr>
      <w:snapToGrid w:val="0"/>
      <w:szCs w:val="20"/>
    </w:rPr>
  </w:style>
  <w:style w:type="character" w:customStyle="1" w:styleId="notranslate">
    <w:name w:val="notranslate"/>
    <w:basedOn w:val="Policepardfaut"/>
    <w:rsid w:val="00D80D45"/>
  </w:style>
  <w:style w:type="paragraph" w:customStyle="1" w:styleId="Retraitcorpsdetexte21">
    <w:name w:val="Retrait corps de texte 21"/>
    <w:basedOn w:val="Normal"/>
    <w:rsid w:val="00D80D45"/>
    <w:pPr>
      <w:widowControl w:val="0"/>
      <w:spacing w:after="120"/>
      <w:ind w:firstLine="567"/>
      <w:jc w:val="both"/>
    </w:pPr>
    <w:rPr>
      <w:rFonts w:ascii="Calibri" w:hAnsi="Calibri"/>
      <w:sz w:val="26"/>
      <w:szCs w:val="20"/>
    </w:rPr>
  </w:style>
  <w:style w:type="character" w:customStyle="1" w:styleId="apple-converted-space">
    <w:name w:val="apple-converted-space"/>
    <w:basedOn w:val="Policepardfaut"/>
    <w:rsid w:val="00D80D45"/>
  </w:style>
  <w:style w:type="paragraph" w:customStyle="1" w:styleId="projet">
    <w:name w:val="projet"/>
    <w:basedOn w:val="Corpsdetexte"/>
    <w:rsid w:val="00D80D45"/>
    <w:pPr>
      <w:tabs>
        <w:tab w:val="clear" w:pos="720"/>
      </w:tabs>
      <w:spacing w:before="120"/>
    </w:pPr>
    <w:rPr>
      <w:rFonts w:ascii="Helvetica" w:hAnsi="Helvetica"/>
      <w:sz w:val="24"/>
    </w:rPr>
  </w:style>
  <w:style w:type="paragraph" w:customStyle="1" w:styleId="Corpsdetexte21">
    <w:name w:val="Corps de texte 21"/>
    <w:basedOn w:val="Normal"/>
    <w:rsid w:val="00D80D45"/>
    <w:pPr>
      <w:jc w:val="both"/>
    </w:pPr>
    <w:rPr>
      <w:rFonts w:ascii="Arial" w:hAnsi="Arial"/>
      <w:szCs w:val="20"/>
    </w:rPr>
  </w:style>
  <w:style w:type="paragraph" w:customStyle="1" w:styleId="BodyTextIndent21">
    <w:name w:val="Body Text Indent 21"/>
    <w:basedOn w:val="Normal"/>
    <w:rsid w:val="00D80D45"/>
    <w:pPr>
      <w:widowControl w:val="0"/>
      <w:spacing w:after="120"/>
      <w:ind w:firstLine="567"/>
      <w:jc w:val="both"/>
    </w:pPr>
    <w:rPr>
      <w:sz w:val="26"/>
      <w:szCs w:val="20"/>
    </w:rPr>
  </w:style>
  <w:style w:type="paragraph" w:customStyle="1" w:styleId="Tiret">
    <w:name w:val="Tiret"/>
    <w:basedOn w:val="Normal"/>
    <w:rsid w:val="00D80D45"/>
    <w:pPr>
      <w:numPr>
        <w:numId w:val="13"/>
      </w:numPr>
      <w:spacing w:before="60" w:after="60"/>
      <w:jc w:val="both"/>
    </w:pPr>
    <w:rPr>
      <w:rFonts w:ascii="Arial" w:hAnsi="Arial" w:cs="Arial"/>
      <w:sz w:val="20"/>
      <w:szCs w:val="20"/>
    </w:rPr>
  </w:style>
  <w:style w:type="character" w:customStyle="1" w:styleId="longtext">
    <w:name w:val="long_text"/>
    <w:qFormat/>
    <w:rsid w:val="00D80D45"/>
  </w:style>
  <w:style w:type="paragraph" w:customStyle="1" w:styleId="TableauCECAFUNICEF">
    <w:name w:val="Tableau CECAF UNICEF"/>
    <w:basedOn w:val="Normal"/>
    <w:qFormat/>
    <w:rsid w:val="00D80D45"/>
    <w:pPr>
      <w:numPr>
        <w:numId w:val="14"/>
      </w:numPr>
      <w:spacing w:before="120" w:after="120" w:line="300" w:lineRule="auto"/>
      <w:jc w:val="both"/>
    </w:pPr>
    <w:rPr>
      <w:rFonts w:ascii="Calibri" w:eastAsia="Calibri" w:hAnsi="Calibri" w:cs="Arial"/>
      <w:b/>
      <w:shd w:val="clear" w:color="auto" w:fill="FEFFFF"/>
      <w:lang w:bidi="he-IL"/>
    </w:rPr>
  </w:style>
  <w:style w:type="paragraph" w:styleId="Sansinterligne">
    <w:name w:val="No Spacing"/>
    <w:link w:val="SansinterligneCar"/>
    <w:uiPriority w:val="1"/>
    <w:qFormat/>
    <w:rsid w:val="00D80D45"/>
    <w:rPr>
      <w:rFonts w:eastAsia="Times New Roman"/>
    </w:rPr>
  </w:style>
  <w:style w:type="character" w:customStyle="1" w:styleId="SansinterligneCar">
    <w:name w:val="Sans interligne Car"/>
    <w:link w:val="Sansinterligne"/>
    <w:uiPriority w:val="1"/>
    <w:rsid w:val="00D80D45"/>
    <w:rPr>
      <w:rFonts w:eastAsia="Times New Roman"/>
      <w:lang w:val="fr-FR" w:eastAsia="fr-FR" w:bidi="ar-SA"/>
    </w:rPr>
  </w:style>
  <w:style w:type="paragraph" w:customStyle="1" w:styleId="NormalTCI-Normal">
    <w:name w:val="Normal.TCI-Normal"/>
    <w:rsid w:val="00D80D45"/>
    <w:pPr>
      <w:tabs>
        <w:tab w:val="left" w:pos="1134"/>
      </w:tabs>
      <w:jc w:val="both"/>
    </w:pPr>
    <w:rPr>
      <w:rFonts w:ascii="Times New Roman" w:eastAsia="Times New Roman" w:hAnsi="Times New Roman"/>
      <w:sz w:val="22"/>
    </w:rPr>
  </w:style>
  <w:style w:type="character" w:customStyle="1" w:styleId="Grillemoyenne1-Accent2Car">
    <w:name w:val="Grille moyenne 1 - Accent 2 Car"/>
    <w:basedOn w:val="Policepardfaut"/>
    <w:link w:val="Grillemoyenne1-Accent2"/>
    <w:uiPriority w:val="34"/>
    <w:locked/>
    <w:rsid w:val="00D80D45"/>
  </w:style>
  <w:style w:type="table" w:styleId="Grillemoyenne1-Accent2">
    <w:name w:val="Medium Grid 1 Accent 2"/>
    <w:basedOn w:val="TableauNormal"/>
    <w:link w:val="Grillemoyenne1-Accent2Car"/>
    <w:uiPriority w:val="34"/>
    <w:rsid w:val="00D80D4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BodyText21">
    <w:name w:val="Body Text 21"/>
    <w:basedOn w:val="Normal"/>
    <w:uiPriority w:val="99"/>
    <w:rsid w:val="00D80D45"/>
    <w:pPr>
      <w:widowControl w:val="0"/>
      <w:autoSpaceDE w:val="0"/>
      <w:autoSpaceDN w:val="0"/>
      <w:jc w:val="both"/>
    </w:pPr>
    <w:rPr>
      <w:rFonts w:ascii="Arial" w:hAnsi="Arial" w:cs="Arial"/>
      <w:sz w:val="22"/>
      <w:szCs w:val="22"/>
    </w:rPr>
  </w:style>
  <w:style w:type="paragraph" w:customStyle="1" w:styleId="ListParagraph4">
    <w:name w:val="List Paragraph_4"/>
    <w:basedOn w:val="Normal"/>
    <w:link w:val="ListParagraphChar3"/>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3">
    <w:name w:val="List Paragraph Char_3"/>
    <w:link w:val="ListParagraph4"/>
    <w:uiPriority w:val="34"/>
    <w:qFormat/>
    <w:rsid w:val="00643720"/>
    <w:rPr>
      <w:lang w:val="en-US"/>
    </w:rPr>
  </w:style>
  <w:style w:type="paragraph" w:customStyle="1" w:styleId="ListParagraph5">
    <w:name w:val="List Paragraph_5"/>
    <w:basedOn w:val="Normal"/>
    <w:link w:val="ListParagraphChar4"/>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4">
    <w:name w:val="List Paragraph Char_4"/>
    <w:link w:val="ListParagraph5"/>
    <w:uiPriority w:val="34"/>
    <w:qFormat/>
    <w:rsid w:val="00643720"/>
    <w:rPr>
      <w:lang w:val="en-US"/>
    </w:rPr>
  </w:style>
  <w:style w:type="paragraph" w:customStyle="1" w:styleId="ListParagraph6">
    <w:name w:val="List Paragraph_6"/>
    <w:basedOn w:val="Normal"/>
    <w:link w:val="ListParagraphChar5"/>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5">
    <w:name w:val="List Paragraph Char_5"/>
    <w:link w:val="ListParagraph6"/>
    <w:uiPriority w:val="34"/>
    <w:qFormat/>
    <w:rsid w:val="00643720"/>
    <w:rPr>
      <w:lang w:val="en-US"/>
    </w:rPr>
  </w:style>
  <w:style w:type="paragraph" w:customStyle="1" w:styleId="ListParagraph7">
    <w:name w:val="List Paragraph_7"/>
    <w:basedOn w:val="Normal"/>
    <w:link w:val="ListParagraphChar6"/>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6">
    <w:name w:val="List Paragraph Char_6"/>
    <w:link w:val="ListParagraph7"/>
    <w:uiPriority w:val="34"/>
    <w:qFormat/>
    <w:rsid w:val="00643720"/>
    <w:rPr>
      <w:lang w:val="en-US"/>
    </w:rPr>
  </w:style>
  <w:style w:type="paragraph" w:customStyle="1" w:styleId="ListParagraph10">
    <w:name w:val="List Paragraph_10"/>
    <w:basedOn w:val="Normal"/>
    <w:link w:val="ListParagraphChar9"/>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9">
    <w:name w:val="List Paragraph Char_9"/>
    <w:link w:val="ListParagraph10"/>
    <w:uiPriority w:val="34"/>
    <w:qFormat/>
    <w:rsid w:val="00643720"/>
    <w:rPr>
      <w:lang w:val="en-US"/>
    </w:rPr>
  </w:style>
  <w:style w:type="paragraph" w:customStyle="1" w:styleId="ListParagraph11">
    <w:name w:val="List Paragraph_11"/>
    <w:basedOn w:val="Normal"/>
    <w:link w:val="ListParagraphChar10"/>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10">
    <w:name w:val="List Paragraph Char_10"/>
    <w:link w:val="ListParagraph11"/>
    <w:uiPriority w:val="34"/>
    <w:qFormat/>
    <w:rsid w:val="00643720"/>
    <w:rPr>
      <w:lang w:val="en-US"/>
    </w:rPr>
  </w:style>
  <w:style w:type="paragraph" w:customStyle="1" w:styleId="ListParagraph12">
    <w:name w:val="List Paragraph_12"/>
    <w:basedOn w:val="Normal"/>
    <w:link w:val="ListParagraphChar11"/>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11">
    <w:name w:val="List Paragraph Char_11"/>
    <w:link w:val="ListParagraph12"/>
    <w:uiPriority w:val="34"/>
    <w:qFormat/>
    <w:rsid w:val="00643720"/>
    <w:rPr>
      <w:lang w:val="en-US"/>
    </w:rPr>
  </w:style>
  <w:style w:type="paragraph" w:customStyle="1" w:styleId="ListParagraph13">
    <w:name w:val="List Paragraph_13"/>
    <w:basedOn w:val="Normal"/>
    <w:link w:val="ListParagraphChar12"/>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12">
    <w:name w:val="List Paragraph Char_12"/>
    <w:link w:val="ListParagraph13"/>
    <w:uiPriority w:val="34"/>
    <w:qFormat/>
    <w:rsid w:val="00643720"/>
    <w:rPr>
      <w:lang w:val="en-US"/>
    </w:rPr>
  </w:style>
  <w:style w:type="paragraph" w:customStyle="1" w:styleId="ListParagraph14">
    <w:name w:val="List Paragraph_14"/>
    <w:basedOn w:val="Normal"/>
    <w:link w:val="ListParagraphChar13"/>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13">
    <w:name w:val="List Paragraph Char_13"/>
    <w:link w:val="ListParagraph14"/>
    <w:uiPriority w:val="34"/>
    <w:qFormat/>
    <w:rsid w:val="00643720"/>
    <w:rPr>
      <w:lang w:val="en-US"/>
    </w:rPr>
  </w:style>
  <w:style w:type="paragraph" w:customStyle="1" w:styleId="ListParagraph15">
    <w:name w:val="List Paragraph_15"/>
    <w:basedOn w:val="Normal"/>
    <w:link w:val="ListParagraphChar14"/>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14">
    <w:name w:val="List Paragraph Char_14"/>
    <w:link w:val="ListParagraph15"/>
    <w:uiPriority w:val="34"/>
    <w:qFormat/>
    <w:rsid w:val="00643720"/>
    <w:rPr>
      <w:lang w:val="en-US"/>
    </w:rPr>
  </w:style>
  <w:style w:type="paragraph" w:customStyle="1" w:styleId="ListParagraph17">
    <w:name w:val="List Paragraph_17"/>
    <w:basedOn w:val="Normal"/>
    <w:link w:val="ListParagraphChar16"/>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16">
    <w:name w:val="List Paragraph Char_16"/>
    <w:link w:val="ListParagraph17"/>
    <w:uiPriority w:val="34"/>
    <w:qFormat/>
    <w:rsid w:val="00643720"/>
    <w:rPr>
      <w:lang w:val="en-US"/>
    </w:rPr>
  </w:style>
  <w:style w:type="paragraph" w:customStyle="1" w:styleId="ListParagraph20">
    <w:name w:val="List Paragraph_20"/>
    <w:basedOn w:val="Normal"/>
    <w:link w:val="ListParagraphChar19"/>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19">
    <w:name w:val="List Paragraph Char_19"/>
    <w:link w:val="ListParagraph20"/>
    <w:uiPriority w:val="34"/>
    <w:qFormat/>
    <w:rsid w:val="00643720"/>
    <w:rPr>
      <w:lang w:val="en-US"/>
    </w:rPr>
  </w:style>
  <w:style w:type="paragraph" w:customStyle="1" w:styleId="ListParagraph21">
    <w:name w:val="List Paragraph_21"/>
    <w:basedOn w:val="Normal"/>
    <w:link w:val="ListParagraphChar20"/>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20">
    <w:name w:val="List Paragraph Char_20"/>
    <w:link w:val="ListParagraph21"/>
    <w:uiPriority w:val="34"/>
    <w:qFormat/>
    <w:rsid w:val="00643720"/>
    <w:rPr>
      <w:lang w:val="en-US"/>
    </w:rPr>
  </w:style>
  <w:style w:type="paragraph" w:customStyle="1" w:styleId="ListParagraph22">
    <w:name w:val="List Paragraph_22"/>
    <w:basedOn w:val="Normal"/>
    <w:link w:val="ListParagraphChar21"/>
    <w:uiPriority w:val="34"/>
    <w:qFormat/>
    <w:rsid w:val="00643720"/>
    <w:pPr>
      <w:spacing w:after="160" w:line="259" w:lineRule="auto"/>
      <w:ind w:left="720"/>
      <w:contextualSpacing/>
    </w:pPr>
    <w:rPr>
      <w:rFonts w:ascii="Calibri" w:eastAsia="Calibri" w:hAnsi="Calibri"/>
      <w:sz w:val="20"/>
      <w:szCs w:val="20"/>
    </w:rPr>
  </w:style>
  <w:style w:type="character" w:customStyle="1" w:styleId="ListParagraphChar21">
    <w:name w:val="List Paragraph Char_21"/>
    <w:link w:val="ListParagraph22"/>
    <w:uiPriority w:val="34"/>
    <w:qFormat/>
    <w:rsid w:val="00643720"/>
    <w:rPr>
      <w:lang w:val="en-US"/>
    </w:rPr>
  </w:style>
  <w:style w:type="paragraph" w:customStyle="1" w:styleId="Titre20">
    <w:name w:val="Titre2"/>
    <w:basedOn w:val="Titre2"/>
    <w:link w:val="Titre2Car0"/>
    <w:qFormat/>
    <w:rsid w:val="00C03DCF"/>
    <w:pPr>
      <w:numPr>
        <w:numId w:val="15"/>
      </w:numPr>
      <w:autoSpaceDE w:val="0"/>
      <w:autoSpaceDN w:val="0"/>
      <w:adjustRightInd w:val="0"/>
      <w:spacing w:line="240" w:lineRule="atLeast"/>
    </w:pPr>
    <w:rPr>
      <w:rFonts w:ascii="Times New Roman" w:hAnsi="Times New Roman"/>
      <w:color w:val="000000"/>
      <w:sz w:val="24"/>
      <w:szCs w:val="20"/>
    </w:rPr>
  </w:style>
  <w:style w:type="character" w:customStyle="1" w:styleId="Titre2Car0">
    <w:name w:val="Titre2 Car"/>
    <w:link w:val="Titre20"/>
    <w:rsid w:val="00C03DCF"/>
    <w:rPr>
      <w:rFonts w:ascii="Times New Roman" w:eastAsia="Times New Roman" w:hAnsi="Times New Roman" w:cs="Tahoma"/>
      <w:b/>
      <w:iCs/>
      <w:color w:val="000000"/>
      <w:kern w:val="32"/>
      <w:sz w:val="24"/>
    </w:rPr>
  </w:style>
  <w:style w:type="paragraph" w:customStyle="1" w:styleId="a">
    <w:name w:val="_"/>
    <w:basedOn w:val="Normal"/>
    <w:rsid w:val="002553C0"/>
    <w:pPr>
      <w:widowControl w:val="0"/>
      <w:ind w:left="1440" w:hanging="720"/>
      <w:jc w:val="both"/>
    </w:pPr>
    <w:rPr>
      <w:snapToGrid w:val="0"/>
      <w:szCs w:val="20"/>
    </w:rPr>
  </w:style>
  <w:style w:type="paragraph" w:customStyle="1" w:styleId="PuceN2">
    <w:name w:val="PuceN2"/>
    <w:basedOn w:val="Normal"/>
    <w:qFormat/>
    <w:rsid w:val="00BA00D0"/>
    <w:pPr>
      <w:numPr>
        <w:numId w:val="16"/>
      </w:numPr>
      <w:spacing w:after="120"/>
      <w:jc w:val="both"/>
    </w:pPr>
    <w:rPr>
      <w:rFonts w:ascii="Arial" w:hAnsi="Arial"/>
      <w:sz w:val="20"/>
      <w:szCs w:val="20"/>
      <w:lang w:val="fr-CA"/>
    </w:rPr>
  </w:style>
  <w:style w:type="paragraph" w:customStyle="1" w:styleId="style22">
    <w:name w:val="style22"/>
    <w:basedOn w:val="Normal"/>
    <w:rsid w:val="00183ADB"/>
    <w:pPr>
      <w:spacing w:before="100" w:beforeAutospacing="1" w:after="100" w:afterAutospacing="1"/>
    </w:pPr>
  </w:style>
  <w:style w:type="table" w:customStyle="1" w:styleId="TableauGrille1Clair-Accentuation11">
    <w:name w:val="Tableau Grille 1 Clair - Accentuation 11"/>
    <w:basedOn w:val="TableauNormal"/>
    <w:uiPriority w:val="46"/>
    <w:rsid w:val="004B12A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ormal2">
    <w:name w:val="Normal2"/>
    <w:basedOn w:val="Normal"/>
    <w:rsid w:val="00391F6B"/>
    <w:pPr>
      <w:tabs>
        <w:tab w:val="left" w:pos="1134"/>
      </w:tabs>
      <w:jc w:val="both"/>
    </w:pPr>
    <w:rPr>
      <w:sz w:val="23"/>
      <w:szCs w:val="20"/>
    </w:rPr>
  </w:style>
  <w:style w:type="table" w:customStyle="1" w:styleId="TableGrid1">
    <w:name w:val="Table Grid1"/>
    <w:basedOn w:val="TableauNormal"/>
    <w:next w:val="Grilledutableau"/>
    <w:uiPriority w:val="39"/>
    <w:rsid w:val="00E563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7419F0"/>
    <w:rPr>
      <w:color w:val="2B579A"/>
      <w:shd w:val="clear" w:color="auto" w:fill="E6E6E6"/>
    </w:rPr>
  </w:style>
  <w:style w:type="paragraph" w:styleId="En-ttedetabledesmatires">
    <w:name w:val="TOC Heading"/>
    <w:basedOn w:val="Titre1"/>
    <w:next w:val="Normal"/>
    <w:uiPriority w:val="39"/>
    <w:unhideWhenUsed/>
    <w:qFormat/>
    <w:rsid w:val="00A21E9E"/>
    <w:pPr>
      <w:keepLines w:val="0"/>
      <w:spacing w:before="240" w:after="60"/>
      <w:outlineLvl w:val="9"/>
    </w:pPr>
    <w:rPr>
      <w:rFonts w:ascii="Calibri Light" w:hAnsi="Calibri Light"/>
      <w:color w:val="auto"/>
      <w:kern w:val="32"/>
      <w:sz w:val="32"/>
      <w:szCs w:val="32"/>
    </w:rPr>
  </w:style>
  <w:style w:type="paragraph" w:customStyle="1" w:styleId="description">
    <w:name w:val="description"/>
    <w:basedOn w:val="Normal"/>
    <w:rsid w:val="00414C01"/>
    <w:pPr>
      <w:spacing w:before="100" w:beforeAutospacing="1" w:after="100" w:afterAutospacing="1"/>
    </w:pPr>
  </w:style>
  <w:style w:type="character" w:customStyle="1" w:styleId="shorttext">
    <w:name w:val="short_text"/>
    <w:rsid w:val="000C01C7"/>
  </w:style>
  <w:style w:type="paragraph" w:customStyle="1" w:styleId="yiv2247490504msonormal">
    <w:name w:val="yiv2247490504msonormal"/>
    <w:basedOn w:val="Normal"/>
    <w:rsid w:val="00EA511C"/>
    <w:pPr>
      <w:spacing w:before="100" w:beforeAutospacing="1" w:after="100" w:afterAutospacing="1"/>
    </w:pPr>
  </w:style>
  <w:style w:type="paragraph" w:customStyle="1" w:styleId="Style10">
    <w:name w:val="Style 1"/>
    <w:basedOn w:val="Normal"/>
    <w:uiPriority w:val="99"/>
    <w:rsid w:val="00F54992"/>
    <w:pPr>
      <w:widowControl w:val="0"/>
      <w:autoSpaceDE w:val="0"/>
      <w:autoSpaceDN w:val="0"/>
      <w:adjustRightInd w:val="0"/>
    </w:pPr>
    <w:rPr>
      <w:sz w:val="20"/>
      <w:szCs w:val="20"/>
    </w:rPr>
  </w:style>
  <w:style w:type="paragraph" w:customStyle="1" w:styleId="Style19">
    <w:name w:val="Style 19"/>
    <w:basedOn w:val="Normal"/>
    <w:uiPriority w:val="99"/>
    <w:rsid w:val="00F54992"/>
    <w:pPr>
      <w:widowControl w:val="0"/>
      <w:autoSpaceDE w:val="0"/>
      <w:autoSpaceDN w:val="0"/>
      <w:spacing w:before="108"/>
      <w:ind w:right="72"/>
      <w:jc w:val="both"/>
    </w:pPr>
    <w:rPr>
      <w:rFonts w:ascii="Helvetica" w:hAnsi="Helvetica" w:cs="Helvetica"/>
      <w:color w:val="382222"/>
      <w:sz w:val="18"/>
      <w:szCs w:val="18"/>
    </w:rPr>
  </w:style>
  <w:style w:type="character" w:customStyle="1" w:styleId="CharacterStyle1">
    <w:name w:val="Character Style 1"/>
    <w:uiPriority w:val="99"/>
    <w:rsid w:val="00F54992"/>
    <w:rPr>
      <w:sz w:val="20"/>
    </w:rPr>
  </w:style>
  <w:style w:type="paragraph" w:styleId="Listepuces2">
    <w:name w:val="List Bullet 2"/>
    <w:basedOn w:val="Normal"/>
    <w:uiPriority w:val="99"/>
    <w:unhideWhenUsed/>
    <w:rsid w:val="00697B5C"/>
    <w:pPr>
      <w:numPr>
        <w:numId w:val="18"/>
      </w:numPr>
      <w:contextualSpacing/>
    </w:pPr>
  </w:style>
  <w:style w:type="character" w:customStyle="1" w:styleId="Mentionnonrsolue1">
    <w:name w:val="Mention non résolue1"/>
    <w:uiPriority w:val="99"/>
    <w:unhideWhenUsed/>
    <w:rsid w:val="00547E79"/>
    <w:rPr>
      <w:color w:val="808080"/>
      <w:shd w:val="clear" w:color="auto" w:fill="E6E6E6"/>
    </w:rPr>
  </w:style>
  <w:style w:type="paragraph" w:customStyle="1" w:styleId="Pa2">
    <w:name w:val="Pa2"/>
    <w:basedOn w:val="Default"/>
    <w:next w:val="Default"/>
    <w:uiPriority w:val="99"/>
    <w:rsid w:val="00727C46"/>
    <w:pPr>
      <w:spacing w:line="241" w:lineRule="atLeast"/>
    </w:pPr>
    <w:rPr>
      <w:rFonts w:ascii="Arial" w:eastAsia="Calibri" w:hAnsi="Arial" w:cs="Arial"/>
      <w:color w:val="auto"/>
      <w:lang w:val="fr-FR"/>
    </w:rPr>
  </w:style>
  <w:style w:type="paragraph" w:customStyle="1" w:styleId="ec">
    <w:name w:val="ec."/>
    <w:basedOn w:val="Normal"/>
    <w:autoRedefine/>
    <w:rsid w:val="007F5449"/>
    <w:pPr>
      <w:widowControl w:val="0"/>
      <w:tabs>
        <w:tab w:val="left" w:pos="0"/>
      </w:tabs>
      <w:suppressAutoHyphens/>
      <w:spacing w:after="200" w:line="240" w:lineRule="exact"/>
      <w:ind w:left="360" w:hanging="360"/>
      <w:jc w:val="both"/>
    </w:pPr>
    <w:rPr>
      <w:rFonts w:ascii="Arial" w:eastAsia="Calibri" w:hAnsi="Arial" w:cs="Arial"/>
      <w:sz w:val="18"/>
      <w:szCs w:val="18"/>
      <w:lang w:val="fr-CA"/>
    </w:rPr>
  </w:style>
  <w:style w:type="paragraph" w:customStyle="1" w:styleId="Head41">
    <w:name w:val="Head 4.1"/>
    <w:basedOn w:val="Normal"/>
    <w:link w:val="Head41Char"/>
    <w:rsid w:val="007F5449"/>
    <w:pPr>
      <w:spacing w:after="200"/>
      <w:ind w:left="576" w:hanging="576"/>
      <w:jc w:val="center"/>
    </w:pPr>
    <w:rPr>
      <w:b/>
      <w:sz w:val="28"/>
      <w:szCs w:val="20"/>
    </w:rPr>
  </w:style>
  <w:style w:type="character" w:customStyle="1" w:styleId="Head41Char">
    <w:name w:val="Head 4.1 Char"/>
    <w:link w:val="Head41"/>
    <w:rsid w:val="007F5449"/>
    <w:rPr>
      <w:rFonts w:ascii="Times New Roman" w:eastAsia="Times New Roman" w:hAnsi="Times New Roman"/>
      <w:b/>
      <w:sz w:val="28"/>
    </w:rPr>
  </w:style>
  <w:style w:type="table" w:customStyle="1" w:styleId="TableauGrille1Clair-Accentuation111">
    <w:name w:val="Tableau Grille 1 Clair - Accentuation 111"/>
    <w:basedOn w:val="TableauNormal"/>
    <w:uiPriority w:val="46"/>
    <w:rsid w:val="006C6B9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Rvision">
    <w:name w:val="Revision"/>
    <w:hidden/>
    <w:uiPriority w:val="99"/>
    <w:semiHidden/>
    <w:rsid w:val="00F3429B"/>
    <w:rPr>
      <w:rFonts w:ascii="Times New Roman" w:eastAsia="Times New Roman" w:hAnsi="Times New Roman"/>
      <w:sz w:val="24"/>
      <w:szCs w:val="24"/>
      <w:lang w:val="en-US" w:eastAsia="en-US"/>
    </w:rPr>
  </w:style>
  <w:style w:type="character" w:customStyle="1" w:styleId="Mentionnonrsolue2">
    <w:name w:val="Mention non résolue2"/>
    <w:uiPriority w:val="99"/>
    <w:semiHidden/>
    <w:unhideWhenUsed/>
    <w:rsid w:val="003E7933"/>
    <w:rPr>
      <w:color w:val="605E5C"/>
      <w:shd w:val="clear" w:color="auto" w:fill="E1DFDD"/>
    </w:rPr>
  </w:style>
  <w:style w:type="paragraph" w:customStyle="1" w:styleId="BVIfnrCarCarCarCarCharCharCharChar">
    <w:name w:val="BVI fnr Car Car Car Car Char Char Char Char"/>
    <w:basedOn w:val="Normal"/>
    <w:uiPriority w:val="99"/>
    <w:rsid w:val="00FB391A"/>
    <w:pPr>
      <w:spacing w:before="120" w:after="160" w:line="240" w:lineRule="exact"/>
    </w:pPr>
    <w:rPr>
      <w:rFonts w:ascii="Calibri" w:eastAsia="Calibri" w:hAnsi="Calibri" w:cs="Arial"/>
      <w:sz w:val="22"/>
      <w:szCs w:val="22"/>
    </w:rPr>
  </w:style>
  <w:style w:type="paragraph" w:customStyle="1" w:styleId="Head21">
    <w:name w:val="Head 2.1"/>
    <w:basedOn w:val="Normal"/>
    <w:rsid w:val="009E52CA"/>
    <w:pPr>
      <w:suppressAutoHyphens/>
      <w:overflowPunct w:val="0"/>
      <w:autoSpaceDE w:val="0"/>
      <w:autoSpaceDN w:val="0"/>
      <w:adjustRightInd w:val="0"/>
      <w:jc w:val="center"/>
      <w:textAlignment w:val="baseline"/>
    </w:pPr>
    <w:rPr>
      <w:b/>
      <w:sz w:val="28"/>
      <w:szCs w:val="20"/>
    </w:rPr>
  </w:style>
  <w:style w:type="table" w:customStyle="1" w:styleId="mtbs1">
    <w:name w:val="mtbs1"/>
    <w:basedOn w:val="TableauNormal"/>
    <w:next w:val="Grilledutableau"/>
    <w:uiPriority w:val="39"/>
    <w:qFormat/>
    <w:rsid w:val="00E94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257DE3"/>
    <w:rPr>
      <w:color w:val="605E5C"/>
      <w:shd w:val="clear" w:color="auto" w:fill="E1DFDD"/>
    </w:rPr>
  </w:style>
  <w:style w:type="character" w:customStyle="1" w:styleId="Grillemoyenne1-Accent3Car">
    <w:name w:val="Grille moyenne 1 - Accent 3 Car"/>
    <w:link w:val="Grillemoyenne1-Accent3"/>
    <w:uiPriority w:val="1"/>
    <w:rsid w:val="00E07823"/>
    <w:rPr>
      <w:rFonts w:ascii="Arial (W1)" w:eastAsia="Calibri" w:hAnsi="Arial (W1)"/>
      <w:sz w:val="22"/>
      <w:szCs w:val="22"/>
      <w:lang w:val="en-US" w:eastAsia="en-US" w:bidi="ar-SA"/>
    </w:rPr>
  </w:style>
  <w:style w:type="table" w:styleId="Grillemoyenne1-Accent3">
    <w:name w:val="Medium Grid 1 Accent 3"/>
    <w:basedOn w:val="TableauNormal"/>
    <w:link w:val="Grillemoyenne1-Accent3Car"/>
    <w:uiPriority w:val="1"/>
    <w:semiHidden/>
    <w:unhideWhenUsed/>
    <w:rsid w:val="00E07823"/>
    <w:rPr>
      <w:rFonts w:ascii="Arial (W1)" w:hAnsi="Arial (W1)"/>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lastRow">
      <w:tblPr/>
      <w:tcPr>
        <w:tcBorders>
          <w:top w:val="single" w:sz="18" w:space="0" w:color="BBBBBB"/>
        </w:tcBorders>
      </w:tcPr>
    </w:tblStylePr>
    <w:tblStylePr w:type="band1Vert">
      <w:tblPr/>
      <w:tcPr>
        <w:shd w:val="clear" w:color="auto" w:fill="D2D2D2"/>
      </w:tcPr>
    </w:tblStylePr>
    <w:tblStylePr w:type="band1Horz">
      <w:tblPr/>
      <w:tcPr>
        <w:shd w:val="clear" w:color="auto" w:fill="D2D2D2"/>
      </w:tcPr>
    </w:tblStylePr>
  </w:style>
  <w:style w:type="paragraph" w:customStyle="1" w:styleId="head2">
    <w:name w:val="head2"/>
    <w:basedOn w:val="Paragraphedeliste"/>
    <w:qFormat/>
    <w:rsid w:val="007E5627"/>
    <w:pPr>
      <w:keepNext/>
      <w:keepLines/>
      <w:numPr>
        <w:numId w:val="19"/>
      </w:numPr>
      <w:spacing w:after="240"/>
      <w:contextualSpacing w:val="0"/>
    </w:pPr>
    <w:rPr>
      <w:rFonts w:eastAsia="Yu Mincho"/>
      <w:b/>
      <w:sz w:val="22"/>
      <w:szCs w:val="22"/>
    </w:rPr>
  </w:style>
  <w:style w:type="character" w:customStyle="1" w:styleId="fontstyle01">
    <w:name w:val="fontstyle01"/>
    <w:rsid w:val="00EE3DA8"/>
    <w:rPr>
      <w:rFonts w:ascii="TimesNewRomanPSMT" w:hAnsi="TimesNewRomanPSMT" w:hint="default"/>
      <w:b w:val="0"/>
      <w:bCs w:val="0"/>
      <w:i w:val="0"/>
      <w:iCs w:val="0"/>
      <w:color w:val="000000"/>
      <w:sz w:val="22"/>
      <w:szCs w:val="22"/>
    </w:rPr>
  </w:style>
  <w:style w:type="character" w:customStyle="1" w:styleId="fontstyle21">
    <w:name w:val="fontstyle21"/>
    <w:rsid w:val="00EE3DA8"/>
    <w:rPr>
      <w:rFonts w:ascii="TimesNewRomanPSMT" w:hAnsi="TimesNewRomanPSMT" w:hint="default"/>
      <w:b w:val="0"/>
      <w:bCs w:val="0"/>
      <w:i w:val="0"/>
      <w:iCs w:val="0"/>
      <w:color w:val="000000"/>
      <w:sz w:val="22"/>
      <w:szCs w:val="22"/>
    </w:rPr>
  </w:style>
  <w:style w:type="character" w:customStyle="1" w:styleId="hps">
    <w:name w:val="hps"/>
    <w:basedOn w:val="Policepardfaut"/>
    <w:rsid w:val="00A66E50"/>
  </w:style>
  <w:style w:type="paragraph" w:customStyle="1" w:styleId="head3">
    <w:name w:val="head3"/>
    <w:basedOn w:val="head2"/>
    <w:link w:val="head3Char"/>
    <w:qFormat/>
    <w:rsid w:val="00FF0B33"/>
    <w:pPr>
      <w:numPr>
        <w:ilvl w:val="1"/>
        <w:numId w:val="0"/>
      </w:numPr>
    </w:pPr>
    <w:rPr>
      <w:rFonts w:ascii="Times New Roman Bold" w:hAnsi="Times New Roman Bold"/>
      <w:smallCaps/>
    </w:rPr>
  </w:style>
  <w:style w:type="character" w:customStyle="1" w:styleId="head3Char">
    <w:name w:val="head3 Char"/>
    <w:link w:val="head3"/>
    <w:rsid w:val="00FF0B33"/>
    <w:rPr>
      <w:rFonts w:ascii="Times New Roman Bold" w:eastAsia="Yu Mincho" w:hAnsi="Times New Roman Bold"/>
      <w:b/>
      <w:smallCaps/>
      <w:sz w:val="22"/>
      <w:szCs w:val="22"/>
      <w:lang w:val="en-US" w:eastAsia="en-US"/>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C670B5"/>
    <w:pPr>
      <w:spacing w:line="240" w:lineRule="exact"/>
    </w:pPr>
    <w:rPr>
      <w:rFonts w:ascii="Calibri" w:eastAsia="Calibri" w:hAnsi="Calibri" w:cs="Arial"/>
      <w:sz w:val="22"/>
      <w:szCs w:val="22"/>
      <w:vertAlign w:val="superscript"/>
    </w:rPr>
  </w:style>
  <w:style w:type="paragraph" w:customStyle="1" w:styleId="Pa10">
    <w:name w:val="Pa10"/>
    <w:basedOn w:val="Default"/>
    <w:next w:val="Default"/>
    <w:uiPriority w:val="99"/>
    <w:rsid w:val="005A15A1"/>
    <w:pPr>
      <w:spacing w:line="221" w:lineRule="atLeast"/>
    </w:pPr>
    <w:rPr>
      <w:rFonts w:ascii="Georgia" w:eastAsia="Calibri" w:hAnsi="Georgia" w:cs="Arial"/>
      <w:color w:val="auto"/>
      <w:lang w:val="fr-FR"/>
    </w:rPr>
  </w:style>
  <w:style w:type="table" w:customStyle="1" w:styleId="Grilledutableau1">
    <w:name w:val="Grille du tableau1"/>
    <w:basedOn w:val="TableauNormal"/>
    <w:next w:val="Grilledutableau"/>
    <w:uiPriority w:val="39"/>
    <w:qFormat/>
    <w:rsid w:val="006E13AF"/>
    <w:rPr>
      <w:rFonts w:cs="Arial"/>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7E3657"/>
    <w:pPr>
      <w:autoSpaceDE w:val="0"/>
      <w:autoSpaceDN w:val="0"/>
      <w:adjustRightInd w:val="0"/>
      <w:spacing w:line="241" w:lineRule="atLeast"/>
    </w:pPr>
    <w:rPr>
      <w:rFonts w:ascii="Amble Lt" w:eastAsia="Calibri" w:hAnsi="Amble Lt" w:cs="Arial"/>
    </w:rPr>
  </w:style>
  <w:style w:type="character" w:customStyle="1" w:styleId="A2">
    <w:name w:val="A2"/>
    <w:uiPriority w:val="99"/>
    <w:rsid w:val="007E3657"/>
    <w:rPr>
      <w:rFonts w:ascii="Amble Lt" w:hAnsi="Amble Lt" w:cs="Amble Lt" w:hint="default"/>
      <w:color w:val="000000"/>
      <w:sz w:val="22"/>
      <w:szCs w:val="22"/>
    </w:rPr>
  </w:style>
  <w:style w:type="character" w:customStyle="1" w:styleId="A3">
    <w:name w:val="A3"/>
    <w:uiPriority w:val="99"/>
    <w:rsid w:val="007E3657"/>
    <w:rPr>
      <w:rFonts w:ascii="Amble Lt" w:hAnsi="Amble Lt" w:cs="Amble Lt" w:hint="default"/>
      <w:color w:val="000000"/>
      <w:sz w:val="12"/>
      <w:szCs w:val="12"/>
    </w:rPr>
  </w:style>
  <w:style w:type="paragraph" w:customStyle="1" w:styleId="AText">
    <w:name w:val="A_Text"/>
    <w:basedOn w:val="Normal"/>
    <w:link w:val="ATextChar"/>
    <w:qFormat/>
    <w:rsid w:val="00BE1FD0"/>
    <w:pPr>
      <w:spacing w:before="120"/>
      <w:jc w:val="both"/>
    </w:pPr>
    <w:rPr>
      <w:rFonts w:ascii="Arial" w:hAnsi="Arial" w:cs="Arial"/>
      <w:sz w:val="22"/>
      <w:szCs w:val="22"/>
      <w:lang w:val="de-DE" w:eastAsia="de-DE"/>
    </w:rPr>
  </w:style>
  <w:style w:type="character" w:customStyle="1" w:styleId="ATextChar">
    <w:name w:val="A_Text Char"/>
    <w:link w:val="AText"/>
    <w:rsid w:val="00BE1FD0"/>
    <w:rPr>
      <w:rFonts w:ascii="Arial" w:eastAsia="Times New Roman" w:hAnsi="Arial" w:cs="Arial"/>
      <w:sz w:val="22"/>
      <w:szCs w:val="22"/>
      <w:lang w:val="de-DE" w:eastAsia="de-DE"/>
    </w:rPr>
  </w:style>
  <w:style w:type="paragraph" w:customStyle="1" w:styleId="TitreInfosQualit">
    <w:name w:val="Titre Infos Qualité"/>
    <w:next w:val="Normal"/>
    <w:uiPriority w:val="99"/>
    <w:rsid w:val="00BE1FD0"/>
    <w:pPr>
      <w:spacing w:before="120" w:after="360"/>
    </w:pPr>
    <w:rPr>
      <w:rFonts w:ascii="Arial" w:eastAsia="Times New Roman" w:hAnsi="Arial"/>
      <w:color w:val="808080"/>
      <w:sz w:val="32"/>
      <w:szCs w:val="24"/>
    </w:rPr>
  </w:style>
  <w:style w:type="character" w:customStyle="1" w:styleId="ts-alignment-element">
    <w:name w:val="ts-alignment-element"/>
    <w:basedOn w:val="Policepardfaut"/>
    <w:rsid w:val="003A3FB6"/>
  </w:style>
  <w:style w:type="paragraph" w:customStyle="1" w:styleId="SS3">
    <w:name w:val="SS3"/>
    <w:basedOn w:val="Titre3"/>
    <w:link w:val="SS3Car"/>
    <w:qFormat/>
    <w:rsid w:val="00D02BF0"/>
    <w:pPr>
      <w:numPr>
        <w:numId w:val="20"/>
      </w:numPr>
    </w:pPr>
    <w:rPr>
      <w:rFonts w:ascii="Times New Roman" w:hAnsi="Times New Roman"/>
    </w:rPr>
  </w:style>
  <w:style w:type="character" w:customStyle="1" w:styleId="SS3Car">
    <w:name w:val="SS3 Car"/>
    <w:link w:val="SS3"/>
    <w:rsid w:val="00D02BF0"/>
    <w:rPr>
      <w:rFonts w:ascii="Times New Roman" w:eastAsia="Times New Roman" w:hAnsi="Times New Roman" w:cs="Arial"/>
      <w:b/>
      <w:bCs/>
      <w:sz w:val="22"/>
      <w:szCs w:val="22"/>
    </w:rPr>
  </w:style>
  <w:style w:type="character" w:styleId="Accentuation">
    <w:name w:val="Emphasis"/>
    <w:uiPriority w:val="20"/>
    <w:qFormat/>
    <w:rsid w:val="009829D7"/>
    <w:rPr>
      <w:i/>
      <w:iCs/>
    </w:rPr>
  </w:style>
  <w:style w:type="paragraph" w:customStyle="1" w:styleId="LgendeFigure">
    <w:name w:val="Légende Figure"/>
    <w:basedOn w:val="Normal"/>
    <w:link w:val="LgendeFigureCar"/>
    <w:autoRedefine/>
    <w:qFormat/>
    <w:rsid w:val="00011E8C"/>
    <w:pPr>
      <w:widowControl w:val="0"/>
      <w:tabs>
        <w:tab w:val="left" w:pos="708"/>
      </w:tabs>
      <w:ind w:right="17"/>
      <w:jc w:val="center"/>
    </w:pPr>
    <w:rPr>
      <w:rFonts w:ascii="Tahoma" w:hAnsi="Tahoma" w:cs="Tahoma"/>
      <w:b/>
      <w:bCs/>
      <w:sz w:val="22"/>
      <w:szCs w:val="22"/>
      <w:lang w:val="fr-SN"/>
    </w:rPr>
  </w:style>
  <w:style w:type="character" w:customStyle="1" w:styleId="LgendeFigureCar">
    <w:name w:val="Légende Figure Car"/>
    <w:link w:val="LgendeFigure"/>
    <w:rsid w:val="00011E8C"/>
    <w:rPr>
      <w:rFonts w:ascii="Tahoma" w:eastAsia="Times New Roman" w:hAnsi="Tahoma" w:cs="Tahoma"/>
      <w:b/>
      <w:bCs/>
      <w:sz w:val="22"/>
      <w:szCs w:val="22"/>
      <w:lang w:val="fr-SN"/>
    </w:rPr>
  </w:style>
  <w:style w:type="table" w:customStyle="1" w:styleId="TableauListe31">
    <w:name w:val="Tableau Liste 31"/>
    <w:basedOn w:val="TableauNormal"/>
    <w:next w:val="TableauListe32"/>
    <w:uiPriority w:val="48"/>
    <w:rsid w:val="008074C4"/>
    <w:pPr>
      <w:spacing w:line="300" w:lineRule="exact"/>
      <w:jc w:val="both"/>
    </w:pPr>
    <w:rPr>
      <w:rFonts w:ascii="Times New Roman" w:eastAsia="Times New Roman" w:hAnsi="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2">
    <w:name w:val="Tableau Liste 32"/>
    <w:basedOn w:val="TableauNormal"/>
    <w:uiPriority w:val="48"/>
    <w:rsid w:val="008074C4"/>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cg">
    <w:name w:val="cg"/>
    <w:basedOn w:val="Normal"/>
    <w:rsid w:val="0055401E"/>
    <w:pPr>
      <w:keepLines/>
      <w:spacing w:before="40" w:after="40"/>
    </w:pPr>
    <w:rPr>
      <w:rFonts w:ascii="Arial" w:hAnsi="Arial" w:cs="Arial"/>
      <w:sz w:val="18"/>
      <w:szCs w:val="18"/>
    </w:rPr>
  </w:style>
  <w:style w:type="table" w:customStyle="1" w:styleId="STYLEH2O">
    <w:name w:val="STYLE H2O"/>
    <w:basedOn w:val="TableauNormal"/>
    <w:uiPriority w:val="99"/>
    <w:qFormat/>
    <w:rsid w:val="00817EF3"/>
    <w:pPr>
      <w:jc w:val="center"/>
    </w:pPr>
    <w:rPr>
      <w:rFonts w:ascii="Arial Narrow" w:hAnsi="Arial Narrow" w:cs="Arial"/>
      <w:szCs w:val="22"/>
      <w:lang w:eastAsia="en-US"/>
    </w:rPr>
    <w:tblP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cPr>
      <w:vAlign w:val="center"/>
    </w:tcPr>
    <w:tblStylePr w:type="firstRow">
      <w:rPr>
        <w:rFonts w:ascii="Amble Lt" w:hAnsi="Amble Lt"/>
        <w:b/>
        <w:color w:val="FFFFFF"/>
      </w:rPr>
      <w:tblPr/>
      <w:tcPr>
        <w:tcBorders>
          <w:insideH w:val="single" w:sz="4" w:space="0" w:color="FFFFFF"/>
          <w:insideV w:val="single" w:sz="4" w:space="0" w:color="FFFFFF"/>
        </w:tcBorders>
        <w:shd w:val="clear" w:color="auto" w:fill="4472C4"/>
      </w:tcPr>
    </w:tblStylePr>
    <w:tblStylePr w:type="firstCol">
      <w:pPr>
        <w:jc w:val="center"/>
      </w:pPr>
      <w:rPr>
        <w:rFonts w:ascii="Amble Lt" w:hAnsi="Amble Lt"/>
        <w:sz w:val="20"/>
      </w:rPr>
    </w:tblStylePr>
  </w:style>
  <w:style w:type="table" w:customStyle="1" w:styleId="TableauGrille4-Accentuation61">
    <w:name w:val="Tableau Grille 4 - Accentuation 61"/>
    <w:basedOn w:val="TableauNormal"/>
    <w:uiPriority w:val="49"/>
    <w:rsid w:val="00CF6076"/>
    <w:rPr>
      <w:rFonts w:ascii="Arial" w:eastAsia="Times New Roman" w:hAnsi="Arial"/>
      <w:lang w:val="fr-SN"/>
    </w:rPr>
    <w:tblPr>
      <w:tblStyleRowBandSize w:val="1"/>
      <w:tblStyleColBandSize w:val="1"/>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rPr>
      <w:jc w:val="center"/>
    </w:trPr>
    <w:tcPr>
      <w:vAlign w:val="center"/>
    </w:tc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gendeTab">
    <w:name w:val="LégendeTab"/>
    <w:basedOn w:val="Normal"/>
    <w:link w:val="FigTextCar"/>
    <w:qFormat/>
    <w:rsid w:val="00CF6076"/>
    <w:pPr>
      <w:spacing w:before="120" w:after="120" w:line="300" w:lineRule="exact"/>
      <w:jc w:val="both"/>
    </w:pPr>
    <w:rPr>
      <w:rFonts w:ascii="Arial" w:hAnsi="Arial"/>
      <w:b/>
      <w:sz w:val="22"/>
    </w:rPr>
  </w:style>
  <w:style w:type="character" w:customStyle="1" w:styleId="FigTextCar">
    <w:name w:val="FigText Car"/>
    <w:link w:val="LgendeTab"/>
    <w:rsid w:val="00CF6076"/>
    <w:rPr>
      <w:rFonts w:ascii="Arial" w:eastAsia="Times New Roman" w:hAnsi="Arial"/>
      <w:b/>
      <w:sz w:val="22"/>
      <w:szCs w:val="24"/>
      <w:lang w:eastAsia="en-US"/>
    </w:rPr>
  </w:style>
  <w:style w:type="paragraph" w:customStyle="1" w:styleId="BoulletsR1">
    <w:name w:val="BoulletsR1"/>
    <w:basedOn w:val="Normal"/>
    <w:qFormat/>
    <w:rsid w:val="00CF6076"/>
    <w:pPr>
      <w:widowControl w:val="0"/>
      <w:numPr>
        <w:numId w:val="21"/>
      </w:numPr>
      <w:tabs>
        <w:tab w:val="num" w:pos="426"/>
      </w:tabs>
      <w:spacing w:before="80" w:line="300" w:lineRule="exact"/>
      <w:jc w:val="both"/>
    </w:pPr>
    <w:rPr>
      <w:rFonts w:ascii="Arial" w:hAnsi="Arial" w:cs="Arial"/>
      <w:sz w:val="22"/>
      <w:szCs w:val="22"/>
      <w:lang w:val="fr-CA"/>
    </w:rPr>
  </w:style>
  <w:style w:type="paragraph" w:customStyle="1" w:styleId="Textepieddepagegauche">
    <w:name w:val="Texte pied de page gauche"/>
    <w:uiPriority w:val="99"/>
    <w:rsid w:val="006A74AC"/>
    <w:pPr>
      <w:tabs>
        <w:tab w:val="right" w:pos="8222"/>
      </w:tabs>
    </w:pPr>
    <w:rPr>
      <w:rFonts w:ascii="Arial Narrow" w:eastAsia="Times New Roman" w:hAnsi="Arial Narrow" w:cs="Arial"/>
      <w:color w:val="808080"/>
      <w:sz w:val="18"/>
      <w:szCs w:val="24"/>
    </w:rPr>
  </w:style>
  <w:style w:type="character" w:customStyle="1" w:styleId="fontstyle31">
    <w:name w:val="fontstyle31"/>
    <w:rsid w:val="001A360E"/>
    <w:rPr>
      <w:rFonts w:ascii="Calibri" w:hAnsi="Calibri" w:cs="Calibri" w:hint="default"/>
      <w:b/>
      <w:bCs/>
      <w:i w:val="0"/>
      <w:iCs w:val="0"/>
      <w:color w:val="000000"/>
      <w:sz w:val="22"/>
      <w:szCs w:val="22"/>
    </w:rPr>
  </w:style>
  <w:style w:type="paragraph" w:customStyle="1" w:styleId="TextMamelles">
    <w:name w:val="Text Mamelles"/>
    <w:basedOn w:val="Normal"/>
    <w:link w:val="TextMamellesChar"/>
    <w:qFormat/>
    <w:rsid w:val="003372AD"/>
    <w:pPr>
      <w:spacing w:before="120" w:after="160"/>
      <w:jc w:val="both"/>
    </w:pPr>
    <w:rPr>
      <w:rFonts w:ascii="Calibri" w:eastAsia="Calibri" w:hAnsi="Calibri"/>
      <w:kern w:val="2"/>
      <w:sz w:val="22"/>
      <w:szCs w:val="22"/>
      <w:lang w:eastAsia="ja-JP"/>
    </w:rPr>
  </w:style>
  <w:style w:type="character" w:customStyle="1" w:styleId="TextMamellesChar">
    <w:name w:val="Text Mamelles Char"/>
    <w:link w:val="TextMamelles"/>
    <w:rsid w:val="003372AD"/>
    <w:rPr>
      <w:kern w:val="2"/>
      <w:sz w:val="22"/>
      <w:szCs w:val="22"/>
      <w:lang w:eastAsia="ja-JP"/>
    </w:rPr>
  </w:style>
  <w:style w:type="paragraph" w:customStyle="1" w:styleId="BulletsMamelles">
    <w:name w:val="Bullets Mamelles"/>
    <w:basedOn w:val="TextMamelles"/>
    <w:qFormat/>
    <w:rsid w:val="003372AD"/>
    <w:pPr>
      <w:numPr>
        <w:numId w:val="23"/>
      </w:numPr>
      <w:spacing w:before="0" w:after="40"/>
    </w:pPr>
  </w:style>
  <w:style w:type="table" w:customStyle="1" w:styleId="Grilledutableau11">
    <w:name w:val="Grille du tableau11"/>
    <w:basedOn w:val="TableauNormal"/>
    <w:next w:val="Grilledutableau"/>
    <w:uiPriority w:val="39"/>
    <w:qFormat/>
    <w:rsid w:val="00781597"/>
    <w:rPr>
      <w:rFonts w:cs="Arial"/>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3">
    <w:name w:val="List Bullet 3"/>
    <w:basedOn w:val="Normal"/>
    <w:rsid w:val="003D5009"/>
    <w:pPr>
      <w:numPr>
        <w:numId w:val="24"/>
      </w:numPr>
      <w:spacing w:before="120" w:after="120"/>
      <w:jc w:val="both"/>
    </w:pPr>
    <w:rPr>
      <w:sz w:val="22"/>
      <w:szCs w:val="22"/>
    </w:rPr>
  </w:style>
  <w:style w:type="paragraph" w:customStyle="1" w:styleId="Pa0">
    <w:name w:val="Pa0"/>
    <w:basedOn w:val="Default"/>
    <w:next w:val="Default"/>
    <w:uiPriority w:val="99"/>
    <w:rsid w:val="003C3325"/>
    <w:pPr>
      <w:spacing w:line="221" w:lineRule="atLeast"/>
    </w:pPr>
    <w:rPr>
      <w:rFonts w:ascii="Georgia" w:eastAsia="Calibri" w:hAnsi="Georgia"/>
      <w:color w:val="auto"/>
      <w:lang w:val="fr-FR" w:eastAsia="fr-FR"/>
    </w:rPr>
  </w:style>
  <w:style w:type="character" w:customStyle="1" w:styleId="Mentionnonrsolue3">
    <w:name w:val="Mention non résolue3"/>
    <w:uiPriority w:val="99"/>
    <w:semiHidden/>
    <w:unhideWhenUsed/>
    <w:rsid w:val="00692297"/>
    <w:rPr>
      <w:color w:val="605E5C"/>
      <w:shd w:val="clear" w:color="auto" w:fill="E1DFDD"/>
    </w:rPr>
  </w:style>
  <w:style w:type="character" w:customStyle="1" w:styleId="Mentionnonrsolue4">
    <w:name w:val="Mention non résolue4"/>
    <w:uiPriority w:val="99"/>
    <w:semiHidden/>
    <w:unhideWhenUsed/>
    <w:rsid w:val="009E2282"/>
    <w:rPr>
      <w:color w:val="605E5C"/>
      <w:shd w:val="clear" w:color="auto" w:fill="E1DFDD"/>
    </w:rPr>
  </w:style>
  <w:style w:type="character" w:customStyle="1" w:styleId="Mentionnonrsolue5">
    <w:name w:val="Mention non résolue5"/>
    <w:uiPriority w:val="99"/>
    <w:semiHidden/>
    <w:unhideWhenUsed/>
    <w:rsid w:val="009418CB"/>
    <w:rPr>
      <w:color w:val="605E5C"/>
      <w:shd w:val="clear" w:color="auto" w:fill="E1DFDD"/>
    </w:rPr>
  </w:style>
  <w:style w:type="character" w:customStyle="1" w:styleId="fontstyle41">
    <w:name w:val="fontstyle41"/>
    <w:rsid w:val="00171016"/>
    <w:rPr>
      <w:rFonts w:ascii="ArialNarrow" w:hAnsi="ArialNarrow" w:hint="default"/>
      <w:b w:val="0"/>
      <w:bCs w:val="0"/>
      <w:i w:val="0"/>
      <w:iCs w:val="0"/>
      <w:color w:val="000000"/>
      <w:sz w:val="22"/>
      <w:szCs w:val="22"/>
    </w:rPr>
  </w:style>
  <w:style w:type="table" w:customStyle="1" w:styleId="Grilledutableau4">
    <w:name w:val="Grille du tableau4"/>
    <w:basedOn w:val="TableauNormal"/>
    <w:next w:val="Grilledutableau"/>
    <w:uiPriority w:val="59"/>
    <w:rsid w:val="0056679F"/>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6">
    <w:name w:val="Mention non résolue6"/>
    <w:uiPriority w:val="99"/>
    <w:semiHidden/>
    <w:unhideWhenUsed/>
    <w:rsid w:val="006B47B5"/>
    <w:rPr>
      <w:color w:val="605E5C"/>
      <w:shd w:val="clear" w:color="auto" w:fill="E1DFDD"/>
    </w:rPr>
  </w:style>
  <w:style w:type="paragraph" w:customStyle="1" w:styleId="text">
    <w:name w:val="text"/>
    <w:basedOn w:val="Normal"/>
    <w:rsid w:val="00CD4573"/>
    <w:pPr>
      <w:spacing w:before="100" w:beforeAutospacing="1" w:after="100" w:afterAutospacing="1"/>
    </w:pPr>
  </w:style>
  <w:style w:type="character" w:customStyle="1" w:styleId="fontstyle11">
    <w:name w:val="fontstyle11"/>
    <w:rsid w:val="002E4625"/>
    <w:rPr>
      <w:rFonts w:ascii="Calibri-Bold" w:hAnsi="Calibri-Bold" w:hint="default"/>
      <w:b/>
      <w:bCs/>
      <w:i w:val="0"/>
      <w:iCs w:val="0"/>
      <w:color w:val="000000"/>
      <w:sz w:val="22"/>
      <w:szCs w:val="22"/>
    </w:rPr>
  </w:style>
  <w:style w:type="character" w:customStyle="1" w:styleId="Mentionnonrsolue7">
    <w:name w:val="Mention non résolue7"/>
    <w:uiPriority w:val="99"/>
    <w:semiHidden/>
    <w:unhideWhenUsed/>
    <w:rsid w:val="00CE532F"/>
    <w:rPr>
      <w:color w:val="605E5C"/>
      <w:shd w:val="clear" w:color="auto" w:fill="E1DFDD"/>
    </w:rPr>
  </w:style>
  <w:style w:type="table" w:customStyle="1" w:styleId="Grilledutableau3">
    <w:name w:val="Grille du tableau3"/>
    <w:basedOn w:val="TableauNormal"/>
    <w:next w:val="Grilledutableau"/>
    <w:uiPriority w:val="59"/>
    <w:rsid w:val="00804E83"/>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804E83"/>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Normal"/>
    <w:link w:val="NumberedParagraphChar"/>
    <w:qFormat/>
    <w:rsid w:val="005470AB"/>
    <w:pPr>
      <w:numPr>
        <w:numId w:val="69"/>
      </w:numPr>
      <w:tabs>
        <w:tab w:val="left" w:pos="0"/>
      </w:tabs>
      <w:spacing w:after="240" w:line="259" w:lineRule="auto"/>
    </w:pPr>
    <w:rPr>
      <w:rFonts w:ascii="Calibri" w:eastAsia="Calibri" w:hAnsi="Calibri" w:cs="Calibri"/>
      <w:color w:val="212121"/>
      <w:sz w:val="22"/>
      <w:szCs w:val="22"/>
      <w:shd w:val="clear" w:color="auto" w:fill="FFFFFF"/>
    </w:rPr>
  </w:style>
  <w:style w:type="character" w:customStyle="1" w:styleId="NumberedParagraphChar">
    <w:name w:val="Numbered Paragraph Char"/>
    <w:link w:val="NumberedParagraph"/>
    <w:locked/>
    <w:rsid w:val="005470AB"/>
    <w:rPr>
      <w:rFonts w:cs="Calibri"/>
      <w:color w:val="212121"/>
      <w:sz w:val="22"/>
      <w:szCs w:val="22"/>
    </w:rPr>
  </w:style>
  <w:style w:type="paragraph" w:customStyle="1" w:styleId="BulletList">
    <w:name w:val="Bullet List"/>
    <w:basedOn w:val="Paragraphedeliste"/>
    <w:link w:val="BulletListChar"/>
    <w:qFormat/>
    <w:rsid w:val="005470AB"/>
    <w:pPr>
      <w:numPr>
        <w:ilvl w:val="1"/>
        <w:numId w:val="69"/>
      </w:numPr>
      <w:spacing w:after="200" w:line="259" w:lineRule="auto"/>
      <w:contextualSpacing w:val="0"/>
    </w:pPr>
    <w:rPr>
      <w:rFonts w:ascii="Calibri" w:eastAsia="Calibri" w:hAnsi="Calibri" w:cs="Calibri"/>
      <w:bCs/>
      <w:sz w:val="22"/>
      <w:szCs w:val="22"/>
    </w:rPr>
  </w:style>
  <w:style w:type="character" w:customStyle="1" w:styleId="BulletListChar">
    <w:name w:val="Bullet List Char"/>
    <w:link w:val="BulletList"/>
    <w:rsid w:val="005470AB"/>
    <w:rPr>
      <w:rFonts w:cs="Calibri"/>
      <w:bCs/>
      <w:sz w:val="22"/>
      <w:szCs w:val="22"/>
    </w:rPr>
  </w:style>
  <w:style w:type="paragraph" w:customStyle="1" w:styleId="Bullet-Indent">
    <w:name w:val="Bullet - Indent"/>
    <w:basedOn w:val="BulletList"/>
    <w:qFormat/>
    <w:rsid w:val="005470AB"/>
    <w:pPr>
      <w:numPr>
        <w:ilvl w:val="2"/>
      </w:numPr>
      <w:ind w:left="2160" w:hanging="360"/>
    </w:pPr>
  </w:style>
  <w:style w:type="character" w:customStyle="1" w:styleId="A7">
    <w:name w:val="A7"/>
    <w:uiPriority w:val="99"/>
    <w:rsid w:val="006D60B0"/>
    <w:rPr>
      <w:rFonts w:cs="Adobe Garamond Pro"/>
      <w:color w:val="000000"/>
      <w:sz w:val="22"/>
      <w:szCs w:val="22"/>
    </w:rPr>
  </w:style>
  <w:style w:type="character" w:customStyle="1" w:styleId="highlight">
    <w:name w:val="highlight"/>
    <w:basedOn w:val="Policepardfaut"/>
    <w:rsid w:val="006D60B0"/>
  </w:style>
  <w:style w:type="paragraph" w:styleId="Explorateurdedocuments">
    <w:name w:val="Document Map"/>
    <w:basedOn w:val="Normal"/>
    <w:link w:val="ExplorateurdedocumentsCar"/>
    <w:uiPriority w:val="99"/>
    <w:semiHidden/>
    <w:unhideWhenUsed/>
    <w:rsid w:val="006D60B0"/>
    <w:rPr>
      <w:rFonts w:eastAsia="Calibri"/>
    </w:rPr>
  </w:style>
  <w:style w:type="character" w:customStyle="1" w:styleId="ExplorateurdedocumentsCar">
    <w:name w:val="Explorateur de documents Car"/>
    <w:link w:val="Explorateurdedocuments"/>
    <w:uiPriority w:val="99"/>
    <w:semiHidden/>
    <w:rsid w:val="006D60B0"/>
    <w:rPr>
      <w:rFonts w:ascii="Times New Roman" w:eastAsia="Calibri" w:hAnsi="Times New Roman"/>
      <w:sz w:val="24"/>
      <w:szCs w:val="24"/>
      <w:lang w:val="en-US" w:eastAsia="en-US"/>
    </w:rPr>
  </w:style>
  <w:style w:type="paragraph" w:customStyle="1" w:styleId="Niv7">
    <w:name w:val="Niv7"/>
    <w:basedOn w:val="Normal"/>
    <w:autoRedefine/>
    <w:qFormat/>
    <w:rsid w:val="006F587A"/>
    <w:pPr>
      <w:autoSpaceDE w:val="0"/>
      <w:autoSpaceDN w:val="0"/>
      <w:adjustRightInd w:val="0"/>
      <w:spacing w:line="276" w:lineRule="auto"/>
      <w:jc w:val="both"/>
    </w:pPr>
    <w:rPr>
      <w:rFonts w:ascii="Arial" w:hAnsi="Arial" w:cs="Arial"/>
      <w:color w:val="000000"/>
      <w:sz w:val="20"/>
      <w:szCs w:val="22"/>
    </w:rPr>
  </w:style>
  <w:style w:type="paragraph" w:customStyle="1" w:styleId="Niv6">
    <w:name w:val="Niv6"/>
    <w:basedOn w:val="Normal"/>
    <w:qFormat/>
    <w:rsid w:val="006F587A"/>
    <w:pPr>
      <w:autoSpaceDE w:val="0"/>
      <w:autoSpaceDN w:val="0"/>
      <w:adjustRightInd w:val="0"/>
      <w:spacing w:before="60" w:line="276" w:lineRule="auto"/>
      <w:jc w:val="both"/>
    </w:pPr>
    <w:rPr>
      <w:rFonts w:ascii="Arial" w:hAnsi="Arial" w:cs="Arial"/>
      <w:color w:val="000000"/>
      <w:sz w:val="22"/>
      <w:szCs w:val="22"/>
    </w:rPr>
  </w:style>
  <w:style w:type="paragraph" w:customStyle="1" w:styleId="Niv60">
    <w:name w:val="Niv6+"/>
    <w:basedOn w:val="Normal"/>
    <w:qFormat/>
    <w:rsid w:val="006F587A"/>
    <w:pPr>
      <w:spacing w:before="60" w:line="276" w:lineRule="auto"/>
      <w:jc w:val="both"/>
    </w:pPr>
    <w:rPr>
      <w:rFonts w:ascii="Arial" w:hAnsi="Arial" w:cs="Arial"/>
      <w:color w:val="4472C4"/>
      <w:sz w:val="22"/>
      <w:szCs w:val="22"/>
    </w:rPr>
  </w:style>
  <w:style w:type="paragraph" w:customStyle="1" w:styleId="Niv5-Tireta">
    <w:name w:val="Niv5-Tiret.a+"/>
    <w:basedOn w:val="Normal"/>
    <w:qFormat/>
    <w:rsid w:val="006F587A"/>
    <w:pPr>
      <w:numPr>
        <w:numId w:val="96"/>
      </w:numPr>
      <w:spacing w:before="60" w:after="60" w:line="276" w:lineRule="auto"/>
      <w:contextualSpacing/>
      <w:jc w:val="both"/>
    </w:pPr>
    <w:rPr>
      <w:rFonts w:ascii="Arial" w:hAnsi="Arial" w:cs="Arial"/>
      <w:color w:val="4472C4"/>
      <w:sz w:val="22"/>
      <w:szCs w:val="22"/>
    </w:rPr>
  </w:style>
  <w:style w:type="paragraph" w:customStyle="1" w:styleId="Niv5-Tireta0">
    <w:name w:val="Niv5-Tiret.a"/>
    <w:basedOn w:val="Normal"/>
    <w:autoRedefine/>
    <w:qFormat/>
    <w:rsid w:val="006F587A"/>
    <w:pPr>
      <w:numPr>
        <w:numId w:val="97"/>
      </w:numPr>
      <w:spacing w:before="60" w:after="60" w:line="276" w:lineRule="auto"/>
      <w:contextualSpacing/>
      <w:jc w:val="both"/>
    </w:pPr>
    <w:rPr>
      <w:rFonts w:ascii="Arial" w:hAnsi="Arial" w:cs="Arial"/>
      <w:sz w:val="22"/>
      <w:szCs w:val="22"/>
    </w:rPr>
  </w:style>
  <w:style w:type="character" w:customStyle="1" w:styleId="dflfde">
    <w:name w:val="dflfde"/>
    <w:basedOn w:val="Policepardfaut"/>
    <w:rsid w:val="00875861"/>
  </w:style>
  <w:style w:type="character" w:customStyle="1" w:styleId="mwvive">
    <w:name w:val="mwvive"/>
    <w:basedOn w:val="Policepardfaut"/>
    <w:rsid w:val="00875861"/>
  </w:style>
  <w:style w:type="character" w:customStyle="1" w:styleId="Mentionnonrsolue8">
    <w:name w:val="Mention non résolue8"/>
    <w:uiPriority w:val="99"/>
    <w:semiHidden/>
    <w:unhideWhenUsed/>
    <w:rsid w:val="00AE4F2A"/>
    <w:rPr>
      <w:color w:val="605E5C"/>
      <w:shd w:val="clear" w:color="auto" w:fill="E1DFDD"/>
    </w:rPr>
  </w:style>
  <w:style w:type="character" w:customStyle="1" w:styleId="Mentionnonrsolue9">
    <w:name w:val="Mention non résolue9"/>
    <w:uiPriority w:val="99"/>
    <w:semiHidden/>
    <w:unhideWhenUsed/>
    <w:rsid w:val="00DC5FFD"/>
    <w:rPr>
      <w:color w:val="605E5C"/>
      <w:shd w:val="clear" w:color="auto" w:fill="E1DFDD"/>
    </w:rPr>
  </w:style>
  <w:style w:type="paragraph" w:customStyle="1" w:styleId="rtejustify">
    <w:name w:val="rtejustify"/>
    <w:basedOn w:val="Normal"/>
    <w:rsid w:val="00A37910"/>
    <w:pPr>
      <w:spacing w:before="100" w:beforeAutospacing="1" w:after="100" w:afterAutospacing="1"/>
    </w:pPr>
    <w:rPr>
      <w:lang w:val="fr-SN" w:eastAsia="fr-SN"/>
    </w:rPr>
  </w:style>
  <w:style w:type="character" w:customStyle="1" w:styleId="Mentionnonrsolue10">
    <w:name w:val="Mention non résolue10"/>
    <w:uiPriority w:val="99"/>
    <w:semiHidden/>
    <w:unhideWhenUsed/>
    <w:rsid w:val="00C17BFB"/>
    <w:rPr>
      <w:color w:val="605E5C"/>
      <w:shd w:val="clear" w:color="auto" w:fill="E1DFDD"/>
    </w:rPr>
  </w:style>
  <w:style w:type="paragraph" w:customStyle="1" w:styleId="Puceetretraitniveau01">
    <w:name w:val="Puce et retrait niveau 01"/>
    <w:basedOn w:val="Normal"/>
    <w:rsid w:val="00B62F49"/>
    <w:pPr>
      <w:numPr>
        <w:numId w:val="102"/>
      </w:numPr>
      <w:spacing w:before="120" w:line="288" w:lineRule="auto"/>
      <w:jc w:val="both"/>
    </w:pPr>
    <w:rPr>
      <w:rFonts w:ascii="Arial" w:hAnsi="Arial"/>
      <w:sz w:val="22"/>
    </w:rPr>
  </w:style>
  <w:style w:type="table" w:customStyle="1" w:styleId="TableauGrille2-Accentuation51">
    <w:name w:val="Tableau Grille 2 - Accentuation 51"/>
    <w:basedOn w:val="TableauNormal"/>
    <w:uiPriority w:val="47"/>
    <w:rsid w:val="00F20D4D"/>
    <w:rPr>
      <w:rFonts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GSTableBasic11">
    <w:name w:val="SGS Table Basic 11"/>
    <w:basedOn w:val="TableauNormal"/>
    <w:next w:val="Grilledutableau"/>
    <w:uiPriority w:val="39"/>
    <w:qFormat/>
    <w:rsid w:val="007523D8"/>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
    <w:name w:val="SGS Table Basic 13"/>
    <w:basedOn w:val="TableauNormal"/>
    <w:next w:val="Grilledutableau"/>
    <w:uiPriority w:val="39"/>
    <w:qFormat/>
    <w:rsid w:val="007523D8"/>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4">
    <w:name w:val="SGS Table Basic 14"/>
    <w:basedOn w:val="TableauNormal"/>
    <w:next w:val="Grilledutableau"/>
    <w:uiPriority w:val="39"/>
    <w:qFormat/>
    <w:rsid w:val="007523D8"/>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2">
    <w:name w:val="SGS Table Basic 112"/>
    <w:basedOn w:val="TableauNormal"/>
    <w:next w:val="Grilledutableau"/>
    <w:uiPriority w:val="39"/>
    <w:qFormat/>
    <w:rsid w:val="007523D8"/>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3">
    <w:name w:val="SGS Table Basic 113"/>
    <w:basedOn w:val="TableauNormal"/>
    <w:next w:val="Grilledutableau"/>
    <w:uiPriority w:val="39"/>
    <w:qFormat/>
    <w:rsid w:val="007523D8"/>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4">
    <w:name w:val="SGS Table Basic 114"/>
    <w:basedOn w:val="TableauNormal"/>
    <w:next w:val="Grilledutableau"/>
    <w:uiPriority w:val="39"/>
    <w:qFormat/>
    <w:rsid w:val="007523D8"/>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5">
    <w:name w:val="SGS Table Basic 15"/>
    <w:basedOn w:val="TableauNormal"/>
    <w:next w:val="Grilledutableau"/>
    <w:uiPriority w:val="39"/>
    <w:qFormat/>
    <w:rsid w:val="007523D8"/>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7523D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redenotedebasdepage">
    <w:name w:val="Ancre de note de bas de page"/>
    <w:rsid w:val="00477A61"/>
    <w:rPr>
      <w:vertAlign w:val="superscript"/>
    </w:rPr>
  </w:style>
  <w:style w:type="character" w:customStyle="1" w:styleId="Caractresdenotedebasdepage">
    <w:name w:val="Caractères de note de bas de page"/>
    <w:qFormat/>
    <w:rsid w:val="00477A61"/>
  </w:style>
  <w:style w:type="paragraph" w:customStyle="1" w:styleId="Notedebasdepage1">
    <w:name w:val="Note de bas de page1"/>
    <w:basedOn w:val="Normal"/>
    <w:uiPriority w:val="99"/>
    <w:qFormat/>
    <w:rsid w:val="00477A61"/>
    <w:pPr>
      <w:suppressAutoHyphens/>
    </w:pPr>
    <w:rPr>
      <w:sz w:val="20"/>
      <w:szCs w:val="20"/>
      <w:lang w:val="en-GB" w:eastAsia="en-GB"/>
    </w:rPr>
  </w:style>
  <w:style w:type="character" w:customStyle="1" w:styleId="NotedebasdepageCar1">
    <w:name w:val="Note de bas de page Car1"/>
    <w:aliases w:val="Footnote Car1,Footnote Text Char2 Char Car1,Footnote Text Char Char1 Char1 Car1,Footnote Text Char1 Char Char Char1 Car1,Footnote Text Char Char Char Char Char Car1,Footnote Text Char1 Char1 Char Car1,single space Car1,fn Car1"/>
    <w:uiPriority w:val="99"/>
    <w:rsid w:val="00477A61"/>
    <w:rPr>
      <w:sz w:val="20"/>
      <w:szCs w:val="20"/>
    </w:rPr>
  </w:style>
  <w:style w:type="paragraph" w:customStyle="1" w:styleId="ta">
    <w:name w:val="ta"/>
    <w:basedOn w:val="Normal"/>
    <w:next w:val="Normal"/>
    <w:rsid w:val="00477A61"/>
    <w:pPr>
      <w:keepNext/>
      <w:keepLines/>
      <w:numPr>
        <w:numId w:val="104"/>
      </w:numPr>
      <w:tabs>
        <w:tab w:val="clear" w:pos="644"/>
      </w:tabs>
      <w:spacing w:before="240" w:after="1080"/>
      <w:ind w:left="0" w:firstLine="0"/>
      <w:jc w:val="center"/>
    </w:pPr>
    <w:rPr>
      <w:rFonts w:ascii="Arial" w:hAnsi="Arial" w:cs="Arial"/>
      <w:b/>
      <w:bCs/>
      <w:caps/>
      <w:sz w:val="32"/>
      <w:szCs w:val="32"/>
    </w:rPr>
  </w:style>
  <w:style w:type="paragraph" w:customStyle="1" w:styleId="Nomal">
    <w:name w:val="Nomal"/>
    <w:basedOn w:val="Normal"/>
    <w:link w:val="NomalCar"/>
    <w:autoRedefine/>
    <w:qFormat/>
    <w:rsid w:val="00477A61"/>
    <w:pPr>
      <w:jc w:val="both"/>
    </w:pPr>
    <w:rPr>
      <w:rFonts w:ascii="Arial" w:eastAsia="SimSun" w:hAnsi="Arial" w:cs="Arial"/>
      <w:sz w:val="20"/>
      <w:szCs w:val="20"/>
      <w:lang w:eastAsia="en-US"/>
    </w:rPr>
  </w:style>
  <w:style w:type="character" w:customStyle="1" w:styleId="NomalCar">
    <w:name w:val="Nomal Car"/>
    <w:link w:val="Nomal"/>
    <w:rsid w:val="00477A61"/>
    <w:rPr>
      <w:rFonts w:ascii="Arial" w:eastAsia="SimSun" w:hAnsi="Arial" w:cs="Arial"/>
      <w:lang w:eastAsia="en-US"/>
    </w:rPr>
  </w:style>
  <w:style w:type="character" w:customStyle="1" w:styleId="En-tteCar1">
    <w:name w:val="En-tête Car1"/>
    <w:aliases w:val="Kopfzeile (IL) Car1"/>
    <w:basedOn w:val="Policepardfaut"/>
    <w:rsid w:val="00477A61"/>
  </w:style>
  <w:style w:type="paragraph" w:customStyle="1" w:styleId="AberschriftohneNr">
    <w:name w:val="A_Überschrift ohne Nr"/>
    <w:basedOn w:val="Titre1"/>
    <w:next w:val="AText"/>
    <w:autoRedefine/>
    <w:rsid w:val="00477A61"/>
    <w:pPr>
      <w:tabs>
        <w:tab w:val="left" w:pos="567"/>
      </w:tabs>
      <w:autoSpaceDE w:val="0"/>
      <w:autoSpaceDN w:val="0"/>
      <w:adjustRightInd w:val="0"/>
      <w:spacing w:before="0" w:after="360"/>
      <w:jc w:val="both"/>
    </w:pPr>
    <w:rPr>
      <w:rFonts w:ascii="Arial" w:hAnsi="Arial" w:cs="Arial"/>
      <w:b w:val="0"/>
      <w:i/>
      <w:color w:val="auto"/>
      <w:sz w:val="22"/>
      <w:szCs w:val="22"/>
      <w:lang w:eastAsia="de-DE"/>
    </w:rPr>
  </w:style>
  <w:style w:type="paragraph" w:customStyle="1" w:styleId="BVIfnrCarCarCarCarCarCar">
    <w:name w:val="BVI fnr Car Car Car Car Car Car"/>
    <w:aliases w:val="BVI fnr Car Car Car Car1 Car Car Car Car,BVI fnr Car Car Car Car Car Car Car,BVI fnr Car Car Car Car Car Car Car Car Car Car,BVI fnr Car Car Car Car Char Car Car Car Car Car Car Car,BVI fnr Car Car,BVI fnr Car"/>
    <w:basedOn w:val="Normal"/>
    <w:next w:val="Normal"/>
    <w:uiPriority w:val="99"/>
    <w:rsid w:val="00477A61"/>
    <w:pPr>
      <w:spacing w:after="160" w:line="240" w:lineRule="exact"/>
    </w:pPr>
    <w:rPr>
      <w:rFonts w:ascii="Calibri" w:eastAsia="Calibri" w:hAnsi="Calibri" w:cs="Arial"/>
      <w:sz w:val="22"/>
      <w:szCs w:val="22"/>
      <w:vertAlign w:val="superscript"/>
      <w:lang w:val="en-US" w:eastAsia="en-US"/>
    </w:rPr>
  </w:style>
  <w:style w:type="paragraph" w:customStyle="1" w:styleId="Stylefigure">
    <w:name w:val="Stylefigure"/>
    <w:basedOn w:val="Normal"/>
    <w:next w:val="Normal"/>
    <w:link w:val="StylefigureCar"/>
    <w:qFormat/>
    <w:rsid w:val="00477A61"/>
    <w:pPr>
      <w:spacing w:before="120" w:after="120" w:line="300" w:lineRule="exact"/>
      <w:jc w:val="center"/>
    </w:pPr>
    <w:rPr>
      <w:rFonts w:ascii="Arial" w:hAnsi="Arial" w:cs="Arial"/>
      <w:bCs/>
      <w:color w:val="0E05BB"/>
      <w:sz w:val="18"/>
      <w:szCs w:val="18"/>
      <w:lang w:val="fr-CA" w:eastAsia="en-US"/>
    </w:rPr>
  </w:style>
  <w:style w:type="character" w:customStyle="1" w:styleId="StylefigureCar">
    <w:name w:val="Stylefigure Car"/>
    <w:link w:val="Stylefigure"/>
    <w:rsid w:val="00477A61"/>
    <w:rPr>
      <w:rFonts w:ascii="Arial" w:eastAsia="Times New Roman" w:hAnsi="Arial" w:cs="Arial"/>
      <w:bCs/>
      <w:color w:val="0E05BB"/>
      <w:sz w:val="18"/>
      <w:szCs w:val="18"/>
      <w:lang w:val="fr-CA" w:eastAsia="en-US"/>
    </w:rPr>
  </w:style>
  <w:style w:type="paragraph" w:customStyle="1" w:styleId="BulletFat">
    <w:name w:val="Bullet Fat"/>
    <w:basedOn w:val="Normal"/>
    <w:qFormat/>
    <w:rsid w:val="00477A61"/>
    <w:pPr>
      <w:numPr>
        <w:numId w:val="105"/>
      </w:numPr>
    </w:pPr>
    <w:rPr>
      <w:rFonts w:ascii="Arial" w:hAnsi="Arial" w:cs="Arial"/>
      <w:b/>
      <w:bCs/>
      <w:sz w:val="22"/>
      <w:szCs w:val="22"/>
    </w:rPr>
  </w:style>
  <w:style w:type="paragraph" w:customStyle="1" w:styleId="ps">
    <w:name w:val="ps"/>
    <w:aliases w:val="heading 3,heading,TITRE 33 + Times New Roman,12 pt + Times... + Gauche :  ...,12 pt + Times... + Times New ...,TITRE 33"/>
    <w:basedOn w:val="Normal"/>
    <w:link w:val="psCar"/>
    <w:qFormat/>
    <w:rsid w:val="00100553"/>
    <w:pPr>
      <w:keepLines/>
      <w:spacing w:before="200"/>
      <w:jc w:val="both"/>
    </w:pPr>
    <w:rPr>
      <w:rFonts w:ascii="Arial Narrow" w:eastAsia="Arial Narrow" w:hAnsi="Arial Narrow"/>
      <w:sz w:val="21"/>
      <w:szCs w:val="21"/>
      <w:lang w:val="fr-SN" w:eastAsia="en-US"/>
    </w:rPr>
  </w:style>
  <w:style w:type="character" w:customStyle="1" w:styleId="psCar">
    <w:name w:val="ps Car"/>
    <w:aliases w:val="heading 3 Car,heading Car,TITRE 33 + Times New Roman Car,12 pt + Times... + Gauche :  ... Car,12 pt + Times... + Times New ... Car,TITRE 33 Car"/>
    <w:link w:val="ps"/>
    <w:locked/>
    <w:rsid w:val="00100553"/>
    <w:rPr>
      <w:rFonts w:ascii="Arial Narrow" w:eastAsia="Arial Narrow" w:hAnsi="Arial Narrow"/>
      <w:sz w:val="21"/>
      <w:szCs w:val="21"/>
      <w:lang w:val="fr-SN" w:eastAsia="en-US"/>
    </w:rPr>
  </w:style>
  <w:style w:type="character" w:customStyle="1" w:styleId="contentpasted0">
    <w:name w:val="contentpasted0"/>
    <w:basedOn w:val="Policepardfaut"/>
    <w:rsid w:val="00ED4E0F"/>
  </w:style>
  <w:style w:type="character" w:customStyle="1" w:styleId="normaltextrun">
    <w:name w:val="normaltextrun"/>
    <w:basedOn w:val="Policepardfaut"/>
    <w:rsid w:val="00086AD1"/>
  </w:style>
  <w:style w:type="character" w:customStyle="1" w:styleId="Style1Car">
    <w:name w:val="Style1 Car"/>
    <w:basedOn w:val="Policepardfaut"/>
    <w:link w:val="Style1"/>
    <w:rsid w:val="00BE7F0B"/>
    <w:rPr>
      <w:rFonts w:ascii="Times New Roman" w:eastAsia="Times New Roman" w:hAnsi="Times New Roman"/>
      <w:b/>
      <w:bCs/>
      <w:kern w:val="32"/>
      <w:sz w:val="22"/>
      <w:szCs w:val="22"/>
    </w:rPr>
  </w:style>
  <w:style w:type="paragraph" w:customStyle="1" w:styleId="WW-Corpsdetexte2">
    <w:name w:val="WW-Corps de texte 2"/>
    <w:basedOn w:val="Normal"/>
    <w:rsid w:val="00B91B2B"/>
    <w:pPr>
      <w:suppressAutoHyphens/>
      <w:spacing w:line="360" w:lineRule="auto"/>
    </w:pPr>
    <w:rPr>
      <w:sz w:val="20"/>
      <w:lang w:eastAsia="ar-SA"/>
    </w:rPr>
  </w:style>
  <w:style w:type="paragraph" w:customStyle="1" w:styleId="BMA">
    <w:name w:val="BMA"/>
    <w:basedOn w:val="Normal"/>
    <w:rsid w:val="00B91B2B"/>
    <w:pPr>
      <w:widowControl w:val="0"/>
      <w:tabs>
        <w:tab w:val="left" w:pos="425"/>
        <w:tab w:val="left" w:pos="2126"/>
        <w:tab w:val="left" w:pos="4394"/>
        <w:tab w:val="left" w:pos="6662"/>
      </w:tabs>
      <w:jc w:val="both"/>
    </w:pPr>
    <w:rPr>
      <w:rFonts w:ascii="Univers" w:hAnsi="Univers"/>
      <w:sz w:val="22"/>
      <w:szCs w:val="20"/>
      <w:lang w:val="en-GB"/>
    </w:rPr>
  </w:style>
  <w:style w:type="paragraph" w:customStyle="1" w:styleId="normaltableau">
    <w:name w:val="normal_tableau"/>
    <w:basedOn w:val="Normal"/>
    <w:rsid w:val="00B91B2B"/>
    <w:pPr>
      <w:suppressAutoHyphens/>
      <w:spacing w:before="120" w:after="120"/>
      <w:jc w:val="both"/>
    </w:pPr>
    <w:rPr>
      <w:rFonts w:ascii="Optima" w:hAnsi="Optima"/>
      <w:sz w:val="22"/>
      <w:szCs w:val="20"/>
      <w:lang w:val="en-GB" w:eastAsia="ar-SA"/>
    </w:rPr>
  </w:style>
  <w:style w:type="table" w:customStyle="1" w:styleId="Grilledutableau2">
    <w:name w:val="Grille du tableau2"/>
    <w:basedOn w:val="TableauNormal"/>
    <w:next w:val="Grilledutableau"/>
    <w:uiPriority w:val="39"/>
    <w:rsid w:val="00B91B2B"/>
    <w:rPr>
      <w:rFonts w:ascii="Constantia" w:eastAsiaTheme="minorHAnsi" w:hAnsi="Constantia"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3">
    <w:name w:val="xl43"/>
    <w:basedOn w:val="Normal"/>
    <w:rsid w:val="00B91B2B"/>
    <w:pPr>
      <w:numPr>
        <w:numId w:val="141"/>
      </w:numPr>
      <w:pBdr>
        <w:top w:val="single" w:sz="4" w:space="0" w:color="auto"/>
        <w:left w:val="single" w:sz="4" w:space="0" w:color="auto"/>
        <w:bottom w:val="single" w:sz="4" w:space="0" w:color="auto"/>
      </w:pBdr>
      <w:shd w:val="clear" w:color="auto" w:fill="CCFFFF"/>
      <w:tabs>
        <w:tab w:val="clear" w:pos="360"/>
      </w:tabs>
      <w:spacing w:before="100" w:beforeAutospacing="1" w:after="100" w:afterAutospacing="1"/>
      <w:ind w:left="0" w:firstLine="0"/>
      <w:jc w:val="right"/>
      <w:textAlignment w:val="center"/>
    </w:pPr>
    <w:rPr>
      <w:rFonts w:ascii="Arial Narrow" w:eastAsiaTheme="minorHAnsi" w:hAnsi="Arial Narrow"/>
      <w:b/>
      <w:bCs/>
      <w:sz w:val="21"/>
      <w:lang w:val="fr-CA"/>
    </w:rPr>
  </w:style>
  <w:style w:type="paragraph" w:customStyle="1" w:styleId="Bullet">
    <w:name w:val="Bullet"/>
    <w:basedOn w:val="Normal"/>
    <w:link w:val="BulletChar"/>
    <w:qFormat/>
    <w:rsid w:val="00B91B2B"/>
    <w:pPr>
      <w:jc w:val="both"/>
    </w:pPr>
    <w:rPr>
      <w:lang w:val="en-US" w:eastAsia="en-US"/>
    </w:rPr>
  </w:style>
  <w:style w:type="character" w:customStyle="1" w:styleId="BulletChar">
    <w:name w:val="Bullet Char"/>
    <w:link w:val="Bullet"/>
    <w:rsid w:val="00B91B2B"/>
    <w:rPr>
      <w:rFonts w:ascii="Times New Roman" w:eastAsia="Times New Roman" w:hAnsi="Times New Roman"/>
      <w:sz w:val="24"/>
      <w:szCs w:val="24"/>
      <w:lang w:val="en-US" w:eastAsia="en-US"/>
    </w:rPr>
  </w:style>
  <w:style w:type="paragraph" w:customStyle="1" w:styleId="CVA-US">
    <w:name w:val="CVA-US"/>
    <w:basedOn w:val="Normal"/>
    <w:rsid w:val="00B91B2B"/>
    <w:pPr>
      <w:widowControl w:val="0"/>
      <w:tabs>
        <w:tab w:val="left" w:pos="425"/>
        <w:tab w:val="left" w:pos="2126"/>
      </w:tabs>
      <w:jc w:val="both"/>
    </w:pPr>
    <w:rPr>
      <w:rFonts w:ascii="Univers" w:hAnsi="Univers"/>
      <w:sz w:val="22"/>
      <w:szCs w:val="20"/>
      <w:lang w:val="en-US"/>
    </w:rPr>
  </w:style>
  <w:style w:type="paragraph" w:customStyle="1" w:styleId="CVF-bm">
    <w:name w:val="CVF-bm"/>
    <w:basedOn w:val="Normal"/>
    <w:rsid w:val="00B91B2B"/>
    <w:pPr>
      <w:widowControl w:val="0"/>
      <w:tabs>
        <w:tab w:val="left" w:pos="284"/>
        <w:tab w:val="left" w:pos="2126"/>
        <w:tab w:val="left" w:pos="4961"/>
        <w:tab w:val="left" w:pos="7796"/>
      </w:tabs>
      <w:jc w:val="both"/>
    </w:pPr>
    <w:rPr>
      <w:rFonts w:ascii="Univers" w:hAnsi="Univers"/>
      <w:snapToGrid w:val="0"/>
      <w:sz w:val="22"/>
      <w:szCs w:val="20"/>
    </w:rPr>
  </w:style>
  <w:style w:type="paragraph" w:customStyle="1" w:styleId="TA0">
    <w:name w:val="TA0"/>
    <w:basedOn w:val="Normal"/>
    <w:rsid w:val="00B91B2B"/>
    <w:pPr>
      <w:widowControl w:val="0"/>
      <w:tabs>
        <w:tab w:val="left" w:pos="425"/>
        <w:tab w:val="left" w:pos="2126"/>
        <w:tab w:val="left" w:pos="2552"/>
      </w:tabs>
      <w:jc w:val="both"/>
    </w:pPr>
    <w:rPr>
      <w:rFonts w:ascii="Arial" w:hAnsi="Arial"/>
      <w:sz w:val="20"/>
      <w:szCs w:val="20"/>
      <w:lang w:val="en-GB"/>
    </w:rPr>
  </w:style>
  <w:style w:type="paragraph" w:customStyle="1" w:styleId="CVA">
    <w:name w:val="CVA"/>
    <w:basedOn w:val="Normal"/>
    <w:rsid w:val="00B91B2B"/>
    <w:pPr>
      <w:widowControl w:val="0"/>
      <w:tabs>
        <w:tab w:val="left" w:pos="425"/>
        <w:tab w:val="left" w:pos="2126"/>
      </w:tabs>
      <w:jc w:val="both"/>
    </w:pPr>
    <w:rPr>
      <w:rFonts w:ascii="Univers" w:hAnsi="Univers"/>
      <w:sz w:val="22"/>
      <w:szCs w:val="20"/>
      <w:lang w:val="en-GB"/>
    </w:rPr>
  </w:style>
  <w:style w:type="character" w:customStyle="1" w:styleId="Lienhypertexte1">
    <w:name w:val="Lien hypertexte1"/>
    <w:rsid w:val="00B91B2B"/>
    <w:rPr>
      <w:rFonts w:ascii="Univers" w:hAnsi="Univers"/>
      <w:color w:val="0000FF"/>
      <w:sz w:val="22"/>
    </w:rPr>
  </w:style>
  <w:style w:type="character" w:customStyle="1" w:styleId="WW8Num4z0">
    <w:name w:val="WW8Num4z0"/>
    <w:rsid w:val="00B91B2B"/>
    <w:rPr>
      <w:b/>
    </w:rPr>
  </w:style>
  <w:style w:type="paragraph" w:customStyle="1" w:styleId="Annexetitle">
    <w:name w:val="Annexe_title"/>
    <w:basedOn w:val="Titre1"/>
    <w:next w:val="Normal"/>
    <w:autoRedefine/>
    <w:rsid w:val="00B91B2B"/>
    <w:pPr>
      <w:keepNext w:val="0"/>
      <w:keepLines w:val="0"/>
      <w:pBdr>
        <w:bottom w:val="single" w:sz="4" w:space="1" w:color="auto"/>
      </w:pBdr>
      <w:tabs>
        <w:tab w:val="left" w:pos="1701"/>
        <w:tab w:val="left" w:pos="2552"/>
      </w:tabs>
      <w:spacing w:before="0" w:after="120"/>
      <w:jc w:val="center"/>
      <w:outlineLvl w:val="9"/>
    </w:pPr>
    <w:rPr>
      <w:rFonts w:ascii="Arial" w:hAnsi="Arial"/>
      <w:b w:val="0"/>
      <w:bCs w:val="0"/>
      <w:color w:val="auto"/>
      <w:sz w:val="32"/>
      <w:szCs w:val="32"/>
      <w:lang w:eastAsia="en-GB"/>
    </w:rPr>
  </w:style>
  <w:style w:type="paragraph" w:customStyle="1" w:styleId="SimpleList">
    <w:name w:val="Simple List"/>
    <w:basedOn w:val="Normal"/>
    <w:uiPriority w:val="99"/>
    <w:rsid w:val="00B91B2B"/>
    <w:pPr>
      <w:widowControl w:val="0"/>
      <w:tabs>
        <w:tab w:val="num" w:pos="720"/>
      </w:tabs>
      <w:autoSpaceDE w:val="0"/>
      <w:autoSpaceDN w:val="0"/>
      <w:adjustRightInd w:val="0"/>
      <w:ind w:left="720" w:hanging="720"/>
      <w:jc w:val="both"/>
    </w:pPr>
    <w:rPr>
      <w:rFonts w:eastAsia="SimSun"/>
      <w:szCs w:val="28"/>
      <w:lang w:val="en-US" w:eastAsia="zh-CN"/>
    </w:rPr>
  </w:style>
  <w:style w:type="paragraph" w:customStyle="1" w:styleId="Text0">
    <w:name w:val="Text"/>
    <w:basedOn w:val="Normal"/>
    <w:rsid w:val="00B91B2B"/>
    <w:pPr>
      <w:widowControl w:val="0"/>
      <w:autoSpaceDE w:val="0"/>
      <w:autoSpaceDN w:val="0"/>
      <w:adjustRightInd w:val="0"/>
      <w:spacing w:before="120" w:after="120"/>
      <w:jc w:val="both"/>
    </w:pPr>
    <w:rPr>
      <w:rFonts w:eastAsia="SimSun"/>
      <w:szCs w:val="28"/>
      <w:lang w:val="en-US" w:eastAsia="zh-CN"/>
    </w:rPr>
  </w:style>
  <w:style w:type="paragraph" w:customStyle="1" w:styleId="ColumnsRight">
    <w:name w:val="Columns Right"/>
    <w:basedOn w:val="Text0"/>
    <w:uiPriority w:val="99"/>
    <w:rsid w:val="00B91B2B"/>
    <w:pPr>
      <w:numPr>
        <w:ilvl w:val="1"/>
        <w:numId w:val="142"/>
      </w:numPr>
    </w:pPr>
    <w:rPr>
      <w:lang w:val="en-GB"/>
    </w:rPr>
  </w:style>
  <w:style w:type="paragraph" w:customStyle="1" w:styleId="ColumnsLeft">
    <w:name w:val="Columns Left"/>
    <w:basedOn w:val="ColumnsRight"/>
    <w:uiPriority w:val="99"/>
    <w:rsid w:val="00B91B2B"/>
    <w:pPr>
      <w:numPr>
        <w:ilvl w:val="0"/>
      </w:numPr>
      <w:jc w:val="left"/>
    </w:pPr>
  </w:style>
  <w:style w:type="paragraph" w:customStyle="1" w:styleId="ColumnsRightSub">
    <w:name w:val="Columns Right (Sub)"/>
    <w:basedOn w:val="ColumnsRight"/>
    <w:uiPriority w:val="99"/>
    <w:rsid w:val="00B91B2B"/>
    <w:pPr>
      <w:numPr>
        <w:ilvl w:val="2"/>
      </w:numPr>
    </w:pPr>
  </w:style>
  <w:style w:type="character" w:customStyle="1" w:styleId="Aucun">
    <w:name w:val="Aucun"/>
    <w:rsid w:val="00B91B2B"/>
    <w:rPr>
      <w:lang w:val="fr-FR"/>
    </w:rPr>
  </w:style>
  <w:style w:type="numbering" w:customStyle="1" w:styleId="Aucuneliste1">
    <w:name w:val="Aucune liste1"/>
    <w:next w:val="Aucuneliste"/>
    <w:uiPriority w:val="99"/>
    <w:semiHidden/>
    <w:unhideWhenUsed/>
    <w:rsid w:val="00B91B2B"/>
  </w:style>
  <w:style w:type="paragraph" w:customStyle="1" w:styleId="CV-TXT2Enumerationgras">
    <w:name w:val="CV - TXT2 Enumeration gras"/>
    <w:basedOn w:val="Normal"/>
    <w:rsid w:val="00B91B2B"/>
    <w:pPr>
      <w:keepLines/>
      <w:ind w:left="1134" w:hanging="1134"/>
      <w:jc w:val="both"/>
    </w:pPr>
    <w:rPr>
      <w:rFonts w:ascii="Arial" w:hAnsi="Arial" w:cs="Arial"/>
      <w:b/>
      <w:bCs/>
      <w:sz w:val="20"/>
      <w:szCs w:val="20"/>
    </w:rPr>
  </w:style>
  <w:style w:type="paragraph" w:customStyle="1" w:styleId="CV-TXT3Enumerationnormal">
    <w:name w:val="CV - TXT3 Enumeration normal"/>
    <w:basedOn w:val="Normal"/>
    <w:rsid w:val="00B91B2B"/>
    <w:pPr>
      <w:keepNext/>
      <w:ind w:left="1134"/>
      <w:jc w:val="both"/>
    </w:pPr>
    <w:rPr>
      <w:rFonts w:ascii="Arial" w:hAnsi="Arial" w:cs="Arial"/>
      <w:iCs/>
      <w:sz w:val="20"/>
      <w:szCs w:val="22"/>
    </w:rPr>
  </w:style>
  <w:style w:type="character" w:customStyle="1" w:styleId="mailaddresscontainer">
    <w:name w:val="mailaddresscontainer"/>
    <w:rsid w:val="00B91B2B"/>
  </w:style>
  <w:style w:type="paragraph" w:customStyle="1" w:styleId="Style3">
    <w:name w:val="Style3"/>
    <w:basedOn w:val="Titre6"/>
    <w:link w:val="Style3Char"/>
    <w:qFormat/>
    <w:rsid w:val="00B91B2B"/>
    <w:pPr>
      <w:keepNext w:val="0"/>
      <w:numPr>
        <w:ilvl w:val="0"/>
        <w:numId w:val="0"/>
      </w:numPr>
      <w:autoSpaceDE/>
      <w:autoSpaceDN/>
      <w:adjustRightInd/>
      <w:spacing w:line="240" w:lineRule="auto"/>
      <w:ind w:left="1080" w:hanging="1080"/>
      <w:jc w:val="center"/>
    </w:pPr>
    <w:rPr>
      <w:bCs w:val="0"/>
      <w:smallCaps/>
      <w:lang w:val="en-US" w:eastAsia="en-US"/>
    </w:rPr>
  </w:style>
  <w:style w:type="character" w:customStyle="1" w:styleId="Style3Char">
    <w:name w:val="Style3 Char"/>
    <w:link w:val="Style3"/>
    <w:rsid w:val="00B91B2B"/>
    <w:rPr>
      <w:rFonts w:ascii="Times New Roman" w:eastAsia="Times New Roman" w:hAnsi="Times New Roman"/>
      <w:b/>
      <w:smallCaps/>
      <w:sz w:val="24"/>
      <w:szCs w:val="24"/>
      <w:lang w:val="en-US" w:eastAsia="en-US"/>
    </w:rPr>
  </w:style>
  <w:style w:type="table" w:customStyle="1" w:styleId="Listeclaire-Accent31">
    <w:name w:val="Liste claire - Accent 31"/>
    <w:basedOn w:val="TableauNormal"/>
    <w:next w:val="Listeclaire-Accent3"/>
    <w:uiPriority w:val="61"/>
    <w:rsid w:val="00B91B2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3">
    <w:name w:val="Light List Accent 3"/>
    <w:basedOn w:val="TableauNormal"/>
    <w:uiPriority w:val="61"/>
    <w:semiHidden/>
    <w:unhideWhenUsed/>
    <w:rsid w:val="00B91B2B"/>
    <w:rPr>
      <w:rFonts w:asciiTheme="minorHAnsi" w:eastAsiaTheme="minorHAnsi"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msonormal0">
    <w:name w:val="msonormal"/>
    <w:basedOn w:val="Normal"/>
    <w:rsid w:val="00B91B2B"/>
    <w:pPr>
      <w:spacing w:before="100" w:beforeAutospacing="1" w:after="100" w:afterAutospacing="1"/>
    </w:pPr>
  </w:style>
  <w:style w:type="paragraph" w:customStyle="1" w:styleId="font5">
    <w:name w:val="font5"/>
    <w:basedOn w:val="Normal"/>
    <w:rsid w:val="00B91B2B"/>
    <w:pPr>
      <w:spacing w:before="100" w:beforeAutospacing="1" w:after="100" w:afterAutospacing="1"/>
    </w:pPr>
    <w:rPr>
      <w:color w:val="000000"/>
      <w:sz w:val="22"/>
      <w:szCs w:val="22"/>
    </w:rPr>
  </w:style>
  <w:style w:type="paragraph" w:customStyle="1" w:styleId="xl63">
    <w:name w:val="xl63"/>
    <w:basedOn w:val="Normal"/>
    <w:rsid w:val="00B91B2B"/>
    <w:pPr>
      <w:spacing w:before="100" w:beforeAutospacing="1" w:after="100" w:afterAutospacing="1"/>
    </w:pPr>
  </w:style>
  <w:style w:type="paragraph" w:customStyle="1" w:styleId="xl64">
    <w:name w:val="xl64"/>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B91B2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color w:val="000000"/>
    </w:rPr>
  </w:style>
  <w:style w:type="paragraph" w:customStyle="1" w:styleId="xl66">
    <w:name w:val="xl66"/>
    <w:basedOn w:val="Normal"/>
    <w:rsid w:val="00B91B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color w:val="000000"/>
    </w:rPr>
  </w:style>
  <w:style w:type="paragraph" w:customStyle="1" w:styleId="xl67">
    <w:name w:val="xl67"/>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8">
    <w:name w:val="xl68"/>
    <w:basedOn w:val="Normal"/>
    <w:rsid w:val="00B91B2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color w:val="000000"/>
    </w:rPr>
  </w:style>
  <w:style w:type="paragraph" w:customStyle="1" w:styleId="xl69">
    <w:name w:val="xl69"/>
    <w:basedOn w:val="Normal"/>
    <w:rsid w:val="00B91B2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color w:val="000000"/>
    </w:rPr>
  </w:style>
  <w:style w:type="paragraph" w:customStyle="1" w:styleId="xl70">
    <w:name w:val="xl70"/>
    <w:basedOn w:val="Normal"/>
    <w:rsid w:val="00B91B2B"/>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textAlignment w:val="center"/>
    </w:pPr>
    <w:rPr>
      <w:color w:val="000000"/>
    </w:rPr>
  </w:style>
  <w:style w:type="paragraph" w:customStyle="1" w:styleId="xl71">
    <w:name w:val="xl71"/>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2">
    <w:name w:val="xl72"/>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3">
    <w:name w:val="xl73"/>
    <w:basedOn w:val="Normal"/>
    <w:rsid w:val="00B91B2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pPr>
  </w:style>
  <w:style w:type="paragraph" w:customStyle="1" w:styleId="xl74">
    <w:name w:val="xl74"/>
    <w:basedOn w:val="Normal"/>
    <w:rsid w:val="00B91B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color w:val="FFFFFF"/>
    </w:rPr>
  </w:style>
  <w:style w:type="paragraph" w:customStyle="1" w:styleId="xl75">
    <w:name w:val="xl75"/>
    <w:basedOn w:val="Normal"/>
    <w:rsid w:val="00B91B2B"/>
    <w:pPr>
      <w:pBdr>
        <w:top w:val="single" w:sz="4" w:space="0" w:color="auto"/>
        <w:left w:val="single" w:sz="4" w:space="0" w:color="auto"/>
        <w:bottom w:val="single" w:sz="4" w:space="0" w:color="auto"/>
        <w:right w:val="single" w:sz="4" w:space="0" w:color="auto"/>
      </w:pBdr>
      <w:shd w:val="clear" w:color="000000" w:fill="984806"/>
      <w:spacing w:before="100" w:beforeAutospacing="1" w:after="100" w:afterAutospacing="1"/>
      <w:textAlignment w:val="center"/>
    </w:pPr>
    <w:rPr>
      <w:color w:val="000000"/>
    </w:rPr>
  </w:style>
  <w:style w:type="paragraph" w:customStyle="1" w:styleId="xl76">
    <w:name w:val="xl76"/>
    <w:basedOn w:val="Normal"/>
    <w:rsid w:val="00B91B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2060"/>
    </w:rPr>
  </w:style>
  <w:style w:type="paragraph" w:customStyle="1" w:styleId="xl77">
    <w:name w:val="xl77"/>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8">
    <w:name w:val="xl78"/>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FFFF"/>
    </w:rPr>
  </w:style>
  <w:style w:type="paragraph" w:customStyle="1" w:styleId="xl79">
    <w:name w:val="xl79"/>
    <w:basedOn w:val="Normal"/>
    <w:rsid w:val="00B91B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80">
    <w:name w:val="xl80"/>
    <w:basedOn w:val="Normal"/>
    <w:rsid w:val="00B91B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81">
    <w:name w:val="xl81"/>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Normal"/>
    <w:rsid w:val="00B91B2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rPr>
  </w:style>
  <w:style w:type="paragraph" w:customStyle="1" w:styleId="xl83">
    <w:name w:val="xl83"/>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84">
    <w:name w:val="xl84"/>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Normal"/>
    <w:rsid w:val="00B91B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000000"/>
    </w:rPr>
  </w:style>
  <w:style w:type="paragraph" w:customStyle="1" w:styleId="xl86">
    <w:name w:val="xl86"/>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7">
    <w:name w:val="xl87"/>
    <w:basedOn w:val="Normal"/>
    <w:rsid w:val="00B91B2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rPr>
  </w:style>
  <w:style w:type="paragraph" w:customStyle="1" w:styleId="xl88">
    <w:name w:val="xl88"/>
    <w:basedOn w:val="Normal"/>
    <w:rsid w:val="00B91B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9">
    <w:name w:val="xl89"/>
    <w:basedOn w:val="Normal"/>
    <w:rsid w:val="00B91B2B"/>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b/>
      <w:bCs/>
      <w:color w:val="FFFFFF"/>
    </w:rPr>
  </w:style>
  <w:style w:type="paragraph" w:customStyle="1" w:styleId="xl90">
    <w:name w:val="xl90"/>
    <w:basedOn w:val="Normal"/>
    <w:rsid w:val="00B91B2B"/>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b/>
      <w:bCs/>
      <w:color w:val="FFFFFF"/>
    </w:rPr>
  </w:style>
  <w:style w:type="table" w:customStyle="1" w:styleId="Grilledutableau15">
    <w:name w:val="Grille du tableau15"/>
    <w:basedOn w:val="TableauNormal"/>
    <w:next w:val="Grilledutableau"/>
    <w:uiPriority w:val="59"/>
    <w:rsid w:val="00B91B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para">
    <w:name w:val="ESS para"/>
    <w:basedOn w:val="Normal"/>
    <w:link w:val="ESSparaChar"/>
    <w:qFormat/>
    <w:rsid w:val="00B91B2B"/>
    <w:pPr>
      <w:numPr>
        <w:numId w:val="145"/>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Policepardfaut"/>
    <w:link w:val="ESSpara"/>
    <w:rsid w:val="00B91B2B"/>
    <w:rPr>
      <w:rFonts w:asciiTheme="minorHAnsi" w:eastAsiaTheme="minorEastAsia" w:hAnsiTheme="minorHAnsi" w:cstheme="minorBidi"/>
      <w:sz w:val="22"/>
      <w:szCs w:val="22"/>
      <w:lang w:val="en-US" w:eastAsia="ja-JP"/>
    </w:rPr>
  </w:style>
  <w:style w:type="paragraph" w:customStyle="1" w:styleId="essbullet">
    <w:name w:val="ess bullet"/>
    <w:basedOn w:val="Normal"/>
    <w:qFormat/>
    <w:rsid w:val="00B91B2B"/>
    <w:pPr>
      <w:numPr>
        <w:ilvl w:val="1"/>
        <w:numId w:val="143"/>
      </w:numPr>
      <w:tabs>
        <w:tab w:val="left" w:pos="1080"/>
      </w:tabs>
      <w:spacing w:after="240"/>
      <w:jc w:val="both"/>
    </w:pPr>
    <w:rPr>
      <w:rFonts w:asciiTheme="minorHAnsi" w:eastAsiaTheme="minorEastAsia" w:hAnsiTheme="minorHAnsi"/>
      <w:sz w:val="22"/>
      <w:szCs w:val="22"/>
      <w:lang w:val="en-US" w:eastAsia="en-US"/>
    </w:rPr>
  </w:style>
  <w:style w:type="paragraph" w:customStyle="1" w:styleId="essobjbull">
    <w:name w:val="ess obj bull"/>
    <w:basedOn w:val="essbullet"/>
    <w:link w:val="essobjbullChar"/>
    <w:qFormat/>
    <w:rsid w:val="00B91B2B"/>
    <w:pPr>
      <w:spacing w:after="120"/>
      <w:ind w:left="360"/>
    </w:pPr>
  </w:style>
  <w:style w:type="character" w:customStyle="1" w:styleId="essobjbullChar">
    <w:name w:val="ess obj bull Char"/>
    <w:basedOn w:val="Policepardfaut"/>
    <w:link w:val="essobjbull"/>
    <w:rsid w:val="00B91B2B"/>
    <w:rPr>
      <w:rFonts w:asciiTheme="minorHAnsi" w:eastAsiaTheme="minorEastAsia" w:hAnsiTheme="minorHAnsi"/>
      <w:sz w:val="22"/>
      <w:szCs w:val="22"/>
      <w:lang w:val="en-US" w:eastAsia="en-US"/>
    </w:rPr>
  </w:style>
  <w:style w:type="paragraph" w:styleId="Listecontinue">
    <w:name w:val="List Continue"/>
    <w:basedOn w:val="Corpsdetexte"/>
    <w:rsid w:val="00B91B2B"/>
    <w:pPr>
      <w:widowControl w:val="0"/>
      <w:numPr>
        <w:ilvl w:val="1"/>
        <w:numId w:val="144"/>
      </w:numPr>
      <w:tabs>
        <w:tab w:val="clear" w:pos="720"/>
        <w:tab w:val="left" w:pos="680"/>
      </w:tabs>
      <w:spacing w:after="0"/>
      <w:ind w:left="680" w:hanging="113"/>
    </w:pPr>
    <w:rPr>
      <w:rFonts w:ascii="Cambria" w:hAnsi="Cambria"/>
      <w:sz w:val="22"/>
      <w:lang w:val="en-US" w:eastAsia="en-US"/>
    </w:rPr>
  </w:style>
  <w:style w:type="character" w:customStyle="1" w:styleId="Hyperlink1">
    <w:name w:val="Hyperlink1"/>
    <w:basedOn w:val="Policepardfaut"/>
    <w:uiPriority w:val="99"/>
    <w:unhideWhenUsed/>
    <w:rsid w:val="00B91B2B"/>
    <w:rPr>
      <w:color w:val="0000FF"/>
      <w:u w:val="single"/>
    </w:rPr>
  </w:style>
  <w:style w:type="table" w:customStyle="1" w:styleId="TableGrid2">
    <w:name w:val="Table Grid2"/>
    <w:basedOn w:val="TableauNormal"/>
    <w:next w:val="Grilledutableau"/>
    <w:uiPriority w:val="59"/>
    <w:rsid w:val="00B91B2B"/>
    <w:rPr>
      <w:rFonts w:asciiTheme="minorHAnsi" w:eastAsiaTheme="minorEastAsia" w:hAnsiTheme="minorHAnsi" w:cstheme="minorBid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59"/>
    <w:rsid w:val="00B91B2B"/>
    <w:rPr>
      <w:rFonts w:asciiTheme="minorHAnsi" w:eastAsiaTheme="minorEastAsia" w:hAnsiTheme="minorHAnsi" w:cstheme="minorBid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59"/>
    <w:rsid w:val="00B91B2B"/>
    <w:rPr>
      <w:rFonts w:asciiTheme="minorHAnsi" w:eastAsiaTheme="minorEastAsia" w:hAnsiTheme="minorHAnsi" w:cstheme="minorBid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91B2B"/>
    <w:rPr>
      <w:color w:val="808080"/>
    </w:rPr>
  </w:style>
  <w:style w:type="character" w:styleId="Rfrenceintense">
    <w:name w:val="Intense Reference"/>
    <w:basedOn w:val="Policepardfaut"/>
    <w:uiPriority w:val="32"/>
    <w:qFormat/>
    <w:rsid w:val="00B91B2B"/>
    <w:rPr>
      <w:b/>
      <w:bCs/>
      <w:i/>
      <w:smallCaps/>
      <w:color w:val="ED7D31" w:themeColor="accent2"/>
      <w:spacing w:val="5"/>
      <w:u w:val="none"/>
    </w:rPr>
  </w:style>
  <w:style w:type="table" w:customStyle="1" w:styleId="Tableausimple11">
    <w:name w:val="Tableau simple 11"/>
    <w:basedOn w:val="TableauNormal"/>
    <w:uiPriority w:val="41"/>
    <w:rsid w:val="00B91B2B"/>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B91B2B"/>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Normal"/>
    <w:uiPriority w:val="1"/>
    <w:qFormat/>
    <w:rsid w:val="00B91B2B"/>
    <w:pPr>
      <w:widowControl w:val="0"/>
      <w:autoSpaceDE w:val="0"/>
      <w:autoSpaceDN w:val="0"/>
      <w:adjustRightInd w:val="0"/>
    </w:pPr>
    <w:rPr>
      <w:rFonts w:ascii="Georgia" w:eastAsiaTheme="minorEastAsia" w:hAnsi="Georgia" w:cs="Georgia"/>
    </w:rPr>
  </w:style>
  <w:style w:type="character" w:customStyle="1" w:styleId="citation">
    <w:name w:val="citation"/>
    <w:basedOn w:val="Policepardfaut"/>
    <w:rsid w:val="00B91B2B"/>
  </w:style>
  <w:style w:type="paragraph" w:customStyle="1" w:styleId="Normalindentedtextbullet">
    <w:name w:val="Normal indented text bullet"/>
    <w:basedOn w:val="Normal"/>
    <w:qFormat/>
    <w:rsid w:val="00B91B2B"/>
    <w:pPr>
      <w:numPr>
        <w:numId w:val="146"/>
      </w:numPr>
      <w:spacing w:before="120" w:after="120"/>
      <w:jc w:val="both"/>
    </w:pPr>
    <w:rPr>
      <w:rFonts w:asciiTheme="minorHAnsi" w:hAnsiTheme="minorHAnsi"/>
      <w:sz w:val="22"/>
      <w:lang w:eastAsia="en-US"/>
    </w:rPr>
  </w:style>
  <w:style w:type="character" w:customStyle="1" w:styleId="TabTextoCar">
    <w:name w:val="Tab Texto Car"/>
    <w:basedOn w:val="Policepardfaut"/>
    <w:link w:val="TabTexto"/>
    <w:locked/>
    <w:rsid w:val="00B91B2B"/>
    <w:rPr>
      <w:color w:val="58585B"/>
      <w:sz w:val="26"/>
      <w:szCs w:val="26"/>
      <w:lang w:val="es-ES"/>
    </w:rPr>
  </w:style>
  <w:style w:type="paragraph" w:customStyle="1" w:styleId="TabTexto">
    <w:name w:val="Tab Texto"/>
    <w:basedOn w:val="Normal"/>
    <w:link w:val="TabTextoCar"/>
    <w:qFormat/>
    <w:rsid w:val="00B91B2B"/>
    <w:rPr>
      <w:rFonts w:ascii="Calibri" w:eastAsia="Calibri" w:hAnsi="Calibri"/>
      <w:color w:val="58585B"/>
      <w:sz w:val="26"/>
      <w:szCs w:val="26"/>
      <w:lang w:val="es-ES"/>
    </w:rPr>
  </w:style>
  <w:style w:type="paragraph" w:customStyle="1" w:styleId="Normaltableau0">
    <w:name w:val="Normal tableau"/>
    <w:basedOn w:val="Normal"/>
    <w:link w:val="NormaltableauCar"/>
    <w:qFormat/>
    <w:rsid w:val="00B91B2B"/>
    <w:rPr>
      <w:rFonts w:ascii="Calibri" w:eastAsia="Calibri" w:hAnsi="Calibri"/>
      <w:b/>
      <w:bCs/>
      <w:color w:val="FFFFFF" w:themeColor="background1"/>
      <w:sz w:val="20"/>
      <w:szCs w:val="22"/>
    </w:rPr>
  </w:style>
  <w:style w:type="character" w:customStyle="1" w:styleId="NormaltableauCar">
    <w:name w:val="Normal tableau Car"/>
    <w:basedOn w:val="Policepardfaut"/>
    <w:link w:val="Normaltableau0"/>
    <w:rsid w:val="00B91B2B"/>
    <w:rPr>
      <w:b/>
      <w:bCs/>
      <w:color w:val="FFFFFF" w:themeColor="background1"/>
      <w:szCs w:val="22"/>
    </w:rPr>
  </w:style>
  <w:style w:type="character" w:customStyle="1" w:styleId="s1">
    <w:name w:val="s1"/>
    <w:basedOn w:val="Policepardfaut"/>
    <w:rsid w:val="00B91B2B"/>
  </w:style>
  <w:style w:type="paragraph" w:customStyle="1" w:styleId="p3">
    <w:name w:val="p3"/>
    <w:basedOn w:val="Normal"/>
    <w:rsid w:val="00B91B2B"/>
    <w:pPr>
      <w:spacing w:before="100" w:beforeAutospacing="1" w:after="100" w:afterAutospacing="1"/>
    </w:pPr>
  </w:style>
  <w:style w:type="character" w:customStyle="1" w:styleId="nowrap">
    <w:name w:val="nowrap"/>
    <w:basedOn w:val="Policepardfaut"/>
    <w:rsid w:val="00B91B2B"/>
  </w:style>
  <w:style w:type="table" w:customStyle="1" w:styleId="TableGrid31">
    <w:name w:val="Table Grid31"/>
    <w:basedOn w:val="TableauNormal"/>
    <w:next w:val="Grilledutableau"/>
    <w:uiPriority w:val="39"/>
    <w:rsid w:val="00B91B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tiret1">
    <w:name w:val="retrait tiret 1"/>
    <w:basedOn w:val="Normal"/>
    <w:rsid w:val="00B91B2B"/>
    <w:pPr>
      <w:numPr>
        <w:numId w:val="147"/>
      </w:numPr>
    </w:pPr>
    <w:rPr>
      <w:lang w:eastAsia="fr-CA"/>
    </w:rPr>
  </w:style>
  <w:style w:type="table" w:customStyle="1" w:styleId="insuco31">
    <w:name w:val="insuco31"/>
    <w:basedOn w:val="Grilledutableau"/>
    <w:next w:val="Trameclaire-Accent4"/>
    <w:uiPriority w:val="60"/>
    <w:rsid w:val="00B91B2B"/>
    <w:rPr>
      <w:lang w:val="fr-BE"/>
    </w:rPr>
    <w:tblPr/>
  </w:style>
  <w:style w:type="table" w:styleId="Trameclaire-Accent4">
    <w:name w:val="Light Shading Accent 4"/>
    <w:basedOn w:val="TableauNormal"/>
    <w:uiPriority w:val="60"/>
    <w:semiHidden/>
    <w:unhideWhenUsed/>
    <w:rsid w:val="00B91B2B"/>
    <w:rPr>
      <w:rFonts w:asciiTheme="minorHAnsi" w:eastAsiaTheme="minorHAnsi"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markedcontent">
    <w:name w:val="markedcontent"/>
    <w:basedOn w:val="Policepardfaut"/>
    <w:rsid w:val="00B91B2B"/>
  </w:style>
  <w:style w:type="table" w:customStyle="1" w:styleId="Grilledutableau7">
    <w:name w:val="Grille du tableau7"/>
    <w:basedOn w:val="TableauNormal"/>
    <w:next w:val="Grilledutableau"/>
    <w:uiPriority w:val="39"/>
    <w:rsid w:val="00B91B2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51">
    <w:name w:val="SGS Table Basic 151"/>
    <w:basedOn w:val="TableauNormal"/>
    <w:next w:val="Grilledutableau"/>
    <w:uiPriority w:val="39"/>
    <w:qFormat/>
    <w:rsid w:val="00B91B2B"/>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0">
    <w:name w:val="Quote"/>
    <w:basedOn w:val="Normal"/>
    <w:next w:val="Normal"/>
    <w:link w:val="CitationCar"/>
    <w:uiPriority w:val="29"/>
    <w:qFormat/>
    <w:rsid w:val="00B91B2B"/>
    <w:pPr>
      <w:spacing w:before="200" w:after="160"/>
      <w:ind w:left="864" w:right="864"/>
      <w:jc w:val="center"/>
    </w:pPr>
    <w:rPr>
      <w:rFonts w:ascii="Arial" w:hAnsi="Arial"/>
      <w:i/>
      <w:iCs/>
      <w:color w:val="404040"/>
      <w:sz w:val="20"/>
    </w:rPr>
  </w:style>
  <w:style w:type="character" w:customStyle="1" w:styleId="CitationCar">
    <w:name w:val="Citation Car"/>
    <w:basedOn w:val="Policepardfaut"/>
    <w:link w:val="Citation0"/>
    <w:uiPriority w:val="29"/>
    <w:rsid w:val="00B91B2B"/>
    <w:rPr>
      <w:rFonts w:ascii="Arial" w:eastAsia="Times New Roman" w:hAnsi="Arial"/>
      <w:i/>
      <w:iCs/>
      <w:color w:val="404040"/>
      <w:szCs w:val="24"/>
    </w:rPr>
  </w:style>
  <w:style w:type="paragraph" w:customStyle="1" w:styleId="TIT2">
    <w:name w:val="TIT 2"/>
    <w:basedOn w:val="Titre2"/>
    <w:qFormat/>
    <w:rsid w:val="00B91B2B"/>
    <w:pPr>
      <w:keepLines/>
      <w:numPr>
        <w:ilvl w:val="0"/>
        <w:numId w:val="0"/>
      </w:numPr>
      <w:pBdr>
        <w:bottom w:val="single" w:sz="8" w:space="1" w:color="auto"/>
      </w:pBdr>
      <w:tabs>
        <w:tab w:val="clear" w:pos="-720"/>
      </w:tabs>
      <w:suppressAutoHyphens w:val="0"/>
      <w:spacing w:before="120" w:after="120"/>
    </w:pPr>
    <w:rPr>
      <w:rFonts w:ascii="Arial Gras" w:hAnsi="Arial Gras" w:cs="Times New Roman"/>
      <w:iCs w:val="0"/>
      <w:smallCaps/>
      <w:outline/>
      <w:color w:val="000000"/>
      <w:kern w:val="0"/>
      <w:sz w:val="26"/>
      <w:szCs w:val="26"/>
      <w:lang w:eastAsia="en-US"/>
      <w14:textOutline w14:w="9525" w14:cap="flat" w14:cmpd="sng" w14:algn="ctr">
        <w14:solidFill>
          <w14:srgbClr w14:val="000000"/>
        </w14:solidFill>
        <w14:prstDash w14:val="solid"/>
        <w14:round/>
      </w14:textOutline>
      <w14:textFill>
        <w14:noFill/>
      </w14:textFill>
    </w:rPr>
  </w:style>
  <w:style w:type="paragraph" w:styleId="Citationintense">
    <w:name w:val="Intense Quote"/>
    <w:basedOn w:val="Normal"/>
    <w:next w:val="Normal"/>
    <w:link w:val="CitationintenseCar"/>
    <w:uiPriority w:val="30"/>
    <w:qFormat/>
    <w:rsid w:val="00B91B2B"/>
    <w:pPr>
      <w:widowControl w:val="0"/>
      <w:pBdr>
        <w:top w:val="single" w:sz="4" w:space="10" w:color="5B9BD5" w:themeColor="accent1"/>
        <w:bottom w:val="single" w:sz="4" w:space="10" w:color="5B9BD5" w:themeColor="accent1"/>
      </w:pBdr>
      <w:autoSpaceDE w:val="0"/>
      <w:autoSpaceDN w:val="0"/>
      <w:adjustRightInd w:val="0"/>
      <w:spacing w:before="360" w:after="360"/>
      <w:ind w:left="864" w:right="864"/>
      <w:jc w:val="center"/>
    </w:pPr>
    <w:rPr>
      <w:rFonts w:ascii="Arial" w:eastAsiaTheme="minorEastAsia" w:hAnsi="Arial" w:cs="Arial"/>
      <w:i/>
      <w:iCs/>
      <w:color w:val="FF0000"/>
      <w:lang w:val="en-US" w:eastAsia="en-US"/>
    </w:rPr>
  </w:style>
  <w:style w:type="character" w:customStyle="1" w:styleId="CitationintenseCar">
    <w:name w:val="Citation intense Car"/>
    <w:basedOn w:val="Policepardfaut"/>
    <w:link w:val="Citationintense"/>
    <w:uiPriority w:val="30"/>
    <w:rsid w:val="00B91B2B"/>
    <w:rPr>
      <w:rFonts w:ascii="Arial" w:eastAsiaTheme="minorEastAsia" w:hAnsi="Arial" w:cs="Arial"/>
      <w:i/>
      <w:iCs/>
      <w:color w:val="FF0000"/>
      <w:sz w:val="24"/>
      <w:szCs w:val="24"/>
      <w:lang w:val="en-US" w:eastAsia="en-US"/>
    </w:rPr>
  </w:style>
  <w:style w:type="character" w:customStyle="1" w:styleId="UnresolvedMention2">
    <w:name w:val="Unresolved Mention2"/>
    <w:basedOn w:val="Policepardfaut"/>
    <w:uiPriority w:val="99"/>
    <w:semiHidden/>
    <w:unhideWhenUsed/>
    <w:rsid w:val="00B91B2B"/>
    <w:rPr>
      <w:color w:val="605E5C"/>
      <w:shd w:val="clear" w:color="auto" w:fill="E1DFDD"/>
    </w:rPr>
  </w:style>
  <w:style w:type="table" w:customStyle="1" w:styleId="SGSTableBasic111">
    <w:name w:val="SGS Table Basic 111"/>
    <w:basedOn w:val="TableauNormal"/>
    <w:next w:val="Grilledutableau"/>
    <w:uiPriority w:val="39"/>
    <w:qFormat/>
    <w:rsid w:val="00B91B2B"/>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2">
    <w:name w:val="SGS Table Basic 12"/>
    <w:basedOn w:val="TableauNormal"/>
    <w:next w:val="Grilledutableau"/>
    <w:uiPriority w:val="39"/>
    <w:qFormat/>
    <w:rsid w:val="00B91B2B"/>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1">
    <w:name w:val="SGS Table Basic 131"/>
    <w:basedOn w:val="TableauNormal"/>
    <w:next w:val="Grilledutableau"/>
    <w:uiPriority w:val="39"/>
    <w:qFormat/>
    <w:rsid w:val="00B91B2B"/>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41">
    <w:name w:val="SGS Table Basic 141"/>
    <w:basedOn w:val="TableauNormal"/>
    <w:next w:val="Grilledutableau"/>
    <w:uiPriority w:val="39"/>
    <w:qFormat/>
    <w:rsid w:val="00B91B2B"/>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B91B2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21">
    <w:name w:val="SGS Table Basic 1121"/>
    <w:basedOn w:val="TableauNormal"/>
    <w:next w:val="Grilledutableau"/>
    <w:uiPriority w:val="39"/>
    <w:qFormat/>
    <w:rsid w:val="00B91B2B"/>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31">
    <w:name w:val="SGS Table Basic 1131"/>
    <w:basedOn w:val="TableauNormal"/>
    <w:next w:val="Grilledutableau"/>
    <w:uiPriority w:val="39"/>
    <w:qFormat/>
    <w:rsid w:val="00B91B2B"/>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41">
    <w:name w:val="SGS Table Basic 1141"/>
    <w:basedOn w:val="TableauNormal"/>
    <w:next w:val="Grilledutableau"/>
    <w:uiPriority w:val="39"/>
    <w:qFormat/>
    <w:rsid w:val="00B91B2B"/>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
    <w:name w:val="Grille du tableau211"/>
    <w:basedOn w:val="TableauNormal"/>
    <w:next w:val="Grilledutableau"/>
    <w:uiPriority w:val="39"/>
    <w:rsid w:val="00B91B2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liste">
    <w:name w:val="elemliste"/>
    <w:basedOn w:val="Normal"/>
    <w:rsid w:val="00B91B2B"/>
    <w:pPr>
      <w:spacing w:before="100" w:beforeAutospacing="1" w:after="100" w:afterAutospacing="1"/>
    </w:pPr>
  </w:style>
  <w:style w:type="character" w:customStyle="1" w:styleId="hgkelc">
    <w:name w:val="hgkelc"/>
    <w:basedOn w:val="Policepardfaut"/>
    <w:rsid w:val="00B91B2B"/>
  </w:style>
  <w:style w:type="character" w:customStyle="1" w:styleId="Mentionnonrsolue11">
    <w:name w:val="Mention non résolue11"/>
    <w:basedOn w:val="Policepardfaut"/>
    <w:uiPriority w:val="99"/>
    <w:semiHidden/>
    <w:unhideWhenUsed/>
    <w:rsid w:val="00202CE9"/>
    <w:rPr>
      <w:color w:val="605E5C"/>
      <w:shd w:val="clear" w:color="auto" w:fill="E1DFDD"/>
    </w:rPr>
  </w:style>
  <w:style w:type="character" w:customStyle="1" w:styleId="y2iqfc">
    <w:name w:val="y2iqfc"/>
    <w:basedOn w:val="Policepardfaut"/>
    <w:rsid w:val="00065A58"/>
  </w:style>
  <w:style w:type="character" w:customStyle="1" w:styleId="cf01">
    <w:name w:val="cf01"/>
    <w:basedOn w:val="Policepardfaut"/>
    <w:rsid w:val="00DE2674"/>
    <w:rPr>
      <w:rFonts w:ascii="Segoe UI" w:hAnsi="Segoe UI" w:cs="Segoe UI" w:hint="default"/>
      <w:sz w:val="18"/>
      <w:szCs w:val="18"/>
    </w:rPr>
  </w:style>
  <w:style w:type="paragraph" w:customStyle="1" w:styleId="pf0">
    <w:name w:val="pf0"/>
    <w:basedOn w:val="Normal"/>
    <w:rsid w:val="00996617"/>
    <w:pPr>
      <w:spacing w:before="100" w:beforeAutospacing="1" w:after="100" w:afterAutospacing="1"/>
    </w:pPr>
    <w:rPr>
      <w:lang w:val="fr-SN" w:eastAsia="fr-SN"/>
    </w:rPr>
  </w:style>
  <w:style w:type="character" w:customStyle="1" w:styleId="cf11">
    <w:name w:val="cf11"/>
    <w:basedOn w:val="Policepardfaut"/>
    <w:rsid w:val="00996617"/>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9392">
      <w:bodyDiv w:val="1"/>
      <w:marLeft w:val="0"/>
      <w:marRight w:val="0"/>
      <w:marTop w:val="0"/>
      <w:marBottom w:val="0"/>
      <w:divBdr>
        <w:top w:val="none" w:sz="0" w:space="0" w:color="auto"/>
        <w:left w:val="none" w:sz="0" w:space="0" w:color="auto"/>
        <w:bottom w:val="none" w:sz="0" w:space="0" w:color="auto"/>
        <w:right w:val="none" w:sz="0" w:space="0" w:color="auto"/>
      </w:divBdr>
    </w:div>
    <w:div w:id="24911697">
      <w:bodyDiv w:val="1"/>
      <w:marLeft w:val="0"/>
      <w:marRight w:val="0"/>
      <w:marTop w:val="0"/>
      <w:marBottom w:val="0"/>
      <w:divBdr>
        <w:top w:val="none" w:sz="0" w:space="0" w:color="auto"/>
        <w:left w:val="none" w:sz="0" w:space="0" w:color="auto"/>
        <w:bottom w:val="none" w:sz="0" w:space="0" w:color="auto"/>
        <w:right w:val="none" w:sz="0" w:space="0" w:color="auto"/>
      </w:divBdr>
    </w:div>
    <w:div w:id="44373473">
      <w:bodyDiv w:val="1"/>
      <w:marLeft w:val="0"/>
      <w:marRight w:val="0"/>
      <w:marTop w:val="0"/>
      <w:marBottom w:val="0"/>
      <w:divBdr>
        <w:top w:val="none" w:sz="0" w:space="0" w:color="auto"/>
        <w:left w:val="none" w:sz="0" w:space="0" w:color="auto"/>
        <w:bottom w:val="none" w:sz="0" w:space="0" w:color="auto"/>
        <w:right w:val="none" w:sz="0" w:space="0" w:color="auto"/>
      </w:divBdr>
    </w:div>
    <w:div w:id="54395387">
      <w:bodyDiv w:val="1"/>
      <w:marLeft w:val="0"/>
      <w:marRight w:val="0"/>
      <w:marTop w:val="0"/>
      <w:marBottom w:val="0"/>
      <w:divBdr>
        <w:top w:val="none" w:sz="0" w:space="0" w:color="auto"/>
        <w:left w:val="none" w:sz="0" w:space="0" w:color="auto"/>
        <w:bottom w:val="none" w:sz="0" w:space="0" w:color="auto"/>
        <w:right w:val="none" w:sz="0" w:space="0" w:color="auto"/>
      </w:divBdr>
    </w:div>
    <w:div w:id="69617639">
      <w:bodyDiv w:val="1"/>
      <w:marLeft w:val="0"/>
      <w:marRight w:val="0"/>
      <w:marTop w:val="0"/>
      <w:marBottom w:val="0"/>
      <w:divBdr>
        <w:top w:val="none" w:sz="0" w:space="0" w:color="auto"/>
        <w:left w:val="none" w:sz="0" w:space="0" w:color="auto"/>
        <w:bottom w:val="none" w:sz="0" w:space="0" w:color="auto"/>
        <w:right w:val="none" w:sz="0" w:space="0" w:color="auto"/>
      </w:divBdr>
    </w:div>
    <w:div w:id="74137137">
      <w:bodyDiv w:val="1"/>
      <w:marLeft w:val="0"/>
      <w:marRight w:val="0"/>
      <w:marTop w:val="0"/>
      <w:marBottom w:val="0"/>
      <w:divBdr>
        <w:top w:val="none" w:sz="0" w:space="0" w:color="auto"/>
        <w:left w:val="none" w:sz="0" w:space="0" w:color="auto"/>
        <w:bottom w:val="none" w:sz="0" w:space="0" w:color="auto"/>
        <w:right w:val="none" w:sz="0" w:space="0" w:color="auto"/>
      </w:divBdr>
    </w:div>
    <w:div w:id="75128038">
      <w:bodyDiv w:val="1"/>
      <w:marLeft w:val="0"/>
      <w:marRight w:val="0"/>
      <w:marTop w:val="0"/>
      <w:marBottom w:val="0"/>
      <w:divBdr>
        <w:top w:val="none" w:sz="0" w:space="0" w:color="auto"/>
        <w:left w:val="none" w:sz="0" w:space="0" w:color="auto"/>
        <w:bottom w:val="none" w:sz="0" w:space="0" w:color="auto"/>
        <w:right w:val="none" w:sz="0" w:space="0" w:color="auto"/>
      </w:divBdr>
    </w:div>
    <w:div w:id="81225007">
      <w:bodyDiv w:val="1"/>
      <w:marLeft w:val="0"/>
      <w:marRight w:val="0"/>
      <w:marTop w:val="0"/>
      <w:marBottom w:val="0"/>
      <w:divBdr>
        <w:top w:val="none" w:sz="0" w:space="0" w:color="auto"/>
        <w:left w:val="none" w:sz="0" w:space="0" w:color="auto"/>
        <w:bottom w:val="none" w:sz="0" w:space="0" w:color="auto"/>
        <w:right w:val="none" w:sz="0" w:space="0" w:color="auto"/>
      </w:divBdr>
    </w:div>
    <w:div w:id="83184284">
      <w:bodyDiv w:val="1"/>
      <w:marLeft w:val="0"/>
      <w:marRight w:val="0"/>
      <w:marTop w:val="0"/>
      <w:marBottom w:val="0"/>
      <w:divBdr>
        <w:top w:val="none" w:sz="0" w:space="0" w:color="auto"/>
        <w:left w:val="none" w:sz="0" w:space="0" w:color="auto"/>
        <w:bottom w:val="none" w:sz="0" w:space="0" w:color="auto"/>
        <w:right w:val="none" w:sz="0" w:space="0" w:color="auto"/>
      </w:divBdr>
    </w:div>
    <w:div w:id="108361950">
      <w:bodyDiv w:val="1"/>
      <w:marLeft w:val="0"/>
      <w:marRight w:val="0"/>
      <w:marTop w:val="0"/>
      <w:marBottom w:val="0"/>
      <w:divBdr>
        <w:top w:val="none" w:sz="0" w:space="0" w:color="auto"/>
        <w:left w:val="none" w:sz="0" w:space="0" w:color="auto"/>
        <w:bottom w:val="none" w:sz="0" w:space="0" w:color="auto"/>
        <w:right w:val="none" w:sz="0" w:space="0" w:color="auto"/>
      </w:divBdr>
    </w:div>
    <w:div w:id="112287075">
      <w:bodyDiv w:val="1"/>
      <w:marLeft w:val="0"/>
      <w:marRight w:val="0"/>
      <w:marTop w:val="0"/>
      <w:marBottom w:val="0"/>
      <w:divBdr>
        <w:top w:val="none" w:sz="0" w:space="0" w:color="auto"/>
        <w:left w:val="none" w:sz="0" w:space="0" w:color="auto"/>
        <w:bottom w:val="none" w:sz="0" w:space="0" w:color="auto"/>
        <w:right w:val="none" w:sz="0" w:space="0" w:color="auto"/>
      </w:divBdr>
    </w:div>
    <w:div w:id="137311345">
      <w:bodyDiv w:val="1"/>
      <w:marLeft w:val="0"/>
      <w:marRight w:val="0"/>
      <w:marTop w:val="0"/>
      <w:marBottom w:val="0"/>
      <w:divBdr>
        <w:top w:val="none" w:sz="0" w:space="0" w:color="auto"/>
        <w:left w:val="none" w:sz="0" w:space="0" w:color="auto"/>
        <w:bottom w:val="none" w:sz="0" w:space="0" w:color="auto"/>
        <w:right w:val="none" w:sz="0" w:space="0" w:color="auto"/>
      </w:divBdr>
    </w:div>
    <w:div w:id="137655431">
      <w:bodyDiv w:val="1"/>
      <w:marLeft w:val="0"/>
      <w:marRight w:val="0"/>
      <w:marTop w:val="0"/>
      <w:marBottom w:val="0"/>
      <w:divBdr>
        <w:top w:val="none" w:sz="0" w:space="0" w:color="auto"/>
        <w:left w:val="none" w:sz="0" w:space="0" w:color="auto"/>
        <w:bottom w:val="none" w:sz="0" w:space="0" w:color="auto"/>
        <w:right w:val="none" w:sz="0" w:space="0" w:color="auto"/>
      </w:divBdr>
    </w:div>
    <w:div w:id="154692609">
      <w:bodyDiv w:val="1"/>
      <w:marLeft w:val="0"/>
      <w:marRight w:val="0"/>
      <w:marTop w:val="0"/>
      <w:marBottom w:val="0"/>
      <w:divBdr>
        <w:top w:val="none" w:sz="0" w:space="0" w:color="auto"/>
        <w:left w:val="none" w:sz="0" w:space="0" w:color="auto"/>
        <w:bottom w:val="none" w:sz="0" w:space="0" w:color="auto"/>
        <w:right w:val="none" w:sz="0" w:space="0" w:color="auto"/>
      </w:divBdr>
    </w:div>
    <w:div w:id="157815726">
      <w:bodyDiv w:val="1"/>
      <w:marLeft w:val="0"/>
      <w:marRight w:val="0"/>
      <w:marTop w:val="0"/>
      <w:marBottom w:val="0"/>
      <w:divBdr>
        <w:top w:val="none" w:sz="0" w:space="0" w:color="auto"/>
        <w:left w:val="none" w:sz="0" w:space="0" w:color="auto"/>
        <w:bottom w:val="none" w:sz="0" w:space="0" w:color="auto"/>
        <w:right w:val="none" w:sz="0" w:space="0" w:color="auto"/>
      </w:divBdr>
    </w:div>
    <w:div w:id="163281970">
      <w:bodyDiv w:val="1"/>
      <w:marLeft w:val="0"/>
      <w:marRight w:val="0"/>
      <w:marTop w:val="0"/>
      <w:marBottom w:val="0"/>
      <w:divBdr>
        <w:top w:val="none" w:sz="0" w:space="0" w:color="auto"/>
        <w:left w:val="none" w:sz="0" w:space="0" w:color="auto"/>
        <w:bottom w:val="none" w:sz="0" w:space="0" w:color="auto"/>
        <w:right w:val="none" w:sz="0" w:space="0" w:color="auto"/>
      </w:divBdr>
    </w:div>
    <w:div w:id="196551169">
      <w:bodyDiv w:val="1"/>
      <w:marLeft w:val="0"/>
      <w:marRight w:val="0"/>
      <w:marTop w:val="0"/>
      <w:marBottom w:val="0"/>
      <w:divBdr>
        <w:top w:val="none" w:sz="0" w:space="0" w:color="auto"/>
        <w:left w:val="none" w:sz="0" w:space="0" w:color="auto"/>
        <w:bottom w:val="none" w:sz="0" w:space="0" w:color="auto"/>
        <w:right w:val="none" w:sz="0" w:space="0" w:color="auto"/>
      </w:divBdr>
    </w:div>
    <w:div w:id="198444676">
      <w:bodyDiv w:val="1"/>
      <w:marLeft w:val="0"/>
      <w:marRight w:val="0"/>
      <w:marTop w:val="0"/>
      <w:marBottom w:val="0"/>
      <w:divBdr>
        <w:top w:val="none" w:sz="0" w:space="0" w:color="auto"/>
        <w:left w:val="none" w:sz="0" w:space="0" w:color="auto"/>
        <w:bottom w:val="none" w:sz="0" w:space="0" w:color="auto"/>
        <w:right w:val="none" w:sz="0" w:space="0" w:color="auto"/>
      </w:divBdr>
    </w:div>
    <w:div w:id="237717280">
      <w:bodyDiv w:val="1"/>
      <w:marLeft w:val="0"/>
      <w:marRight w:val="0"/>
      <w:marTop w:val="0"/>
      <w:marBottom w:val="0"/>
      <w:divBdr>
        <w:top w:val="none" w:sz="0" w:space="0" w:color="auto"/>
        <w:left w:val="none" w:sz="0" w:space="0" w:color="auto"/>
        <w:bottom w:val="none" w:sz="0" w:space="0" w:color="auto"/>
        <w:right w:val="none" w:sz="0" w:space="0" w:color="auto"/>
      </w:divBdr>
    </w:div>
    <w:div w:id="255132876">
      <w:bodyDiv w:val="1"/>
      <w:marLeft w:val="0"/>
      <w:marRight w:val="0"/>
      <w:marTop w:val="0"/>
      <w:marBottom w:val="0"/>
      <w:divBdr>
        <w:top w:val="none" w:sz="0" w:space="0" w:color="auto"/>
        <w:left w:val="none" w:sz="0" w:space="0" w:color="auto"/>
        <w:bottom w:val="none" w:sz="0" w:space="0" w:color="auto"/>
        <w:right w:val="none" w:sz="0" w:space="0" w:color="auto"/>
      </w:divBdr>
    </w:div>
    <w:div w:id="257711725">
      <w:bodyDiv w:val="1"/>
      <w:marLeft w:val="0"/>
      <w:marRight w:val="0"/>
      <w:marTop w:val="0"/>
      <w:marBottom w:val="0"/>
      <w:divBdr>
        <w:top w:val="none" w:sz="0" w:space="0" w:color="auto"/>
        <w:left w:val="none" w:sz="0" w:space="0" w:color="auto"/>
        <w:bottom w:val="none" w:sz="0" w:space="0" w:color="auto"/>
        <w:right w:val="none" w:sz="0" w:space="0" w:color="auto"/>
      </w:divBdr>
    </w:div>
    <w:div w:id="295332169">
      <w:bodyDiv w:val="1"/>
      <w:marLeft w:val="0"/>
      <w:marRight w:val="0"/>
      <w:marTop w:val="0"/>
      <w:marBottom w:val="0"/>
      <w:divBdr>
        <w:top w:val="none" w:sz="0" w:space="0" w:color="auto"/>
        <w:left w:val="none" w:sz="0" w:space="0" w:color="auto"/>
        <w:bottom w:val="none" w:sz="0" w:space="0" w:color="auto"/>
        <w:right w:val="none" w:sz="0" w:space="0" w:color="auto"/>
      </w:divBdr>
    </w:div>
    <w:div w:id="311982632">
      <w:bodyDiv w:val="1"/>
      <w:marLeft w:val="0"/>
      <w:marRight w:val="0"/>
      <w:marTop w:val="0"/>
      <w:marBottom w:val="0"/>
      <w:divBdr>
        <w:top w:val="none" w:sz="0" w:space="0" w:color="auto"/>
        <w:left w:val="none" w:sz="0" w:space="0" w:color="auto"/>
        <w:bottom w:val="none" w:sz="0" w:space="0" w:color="auto"/>
        <w:right w:val="none" w:sz="0" w:space="0" w:color="auto"/>
      </w:divBdr>
    </w:div>
    <w:div w:id="334504115">
      <w:bodyDiv w:val="1"/>
      <w:marLeft w:val="0"/>
      <w:marRight w:val="0"/>
      <w:marTop w:val="0"/>
      <w:marBottom w:val="0"/>
      <w:divBdr>
        <w:top w:val="none" w:sz="0" w:space="0" w:color="auto"/>
        <w:left w:val="none" w:sz="0" w:space="0" w:color="auto"/>
        <w:bottom w:val="none" w:sz="0" w:space="0" w:color="auto"/>
        <w:right w:val="none" w:sz="0" w:space="0" w:color="auto"/>
      </w:divBdr>
      <w:divsChild>
        <w:div w:id="894194811">
          <w:marLeft w:val="0"/>
          <w:marRight w:val="0"/>
          <w:marTop w:val="0"/>
          <w:marBottom w:val="0"/>
          <w:divBdr>
            <w:top w:val="none" w:sz="0" w:space="0" w:color="auto"/>
            <w:left w:val="none" w:sz="0" w:space="0" w:color="auto"/>
            <w:bottom w:val="none" w:sz="0" w:space="0" w:color="auto"/>
            <w:right w:val="none" w:sz="0" w:space="0" w:color="auto"/>
          </w:divBdr>
          <w:divsChild>
            <w:div w:id="1780879005">
              <w:marLeft w:val="0"/>
              <w:marRight w:val="0"/>
              <w:marTop w:val="0"/>
              <w:marBottom w:val="0"/>
              <w:divBdr>
                <w:top w:val="none" w:sz="0" w:space="0" w:color="auto"/>
                <w:left w:val="none" w:sz="0" w:space="0" w:color="auto"/>
                <w:bottom w:val="none" w:sz="0" w:space="0" w:color="auto"/>
                <w:right w:val="none" w:sz="0" w:space="0" w:color="auto"/>
              </w:divBdr>
              <w:divsChild>
                <w:div w:id="496455128">
                  <w:marLeft w:val="0"/>
                  <w:marRight w:val="0"/>
                  <w:marTop w:val="0"/>
                  <w:marBottom w:val="0"/>
                  <w:divBdr>
                    <w:top w:val="none" w:sz="0" w:space="0" w:color="auto"/>
                    <w:left w:val="none" w:sz="0" w:space="0" w:color="auto"/>
                    <w:bottom w:val="none" w:sz="0" w:space="0" w:color="auto"/>
                    <w:right w:val="none" w:sz="0" w:space="0" w:color="auto"/>
                  </w:divBdr>
                  <w:divsChild>
                    <w:div w:id="189805482">
                      <w:marLeft w:val="0"/>
                      <w:marRight w:val="0"/>
                      <w:marTop w:val="0"/>
                      <w:marBottom w:val="0"/>
                      <w:divBdr>
                        <w:top w:val="none" w:sz="0" w:space="0" w:color="auto"/>
                        <w:left w:val="none" w:sz="0" w:space="0" w:color="auto"/>
                        <w:bottom w:val="none" w:sz="0" w:space="0" w:color="auto"/>
                        <w:right w:val="none" w:sz="0" w:space="0" w:color="auto"/>
                      </w:divBdr>
                      <w:divsChild>
                        <w:div w:id="1066105091">
                          <w:marLeft w:val="0"/>
                          <w:marRight w:val="0"/>
                          <w:marTop w:val="0"/>
                          <w:marBottom w:val="0"/>
                          <w:divBdr>
                            <w:top w:val="none" w:sz="0" w:space="0" w:color="auto"/>
                            <w:left w:val="none" w:sz="0" w:space="0" w:color="auto"/>
                            <w:bottom w:val="none" w:sz="0" w:space="0" w:color="auto"/>
                            <w:right w:val="none" w:sz="0" w:space="0" w:color="auto"/>
                          </w:divBdr>
                          <w:divsChild>
                            <w:div w:id="891699907">
                              <w:marLeft w:val="0"/>
                              <w:marRight w:val="0"/>
                              <w:marTop w:val="0"/>
                              <w:marBottom w:val="0"/>
                              <w:divBdr>
                                <w:top w:val="none" w:sz="0" w:space="0" w:color="auto"/>
                                <w:left w:val="none" w:sz="0" w:space="0" w:color="auto"/>
                                <w:bottom w:val="none" w:sz="0" w:space="0" w:color="auto"/>
                                <w:right w:val="none" w:sz="0" w:space="0" w:color="auto"/>
                              </w:divBdr>
                              <w:divsChild>
                                <w:div w:id="1530410559">
                                  <w:marLeft w:val="0"/>
                                  <w:marRight w:val="0"/>
                                  <w:marTop w:val="0"/>
                                  <w:marBottom w:val="0"/>
                                  <w:divBdr>
                                    <w:top w:val="none" w:sz="0" w:space="0" w:color="auto"/>
                                    <w:left w:val="none" w:sz="0" w:space="0" w:color="auto"/>
                                    <w:bottom w:val="none" w:sz="0" w:space="0" w:color="auto"/>
                                    <w:right w:val="none" w:sz="0" w:space="0" w:color="auto"/>
                                  </w:divBdr>
                                  <w:divsChild>
                                    <w:div w:id="41293017">
                                      <w:marLeft w:val="0"/>
                                      <w:marRight w:val="0"/>
                                      <w:marTop w:val="0"/>
                                      <w:marBottom w:val="0"/>
                                      <w:divBdr>
                                        <w:top w:val="none" w:sz="0" w:space="0" w:color="auto"/>
                                        <w:left w:val="none" w:sz="0" w:space="0" w:color="auto"/>
                                        <w:bottom w:val="none" w:sz="0" w:space="0" w:color="auto"/>
                                        <w:right w:val="none" w:sz="0" w:space="0" w:color="auto"/>
                                      </w:divBdr>
                                      <w:divsChild>
                                        <w:div w:id="8485920">
                                          <w:marLeft w:val="0"/>
                                          <w:marRight w:val="0"/>
                                          <w:marTop w:val="0"/>
                                          <w:marBottom w:val="0"/>
                                          <w:divBdr>
                                            <w:top w:val="none" w:sz="0" w:space="0" w:color="auto"/>
                                            <w:left w:val="none" w:sz="0" w:space="0" w:color="auto"/>
                                            <w:bottom w:val="none" w:sz="0" w:space="0" w:color="auto"/>
                                            <w:right w:val="none" w:sz="0" w:space="0" w:color="auto"/>
                                          </w:divBdr>
                                          <w:divsChild>
                                            <w:div w:id="1887598023">
                                              <w:marLeft w:val="0"/>
                                              <w:marRight w:val="0"/>
                                              <w:marTop w:val="0"/>
                                              <w:marBottom w:val="0"/>
                                              <w:divBdr>
                                                <w:top w:val="none" w:sz="0" w:space="0" w:color="auto"/>
                                                <w:left w:val="none" w:sz="0" w:space="0" w:color="auto"/>
                                                <w:bottom w:val="none" w:sz="0" w:space="0" w:color="auto"/>
                                                <w:right w:val="none" w:sz="0" w:space="0" w:color="auto"/>
                                              </w:divBdr>
                                              <w:divsChild>
                                                <w:div w:id="739644630">
                                                  <w:marLeft w:val="0"/>
                                                  <w:marRight w:val="0"/>
                                                  <w:marTop w:val="0"/>
                                                  <w:marBottom w:val="0"/>
                                                  <w:divBdr>
                                                    <w:top w:val="none" w:sz="0" w:space="0" w:color="auto"/>
                                                    <w:left w:val="none" w:sz="0" w:space="0" w:color="auto"/>
                                                    <w:bottom w:val="none" w:sz="0" w:space="0" w:color="auto"/>
                                                    <w:right w:val="none" w:sz="0" w:space="0" w:color="auto"/>
                                                  </w:divBdr>
                                                  <w:divsChild>
                                                    <w:div w:id="2044282869">
                                                      <w:marLeft w:val="0"/>
                                                      <w:marRight w:val="0"/>
                                                      <w:marTop w:val="0"/>
                                                      <w:marBottom w:val="0"/>
                                                      <w:divBdr>
                                                        <w:top w:val="none" w:sz="0" w:space="0" w:color="auto"/>
                                                        <w:left w:val="none" w:sz="0" w:space="0" w:color="auto"/>
                                                        <w:bottom w:val="none" w:sz="0" w:space="0" w:color="auto"/>
                                                        <w:right w:val="none" w:sz="0" w:space="0" w:color="auto"/>
                                                      </w:divBdr>
                                                      <w:divsChild>
                                                        <w:div w:id="1577009980">
                                                          <w:marLeft w:val="0"/>
                                                          <w:marRight w:val="0"/>
                                                          <w:marTop w:val="0"/>
                                                          <w:marBottom w:val="0"/>
                                                          <w:divBdr>
                                                            <w:top w:val="none" w:sz="0" w:space="0" w:color="auto"/>
                                                            <w:left w:val="none" w:sz="0" w:space="0" w:color="auto"/>
                                                            <w:bottom w:val="none" w:sz="0" w:space="0" w:color="auto"/>
                                                            <w:right w:val="none" w:sz="0" w:space="0" w:color="auto"/>
                                                          </w:divBdr>
                                                          <w:divsChild>
                                                            <w:div w:id="1691057200">
                                                              <w:marLeft w:val="0"/>
                                                              <w:marRight w:val="0"/>
                                                              <w:marTop w:val="0"/>
                                                              <w:marBottom w:val="0"/>
                                                              <w:divBdr>
                                                                <w:top w:val="none" w:sz="0" w:space="0" w:color="auto"/>
                                                                <w:left w:val="none" w:sz="0" w:space="0" w:color="auto"/>
                                                                <w:bottom w:val="none" w:sz="0" w:space="0" w:color="auto"/>
                                                                <w:right w:val="none" w:sz="0" w:space="0" w:color="auto"/>
                                                              </w:divBdr>
                                                              <w:divsChild>
                                                                <w:div w:id="1991012366">
                                                                  <w:marLeft w:val="0"/>
                                                                  <w:marRight w:val="0"/>
                                                                  <w:marTop w:val="0"/>
                                                                  <w:marBottom w:val="0"/>
                                                                  <w:divBdr>
                                                                    <w:top w:val="none" w:sz="0" w:space="0" w:color="auto"/>
                                                                    <w:left w:val="none" w:sz="0" w:space="0" w:color="auto"/>
                                                                    <w:bottom w:val="none" w:sz="0" w:space="0" w:color="auto"/>
                                                                    <w:right w:val="none" w:sz="0" w:space="0" w:color="auto"/>
                                                                  </w:divBdr>
                                                                  <w:divsChild>
                                                                    <w:div w:id="26610580">
                                                                      <w:marLeft w:val="0"/>
                                                                      <w:marRight w:val="0"/>
                                                                      <w:marTop w:val="0"/>
                                                                      <w:marBottom w:val="0"/>
                                                                      <w:divBdr>
                                                                        <w:top w:val="none" w:sz="0" w:space="0" w:color="auto"/>
                                                                        <w:left w:val="none" w:sz="0" w:space="0" w:color="auto"/>
                                                                        <w:bottom w:val="none" w:sz="0" w:space="0" w:color="auto"/>
                                                                        <w:right w:val="none" w:sz="0" w:space="0" w:color="auto"/>
                                                                      </w:divBdr>
                                                                    </w:div>
                                                                    <w:div w:id="142820774">
                                                                      <w:marLeft w:val="0"/>
                                                                      <w:marRight w:val="0"/>
                                                                      <w:marTop w:val="0"/>
                                                                      <w:marBottom w:val="0"/>
                                                                      <w:divBdr>
                                                                        <w:top w:val="none" w:sz="0" w:space="0" w:color="auto"/>
                                                                        <w:left w:val="none" w:sz="0" w:space="0" w:color="auto"/>
                                                                        <w:bottom w:val="none" w:sz="0" w:space="0" w:color="auto"/>
                                                                        <w:right w:val="none" w:sz="0" w:space="0" w:color="auto"/>
                                                                      </w:divBdr>
                                                                    </w:div>
                                                                    <w:div w:id="507326382">
                                                                      <w:marLeft w:val="0"/>
                                                                      <w:marRight w:val="0"/>
                                                                      <w:marTop w:val="0"/>
                                                                      <w:marBottom w:val="0"/>
                                                                      <w:divBdr>
                                                                        <w:top w:val="none" w:sz="0" w:space="0" w:color="auto"/>
                                                                        <w:left w:val="none" w:sz="0" w:space="0" w:color="auto"/>
                                                                        <w:bottom w:val="none" w:sz="0" w:space="0" w:color="auto"/>
                                                                        <w:right w:val="none" w:sz="0" w:space="0" w:color="auto"/>
                                                                      </w:divBdr>
                                                                    </w:div>
                                                                    <w:div w:id="742724222">
                                                                      <w:marLeft w:val="0"/>
                                                                      <w:marRight w:val="0"/>
                                                                      <w:marTop w:val="0"/>
                                                                      <w:marBottom w:val="0"/>
                                                                      <w:divBdr>
                                                                        <w:top w:val="none" w:sz="0" w:space="0" w:color="auto"/>
                                                                        <w:left w:val="none" w:sz="0" w:space="0" w:color="auto"/>
                                                                        <w:bottom w:val="none" w:sz="0" w:space="0" w:color="auto"/>
                                                                        <w:right w:val="none" w:sz="0" w:space="0" w:color="auto"/>
                                                                      </w:divBdr>
                                                                    </w:div>
                                                                    <w:div w:id="844831338">
                                                                      <w:marLeft w:val="0"/>
                                                                      <w:marRight w:val="0"/>
                                                                      <w:marTop w:val="0"/>
                                                                      <w:marBottom w:val="0"/>
                                                                      <w:divBdr>
                                                                        <w:top w:val="none" w:sz="0" w:space="0" w:color="auto"/>
                                                                        <w:left w:val="none" w:sz="0" w:space="0" w:color="auto"/>
                                                                        <w:bottom w:val="none" w:sz="0" w:space="0" w:color="auto"/>
                                                                        <w:right w:val="none" w:sz="0" w:space="0" w:color="auto"/>
                                                                      </w:divBdr>
                                                                    </w:div>
                                                                    <w:div w:id="948927653">
                                                                      <w:marLeft w:val="0"/>
                                                                      <w:marRight w:val="0"/>
                                                                      <w:marTop w:val="0"/>
                                                                      <w:marBottom w:val="0"/>
                                                                      <w:divBdr>
                                                                        <w:top w:val="none" w:sz="0" w:space="0" w:color="auto"/>
                                                                        <w:left w:val="none" w:sz="0" w:space="0" w:color="auto"/>
                                                                        <w:bottom w:val="none" w:sz="0" w:space="0" w:color="auto"/>
                                                                        <w:right w:val="none" w:sz="0" w:space="0" w:color="auto"/>
                                                                      </w:divBdr>
                                                                    </w:div>
                                                                    <w:div w:id="956720106">
                                                                      <w:marLeft w:val="0"/>
                                                                      <w:marRight w:val="0"/>
                                                                      <w:marTop w:val="0"/>
                                                                      <w:marBottom w:val="0"/>
                                                                      <w:divBdr>
                                                                        <w:top w:val="none" w:sz="0" w:space="0" w:color="auto"/>
                                                                        <w:left w:val="none" w:sz="0" w:space="0" w:color="auto"/>
                                                                        <w:bottom w:val="none" w:sz="0" w:space="0" w:color="auto"/>
                                                                        <w:right w:val="none" w:sz="0" w:space="0" w:color="auto"/>
                                                                      </w:divBdr>
                                                                    </w:div>
                                                                    <w:div w:id="1026827239">
                                                                      <w:marLeft w:val="0"/>
                                                                      <w:marRight w:val="0"/>
                                                                      <w:marTop w:val="0"/>
                                                                      <w:marBottom w:val="0"/>
                                                                      <w:divBdr>
                                                                        <w:top w:val="none" w:sz="0" w:space="0" w:color="auto"/>
                                                                        <w:left w:val="none" w:sz="0" w:space="0" w:color="auto"/>
                                                                        <w:bottom w:val="none" w:sz="0" w:space="0" w:color="auto"/>
                                                                        <w:right w:val="none" w:sz="0" w:space="0" w:color="auto"/>
                                                                      </w:divBdr>
                                                                    </w:div>
                                                                    <w:div w:id="1449354894">
                                                                      <w:marLeft w:val="0"/>
                                                                      <w:marRight w:val="0"/>
                                                                      <w:marTop w:val="0"/>
                                                                      <w:marBottom w:val="0"/>
                                                                      <w:divBdr>
                                                                        <w:top w:val="none" w:sz="0" w:space="0" w:color="auto"/>
                                                                        <w:left w:val="none" w:sz="0" w:space="0" w:color="auto"/>
                                                                        <w:bottom w:val="none" w:sz="0" w:space="0" w:color="auto"/>
                                                                        <w:right w:val="none" w:sz="0" w:space="0" w:color="auto"/>
                                                                      </w:divBdr>
                                                                    </w:div>
                                                                    <w:div w:id="1727336519">
                                                                      <w:marLeft w:val="0"/>
                                                                      <w:marRight w:val="0"/>
                                                                      <w:marTop w:val="0"/>
                                                                      <w:marBottom w:val="0"/>
                                                                      <w:divBdr>
                                                                        <w:top w:val="none" w:sz="0" w:space="0" w:color="auto"/>
                                                                        <w:left w:val="none" w:sz="0" w:space="0" w:color="auto"/>
                                                                        <w:bottom w:val="none" w:sz="0" w:space="0" w:color="auto"/>
                                                                        <w:right w:val="none" w:sz="0" w:space="0" w:color="auto"/>
                                                                      </w:divBdr>
                                                                    </w:div>
                                                                    <w:div w:id="18534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6564097">
      <w:bodyDiv w:val="1"/>
      <w:marLeft w:val="0"/>
      <w:marRight w:val="0"/>
      <w:marTop w:val="0"/>
      <w:marBottom w:val="0"/>
      <w:divBdr>
        <w:top w:val="none" w:sz="0" w:space="0" w:color="auto"/>
        <w:left w:val="none" w:sz="0" w:space="0" w:color="auto"/>
        <w:bottom w:val="none" w:sz="0" w:space="0" w:color="auto"/>
        <w:right w:val="none" w:sz="0" w:space="0" w:color="auto"/>
      </w:divBdr>
    </w:div>
    <w:div w:id="347948320">
      <w:bodyDiv w:val="1"/>
      <w:marLeft w:val="0"/>
      <w:marRight w:val="0"/>
      <w:marTop w:val="0"/>
      <w:marBottom w:val="0"/>
      <w:divBdr>
        <w:top w:val="none" w:sz="0" w:space="0" w:color="auto"/>
        <w:left w:val="none" w:sz="0" w:space="0" w:color="auto"/>
        <w:bottom w:val="none" w:sz="0" w:space="0" w:color="auto"/>
        <w:right w:val="none" w:sz="0" w:space="0" w:color="auto"/>
      </w:divBdr>
    </w:div>
    <w:div w:id="356080764">
      <w:bodyDiv w:val="1"/>
      <w:marLeft w:val="0"/>
      <w:marRight w:val="0"/>
      <w:marTop w:val="0"/>
      <w:marBottom w:val="0"/>
      <w:divBdr>
        <w:top w:val="none" w:sz="0" w:space="0" w:color="auto"/>
        <w:left w:val="none" w:sz="0" w:space="0" w:color="auto"/>
        <w:bottom w:val="none" w:sz="0" w:space="0" w:color="auto"/>
        <w:right w:val="none" w:sz="0" w:space="0" w:color="auto"/>
      </w:divBdr>
    </w:div>
    <w:div w:id="367416294">
      <w:bodyDiv w:val="1"/>
      <w:marLeft w:val="0"/>
      <w:marRight w:val="0"/>
      <w:marTop w:val="0"/>
      <w:marBottom w:val="0"/>
      <w:divBdr>
        <w:top w:val="none" w:sz="0" w:space="0" w:color="auto"/>
        <w:left w:val="none" w:sz="0" w:space="0" w:color="auto"/>
        <w:bottom w:val="none" w:sz="0" w:space="0" w:color="auto"/>
        <w:right w:val="none" w:sz="0" w:space="0" w:color="auto"/>
      </w:divBdr>
    </w:div>
    <w:div w:id="397483755">
      <w:bodyDiv w:val="1"/>
      <w:marLeft w:val="0"/>
      <w:marRight w:val="0"/>
      <w:marTop w:val="0"/>
      <w:marBottom w:val="0"/>
      <w:divBdr>
        <w:top w:val="none" w:sz="0" w:space="0" w:color="auto"/>
        <w:left w:val="none" w:sz="0" w:space="0" w:color="auto"/>
        <w:bottom w:val="none" w:sz="0" w:space="0" w:color="auto"/>
        <w:right w:val="none" w:sz="0" w:space="0" w:color="auto"/>
      </w:divBdr>
    </w:div>
    <w:div w:id="397898184">
      <w:bodyDiv w:val="1"/>
      <w:marLeft w:val="0"/>
      <w:marRight w:val="0"/>
      <w:marTop w:val="0"/>
      <w:marBottom w:val="0"/>
      <w:divBdr>
        <w:top w:val="none" w:sz="0" w:space="0" w:color="auto"/>
        <w:left w:val="none" w:sz="0" w:space="0" w:color="auto"/>
        <w:bottom w:val="none" w:sz="0" w:space="0" w:color="auto"/>
        <w:right w:val="none" w:sz="0" w:space="0" w:color="auto"/>
      </w:divBdr>
    </w:div>
    <w:div w:id="406728772">
      <w:bodyDiv w:val="1"/>
      <w:marLeft w:val="0"/>
      <w:marRight w:val="0"/>
      <w:marTop w:val="0"/>
      <w:marBottom w:val="0"/>
      <w:divBdr>
        <w:top w:val="none" w:sz="0" w:space="0" w:color="auto"/>
        <w:left w:val="none" w:sz="0" w:space="0" w:color="auto"/>
        <w:bottom w:val="none" w:sz="0" w:space="0" w:color="auto"/>
        <w:right w:val="none" w:sz="0" w:space="0" w:color="auto"/>
      </w:divBdr>
    </w:div>
    <w:div w:id="422336135">
      <w:bodyDiv w:val="1"/>
      <w:marLeft w:val="0"/>
      <w:marRight w:val="0"/>
      <w:marTop w:val="0"/>
      <w:marBottom w:val="0"/>
      <w:divBdr>
        <w:top w:val="none" w:sz="0" w:space="0" w:color="auto"/>
        <w:left w:val="none" w:sz="0" w:space="0" w:color="auto"/>
        <w:bottom w:val="none" w:sz="0" w:space="0" w:color="auto"/>
        <w:right w:val="none" w:sz="0" w:space="0" w:color="auto"/>
      </w:divBdr>
    </w:div>
    <w:div w:id="442959150">
      <w:bodyDiv w:val="1"/>
      <w:marLeft w:val="0"/>
      <w:marRight w:val="0"/>
      <w:marTop w:val="0"/>
      <w:marBottom w:val="0"/>
      <w:divBdr>
        <w:top w:val="none" w:sz="0" w:space="0" w:color="auto"/>
        <w:left w:val="none" w:sz="0" w:space="0" w:color="auto"/>
        <w:bottom w:val="none" w:sz="0" w:space="0" w:color="auto"/>
        <w:right w:val="none" w:sz="0" w:space="0" w:color="auto"/>
      </w:divBdr>
    </w:div>
    <w:div w:id="447087135">
      <w:bodyDiv w:val="1"/>
      <w:marLeft w:val="0"/>
      <w:marRight w:val="0"/>
      <w:marTop w:val="0"/>
      <w:marBottom w:val="0"/>
      <w:divBdr>
        <w:top w:val="none" w:sz="0" w:space="0" w:color="auto"/>
        <w:left w:val="none" w:sz="0" w:space="0" w:color="auto"/>
        <w:bottom w:val="none" w:sz="0" w:space="0" w:color="auto"/>
        <w:right w:val="none" w:sz="0" w:space="0" w:color="auto"/>
      </w:divBdr>
    </w:div>
    <w:div w:id="447357830">
      <w:bodyDiv w:val="1"/>
      <w:marLeft w:val="0"/>
      <w:marRight w:val="0"/>
      <w:marTop w:val="0"/>
      <w:marBottom w:val="0"/>
      <w:divBdr>
        <w:top w:val="none" w:sz="0" w:space="0" w:color="auto"/>
        <w:left w:val="none" w:sz="0" w:space="0" w:color="auto"/>
        <w:bottom w:val="none" w:sz="0" w:space="0" w:color="auto"/>
        <w:right w:val="none" w:sz="0" w:space="0" w:color="auto"/>
      </w:divBdr>
    </w:div>
    <w:div w:id="468938875">
      <w:bodyDiv w:val="1"/>
      <w:marLeft w:val="0"/>
      <w:marRight w:val="0"/>
      <w:marTop w:val="0"/>
      <w:marBottom w:val="0"/>
      <w:divBdr>
        <w:top w:val="none" w:sz="0" w:space="0" w:color="auto"/>
        <w:left w:val="none" w:sz="0" w:space="0" w:color="auto"/>
        <w:bottom w:val="none" w:sz="0" w:space="0" w:color="auto"/>
        <w:right w:val="none" w:sz="0" w:space="0" w:color="auto"/>
      </w:divBdr>
    </w:div>
    <w:div w:id="486283752">
      <w:bodyDiv w:val="1"/>
      <w:marLeft w:val="0"/>
      <w:marRight w:val="0"/>
      <w:marTop w:val="0"/>
      <w:marBottom w:val="0"/>
      <w:divBdr>
        <w:top w:val="none" w:sz="0" w:space="0" w:color="auto"/>
        <w:left w:val="none" w:sz="0" w:space="0" w:color="auto"/>
        <w:bottom w:val="none" w:sz="0" w:space="0" w:color="auto"/>
        <w:right w:val="none" w:sz="0" w:space="0" w:color="auto"/>
      </w:divBdr>
    </w:div>
    <w:div w:id="505443035">
      <w:bodyDiv w:val="1"/>
      <w:marLeft w:val="0"/>
      <w:marRight w:val="0"/>
      <w:marTop w:val="0"/>
      <w:marBottom w:val="0"/>
      <w:divBdr>
        <w:top w:val="none" w:sz="0" w:space="0" w:color="auto"/>
        <w:left w:val="none" w:sz="0" w:space="0" w:color="auto"/>
        <w:bottom w:val="none" w:sz="0" w:space="0" w:color="auto"/>
        <w:right w:val="none" w:sz="0" w:space="0" w:color="auto"/>
      </w:divBdr>
    </w:div>
    <w:div w:id="522935010">
      <w:bodyDiv w:val="1"/>
      <w:marLeft w:val="0"/>
      <w:marRight w:val="0"/>
      <w:marTop w:val="0"/>
      <w:marBottom w:val="0"/>
      <w:divBdr>
        <w:top w:val="none" w:sz="0" w:space="0" w:color="auto"/>
        <w:left w:val="none" w:sz="0" w:space="0" w:color="auto"/>
        <w:bottom w:val="none" w:sz="0" w:space="0" w:color="auto"/>
        <w:right w:val="none" w:sz="0" w:space="0" w:color="auto"/>
      </w:divBdr>
    </w:div>
    <w:div w:id="528571591">
      <w:bodyDiv w:val="1"/>
      <w:marLeft w:val="0"/>
      <w:marRight w:val="0"/>
      <w:marTop w:val="0"/>
      <w:marBottom w:val="0"/>
      <w:divBdr>
        <w:top w:val="none" w:sz="0" w:space="0" w:color="auto"/>
        <w:left w:val="none" w:sz="0" w:space="0" w:color="auto"/>
        <w:bottom w:val="none" w:sz="0" w:space="0" w:color="auto"/>
        <w:right w:val="none" w:sz="0" w:space="0" w:color="auto"/>
      </w:divBdr>
    </w:div>
    <w:div w:id="583757769">
      <w:bodyDiv w:val="1"/>
      <w:marLeft w:val="0"/>
      <w:marRight w:val="0"/>
      <w:marTop w:val="0"/>
      <w:marBottom w:val="0"/>
      <w:divBdr>
        <w:top w:val="none" w:sz="0" w:space="0" w:color="auto"/>
        <w:left w:val="none" w:sz="0" w:space="0" w:color="auto"/>
        <w:bottom w:val="none" w:sz="0" w:space="0" w:color="auto"/>
        <w:right w:val="none" w:sz="0" w:space="0" w:color="auto"/>
      </w:divBdr>
    </w:div>
    <w:div w:id="609092906">
      <w:bodyDiv w:val="1"/>
      <w:marLeft w:val="0"/>
      <w:marRight w:val="0"/>
      <w:marTop w:val="0"/>
      <w:marBottom w:val="0"/>
      <w:divBdr>
        <w:top w:val="none" w:sz="0" w:space="0" w:color="auto"/>
        <w:left w:val="none" w:sz="0" w:space="0" w:color="auto"/>
        <w:bottom w:val="none" w:sz="0" w:space="0" w:color="auto"/>
        <w:right w:val="none" w:sz="0" w:space="0" w:color="auto"/>
      </w:divBdr>
    </w:div>
    <w:div w:id="609899875">
      <w:bodyDiv w:val="1"/>
      <w:marLeft w:val="0"/>
      <w:marRight w:val="0"/>
      <w:marTop w:val="0"/>
      <w:marBottom w:val="0"/>
      <w:divBdr>
        <w:top w:val="none" w:sz="0" w:space="0" w:color="auto"/>
        <w:left w:val="none" w:sz="0" w:space="0" w:color="auto"/>
        <w:bottom w:val="none" w:sz="0" w:space="0" w:color="auto"/>
        <w:right w:val="none" w:sz="0" w:space="0" w:color="auto"/>
      </w:divBdr>
    </w:div>
    <w:div w:id="625896670">
      <w:bodyDiv w:val="1"/>
      <w:marLeft w:val="0"/>
      <w:marRight w:val="0"/>
      <w:marTop w:val="0"/>
      <w:marBottom w:val="0"/>
      <w:divBdr>
        <w:top w:val="none" w:sz="0" w:space="0" w:color="auto"/>
        <w:left w:val="none" w:sz="0" w:space="0" w:color="auto"/>
        <w:bottom w:val="none" w:sz="0" w:space="0" w:color="auto"/>
        <w:right w:val="none" w:sz="0" w:space="0" w:color="auto"/>
      </w:divBdr>
    </w:div>
    <w:div w:id="629021049">
      <w:bodyDiv w:val="1"/>
      <w:marLeft w:val="0"/>
      <w:marRight w:val="0"/>
      <w:marTop w:val="0"/>
      <w:marBottom w:val="0"/>
      <w:divBdr>
        <w:top w:val="none" w:sz="0" w:space="0" w:color="auto"/>
        <w:left w:val="none" w:sz="0" w:space="0" w:color="auto"/>
        <w:bottom w:val="none" w:sz="0" w:space="0" w:color="auto"/>
        <w:right w:val="none" w:sz="0" w:space="0" w:color="auto"/>
      </w:divBdr>
    </w:div>
    <w:div w:id="641232487">
      <w:bodyDiv w:val="1"/>
      <w:marLeft w:val="0"/>
      <w:marRight w:val="0"/>
      <w:marTop w:val="0"/>
      <w:marBottom w:val="0"/>
      <w:divBdr>
        <w:top w:val="none" w:sz="0" w:space="0" w:color="auto"/>
        <w:left w:val="none" w:sz="0" w:space="0" w:color="auto"/>
        <w:bottom w:val="none" w:sz="0" w:space="0" w:color="auto"/>
        <w:right w:val="none" w:sz="0" w:space="0" w:color="auto"/>
      </w:divBdr>
    </w:div>
    <w:div w:id="646594197">
      <w:bodyDiv w:val="1"/>
      <w:marLeft w:val="0"/>
      <w:marRight w:val="0"/>
      <w:marTop w:val="0"/>
      <w:marBottom w:val="0"/>
      <w:divBdr>
        <w:top w:val="none" w:sz="0" w:space="0" w:color="auto"/>
        <w:left w:val="none" w:sz="0" w:space="0" w:color="auto"/>
        <w:bottom w:val="none" w:sz="0" w:space="0" w:color="auto"/>
        <w:right w:val="none" w:sz="0" w:space="0" w:color="auto"/>
      </w:divBdr>
      <w:divsChild>
        <w:div w:id="1630890856">
          <w:marLeft w:val="0"/>
          <w:marRight w:val="0"/>
          <w:marTop w:val="0"/>
          <w:marBottom w:val="0"/>
          <w:divBdr>
            <w:top w:val="none" w:sz="0" w:space="0" w:color="auto"/>
            <w:left w:val="none" w:sz="0" w:space="0" w:color="auto"/>
            <w:bottom w:val="none" w:sz="0" w:space="0" w:color="auto"/>
            <w:right w:val="none" w:sz="0" w:space="0" w:color="auto"/>
          </w:divBdr>
          <w:divsChild>
            <w:div w:id="1425809206">
              <w:marLeft w:val="0"/>
              <w:marRight w:val="0"/>
              <w:marTop w:val="0"/>
              <w:marBottom w:val="0"/>
              <w:divBdr>
                <w:top w:val="none" w:sz="0" w:space="0" w:color="auto"/>
                <w:left w:val="none" w:sz="0" w:space="0" w:color="auto"/>
                <w:bottom w:val="none" w:sz="0" w:space="0" w:color="auto"/>
                <w:right w:val="none" w:sz="0" w:space="0" w:color="auto"/>
              </w:divBdr>
              <w:divsChild>
                <w:div w:id="1995521701">
                  <w:marLeft w:val="0"/>
                  <w:marRight w:val="0"/>
                  <w:marTop w:val="0"/>
                  <w:marBottom w:val="0"/>
                  <w:divBdr>
                    <w:top w:val="none" w:sz="0" w:space="0" w:color="auto"/>
                    <w:left w:val="none" w:sz="0" w:space="0" w:color="auto"/>
                    <w:bottom w:val="none" w:sz="0" w:space="0" w:color="auto"/>
                    <w:right w:val="none" w:sz="0" w:space="0" w:color="auto"/>
                  </w:divBdr>
                  <w:divsChild>
                    <w:div w:id="591400383">
                      <w:marLeft w:val="0"/>
                      <w:marRight w:val="0"/>
                      <w:marTop w:val="45"/>
                      <w:marBottom w:val="0"/>
                      <w:divBdr>
                        <w:top w:val="none" w:sz="0" w:space="0" w:color="auto"/>
                        <w:left w:val="none" w:sz="0" w:space="0" w:color="auto"/>
                        <w:bottom w:val="none" w:sz="0" w:space="0" w:color="auto"/>
                        <w:right w:val="none" w:sz="0" w:space="0" w:color="auto"/>
                      </w:divBdr>
                      <w:divsChild>
                        <w:div w:id="102191838">
                          <w:marLeft w:val="0"/>
                          <w:marRight w:val="0"/>
                          <w:marTop w:val="0"/>
                          <w:marBottom w:val="0"/>
                          <w:divBdr>
                            <w:top w:val="none" w:sz="0" w:space="0" w:color="auto"/>
                            <w:left w:val="none" w:sz="0" w:space="0" w:color="auto"/>
                            <w:bottom w:val="none" w:sz="0" w:space="0" w:color="auto"/>
                            <w:right w:val="none" w:sz="0" w:space="0" w:color="auto"/>
                          </w:divBdr>
                          <w:divsChild>
                            <w:div w:id="1600064419">
                              <w:marLeft w:val="2070"/>
                              <w:marRight w:val="3960"/>
                              <w:marTop w:val="0"/>
                              <w:marBottom w:val="0"/>
                              <w:divBdr>
                                <w:top w:val="none" w:sz="0" w:space="0" w:color="auto"/>
                                <w:left w:val="none" w:sz="0" w:space="0" w:color="auto"/>
                                <w:bottom w:val="none" w:sz="0" w:space="0" w:color="auto"/>
                                <w:right w:val="none" w:sz="0" w:space="0" w:color="auto"/>
                              </w:divBdr>
                              <w:divsChild>
                                <w:div w:id="46341478">
                                  <w:marLeft w:val="0"/>
                                  <w:marRight w:val="0"/>
                                  <w:marTop w:val="0"/>
                                  <w:marBottom w:val="0"/>
                                  <w:divBdr>
                                    <w:top w:val="none" w:sz="0" w:space="0" w:color="auto"/>
                                    <w:left w:val="none" w:sz="0" w:space="0" w:color="auto"/>
                                    <w:bottom w:val="none" w:sz="0" w:space="0" w:color="auto"/>
                                    <w:right w:val="none" w:sz="0" w:space="0" w:color="auto"/>
                                  </w:divBdr>
                                  <w:divsChild>
                                    <w:div w:id="618806500">
                                      <w:marLeft w:val="0"/>
                                      <w:marRight w:val="0"/>
                                      <w:marTop w:val="0"/>
                                      <w:marBottom w:val="0"/>
                                      <w:divBdr>
                                        <w:top w:val="none" w:sz="0" w:space="0" w:color="auto"/>
                                        <w:left w:val="none" w:sz="0" w:space="0" w:color="auto"/>
                                        <w:bottom w:val="none" w:sz="0" w:space="0" w:color="auto"/>
                                        <w:right w:val="none" w:sz="0" w:space="0" w:color="auto"/>
                                      </w:divBdr>
                                      <w:divsChild>
                                        <w:div w:id="1542015733">
                                          <w:marLeft w:val="0"/>
                                          <w:marRight w:val="0"/>
                                          <w:marTop w:val="0"/>
                                          <w:marBottom w:val="0"/>
                                          <w:divBdr>
                                            <w:top w:val="none" w:sz="0" w:space="0" w:color="auto"/>
                                            <w:left w:val="none" w:sz="0" w:space="0" w:color="auto"/>
                                            <w:bottom w:val="none" w:sz="0" w:space="0" w:color="auto"/>
                                            <w:right w:val="none" w:sz="0" w:space="0" w:color="auto"/>
                                          </w:divBdr>
                                          <w:divsChild>
                                            <w:div w:id="710615115">
                                              <w:marLeft w:val="0"/>
                                              <w:marRight w:val="0"/>
                                              <w:marTop w:val="90"/>
                                              <w:marBottom w:val="0"/>
                                              <w:divBdr>
                                                <w:top w:val="none" w:sz="0" w:space="0" w:color="auto"/>
                                                <w:left w:val="none" w:sz="0" w:space="0" w:color="auto"/>
                                                <w:bottom w:val="none" w:sz="0" w:space="0" w:color="auto"/>
                                                <w:right w:val="none" w:sz="0" w:space="0" w:color="auto"/>
                                              </w:divBdr>
                                              <w:divsChild>
                                                <w:div w:id="1158885527">
                                                  <w:marLeft w:val="0"/>
                                                  <w:marRight w:val="0"/>
                                                  <w:marTop w:val="0"/>
                                                  <w:marBottom w:val="0"/>
                                                  <w:divBdr>
                                                    <w:top w:val="none" w:sz="0" w:space="0" w:color="auto"/>
                                                    <w:left w:val="none" w:sz="0" w:space="0" w:color="auto"/>
                                                    <w:bottom w:val="none" w:sz="0" w:space="0" w:color="auto"/>
                                                    <w:right w:val="none" w:sz="0" w:space="0" w:color="auto"/>
                                                  </w:divBdr>
                                                  <w:divsChild>
                                                    <w:div w:id="1187645636">
                                                      <w:marLeft w:val="0"/>
                                                      <w:marRight w:val="0"/>
                                                      <w:marTop w:val="0"/>
                                                      <w:marBottom w:val="0"/>
                                                      <w:divBdr>
                                                        <w:top w:val="none" w:sz="0" w:space="0" w:color="auto"/>
                                                        <w:left w:val="none" w:sz="0" w:space="0" w:color="auto"/>
                                                        <w:bottom w:val="none" w:sz="0" w:space="0" w:color="auto"/>
                                                        <w:right w:val="none" w:sz="0" w:space="0" w:color="auto"/>
                                                      </w:divBdr>
                                                      <w:divsChild>
                                                        <w:div w:id="1587690569">
                                                          <w:marLeft w:val="0"/>
                                                          <w:marRight w:val="0"/>
                                                          <w:marTop w:val="0"/>
                                                          <w:marBottom w:val="390"/>
                                                          <w:divBdr>
                                                            <w:top w:val="none" w:sz="0" w:space="0" w:color="auto"/>
                                                            <w:left w:val="none" w:sz="0" w:space="0" w:color="auto"/>
                                                            <w:bottom w:val="none" w:sz="0" w:space="0" w:color="auto"/>
                                                            <w:right w:val="none" w:sz="0" w:space="0" w:color="auto"/>
                                                          </w:divBdr>
                                                          <w:divsChild>
                                                            <w:div w:id="622201055">
                                                              <w:marLeft w:val="0"/>
                                                              <w:marRight w:val="0"/>
                                                              <w:marTop w:val="0"/>
                                                              <w:marBottom w:val="0"/>
                                                              <w:divBdr>
                                                                <w:top w:val="none" w:sz="0" w:space="0" w:color="auto"/>
                                                                <w:left w:val="none" w:sz="0" w:space="0" w:color="auto"/>
                                                                <w:bottom w:val="none" w:sz="0" w:space="0" w:color="auto"/>
                                                                <w:right w:val="none" w:sz="0" w:space="0" w:color="auto"/>
                                                              </w:divBdr>
                                                              <w:divsChild>
                                                                <w:div w:id="1004552861">
                                                                  <w:marLeft w:val="0"/>
                                                                  <w:marRight w:val="0"/>
                                                                  <w:marTop w:val="0"/>
                                                                  <w:marBottom w:val="0"/>
                                                                  <w:divBdr>
                                                                    <w:top w:val="none" w:sz="0" w:space="0" w:color="auto"/>
                                                                    <w:left w:val="none" w:sz="0" w:space="0" w:color="auto"/>
                                                                    <w:bottom w:val="none" w:sz="0" w:space="0" w:color="auto"/>
                                                                    <w:right w:val="none" w:sz="0" w:space="0" w:color="auto"/>
                                                                  </w:divBdr>
                                                                  <w:divsChild>
                                                                    <w:div w:id="808010258">
                                                                      <w:marLeft w:val="0"/>
                                                                      <w:marRight w:val="0"/>
                                                                      <w:marTop w:val="0"/>
                                                                      <w:marBottom w:val="0"/>
                                                                      <w:divBdr>
                                                                        <w:top w:val="none" w:sz="0" w:space="0" w:color="auto"/>
                                                                        <w:left w:val="none" w:sz="0" w:space="0" w:color="auto"/>
                                                                        <w:bottom w:val="none" w:sz="0" w:space="0" w:color="auto"/>
                                                                        <w:right w:val="none" w:sz="0" w:space="0" w:color="auto"/>
                                                                      </w:divBdr>
                                                                      <w:divsChild>
                                                                        <w:div w:id="1134908880">
                                                                          <w:marLeft w:val="0"/>
                                                                          <w:marRight w:val="0"/>
                                                                          <w:marTop w:val="0"/>
                                                                          <w:marBottom w:val="0"/>
                                                                          <w:divBdr>
                                                                            <w:top w:val="none" w:sz="0" w:space="0" w:color="auto"/>
                                                                            <w:left w:val="none" w:sz="0" w:space="0" w:color="auto"/>
                                                                            <w:bottom w:val="none" w:sz="0" w:space="0" w:color="auto"/>
                                                                            <w:right w:val="none" w:sz="0" w:space="0" w:color="auto"/>
                                                                          </w:divBdr>
                                                                          <w:divsChild>
                                                                            <w:div w:id="380323790">
                                                                              <w:marLeft w:val="0"/>
                                                                              <w:marRight w:val="0"/>
                                                                              <w:marTop w:val="0"/>
                                                                              <w:marBottom w:val="0"/>
                                                                              <w:divBdr>
                                                                                <w:top w:val="none" w:sz="0" w:space="0" w:color="auto"/>
                                                                                <w:left w:val="none" w:sz="0" w:space="0" w:color="auto"/>
                                                                                <w:bottom w:val="none" w:sz="0" w:space="0" w:color="auto"/>
                                                                                <w:right w:val="none" w:sz="0" w:space="0" w:color="auto"/>
                                                                              </w:divBdr>
                                                                              <w:divsChild>
                                                                                <w:div w:id="1060058640">
                                                                                  <w:marLeft w:val="0"/>
                                                                                  <w:marRight w:val="0"/>
                                                                                  <w:marTop w:val="0"/>
                                                                                  <w:marBottom w:val="0"/>
                                                                                  <w:divBdr>
                                                                                    <w:top w:val="none" w:sz="0" w:space="0" w:color="auto"/>
                                                                                    <w:left w:val="none" w:sz="0" w:space="0" w:color="auto"/>
                                                                                    <w:bottom w:val="none" w:sz="0" w:space="0" w:color="auto"/>
                                                                                    <w:right w:val="none" w:sz="0" w:space="0" w:color="auto"/>
                                                                                  </w:divBdr>
                                                                                  <w:divsChild>
                                                                                    <w:div w:id="744693123">
                                                                                      <w:marLeft w:val="0"/>
                                                                                      <w:marRight w:val="0"/>
                                                                                      <w:marTop w:val="0"/>
                                                                                      <w:marBottom w:val="0"/>
                                                                                      <w:divBdr>
                                                                                        <w:top w:val="none" w:sz="0" w:space="0" w:color="auto"/>
                                                                                        <w:left w:val="none" w:sz="0" w:space="0" w:color="auto"/>
                                                                                        <w:bottom w:val="none" w:sz="0" w:space="0" w:color="auto"/>
                                                                                        <w:right w:val="none" w:sz="0" w:space="0" w:color="auto"/>
                                                                                      </w:divBdr>
                                                                                      <w:divsChild>
                                                                                        <w:div w:id="4654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668522">
      <w:bodyDiv w:val="1"/>
      <w:marLeft w:val="0"/>
      <w:marRight w:val="0"/>
      <w:marTop w:val="0"/>
      <w:marBottom w:val="0"/>
      <w:divBdr>
        <w:top w:val="none" w:sz="0" w:space="0" w:color="auto"/>
        <w:left w:val="none" w:sz="0" w:space="0" w:color="auto"/>
        <w:bottom w:val="none" w:sz="0" w:space="0" w:color="auto"/>
        <w:right w:val="none" w:sz="0" w:space="0" w:color="auto"/>
      </w:divBdr>
    </w:div>
    <w:div w:id="693380772">
      <w:bodyDiv w:val="1"/>
      <w:marLeft w:val="0"/>
      <w:marRight w:val="0"/>
      <w:marTop w:val="0"/>
      <w:marBottom w:val="0"/>
      <w:divBdr>
        <w:top w:val="none" w:sz="0" w:space="0" w:color="auto"/>
        <w:left w:val="none" w:sz="0" w:space="0" w:color="auto"/>
        <w:bottom w:val="none" w:sz="0" w:space="0" w:color="auto"/>
        <w:right w:val="none" w:sz="0" w:space="0" w:color="auto"/>
      </w:divBdr>
    </w:div>
    <w:div w:id="702947754">
      <w:bodyDiv w:val="1"/>
      <w:marLeft w:val="0"/>
      <w:marRight w:val="0"/>
      <w:marTop w:val="0"/>
      <w:marBottom w:val="0"/>
      <w:divBdr>
        <w:top w:val="none" w:sz="0" w:space="0" w:color="auto"/>
        <w:left w:val="none" w:sz="0" w:space="0" w:color="auto"/>
        <w:bottom w:val="none" w:sz="0" w:space="0" w:color="auto"/>
        <w:right w:val="none" w:sz="0" w:space="0" w:color="auto"/>
      </w:divBdr>
    </w:div>
    <w:div w:id="711619170">
      <w:bodyDiv w:val="1"/>
      <w:marLeft w:val="0"/>
      <w:marRight w:val="0"/>
      <w:marTop w:val="0"/>
      <w:marBottom w:val="0"/>
      <w:divBdr>
        <w:top w:val="none" w:sz="0" w:space="0" w:color="auto"/>
        <w:left w:val="none" w:sz="0" w:space="0" w:color="auto"/>
        <w:bottom w:val="none" w:sz="0" w:space="0" w:color="auto"/>
        <w:right w:val="none" w:sz="0" w:space="0" w:color="auto"/>
      </w:divBdr>
    </w:div>
    <w:div w:id="712383734">
      <w:bodyDiv w:val="1"/>
      <w:marLeft w:val="0"/>
      <w:marRight w:val="0"/>
      <w:marTop w:val="0"/>
      <w:marBottom w:val="0"/>
      <w:divBdr>
        <w:top w:val="none" w:sz="0" w:space="0" w:color="auto"/>
        <w:left w:val="none" w:sz="0" w:space="0" w:color="auto"/>
        <w:bottom w:val="none" w:sz="0" w:space="0" w:color="auto"/>
        <w:right w:val="none" w:sz="0" w:space="0" w:color="auto"/>
      </w:divBdr>
    </w:div>
    <w:div w:id="727266986">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sChild>
        <w:div w:id="125661216">
          <w:marLeft w:val="605"/>
          <w:marRight w:val="0"/>
          <w:marTop w:val="200"/>
          <w:marBottom w:val="40"/>
          <w:divBdr>
            <w:top w:val="none" w:sz="0" w:space="0" w:color="auto"/>
            <w:left w:val="none" w:sz="0" w:space="0" w:color="auto"/>
            <w:bottom w:val="none" w:sz="0" w:space="0" w:color="auto"/>
            <w:right w:val="none" w:sz="0" w:space="0" w:color="auto"/>
          </w:divBdr>
        </w:div>
        <w:div w:id="133791379">
          <w:marLeft w:val="605"/>
          <w:marRight w:val="0"/>
          <w:marTop w:val="200"/>
          <w:marBottom w:val="40"/>
          <w:divBdr>
            <w:top w:val="none" w:sz="0" w:space="0" w:color="auto"/>
            <w:left w:val="none" w:sz="0" w:space="0" w:color="auto"/>
            <w:bottom w:val="none" w:sz="0" w:space="0" w:color="auto"/>
            <w:right w:val="none" w:sz="0" w:space="0" w:color="auto"/>
          </w:divBdr>
        </w:div>
        <w:div w:id="270286233">
          <w:marLeft w:val="605"/>
          <w:marRight w:val="0"/>
          <w:marTop w:val="200"/>
          <w:marBottom w:val="40"/>
          <w:divBdr>
            <w:top w:val="none" w:sz="0" w:space="0" w:color="auto"/>
            <w:left w:val="none" w:sz="0" w:space="0" w:color="auto"/>
            <w:bottom w:val="none" w:sz="0" w:space="0" w:color="auto"/>
            <w:right w:val="none" w:sz="0" w:space="0" w:color="auto"/>
          </w:divBdr>
        </w:div>
        <w:div w:id="388920576">
          <w:marLeft w:val="605"/>
          <w:marRight w:val="0"/>
          <w:marTop w:val="200"/>
          <w:marBottom w:val="40"/>
          <w:divBdr>
            <w:top w:val="none" w:sz="0" w:space="0" w:color="auto"/>
            <w:left w:val="none" w:sz="0" w:space="0" w:color="auto"/>
            <w:bottom w:val="none" w:sz="0" w:space="0" w:color="auto"/>
            <w:right w:val="none" w:sz="0" w:space="0" w:color="auto"/>
          </w:divBdr>
        </w:div>
        <w:div w:id="559751091">
          <w:marLeft w:val="605"/>
          <w:marRight w:val="0"/>
          <w:marTop w:val="200"/>
          <w:marBottom w:val="40"/>
          <w:divBdr>
            <w:top w:val="none" w:sz="0" w:space="0" w:color="auto"/>
            <w:left w:val="none" w:sz="0" w:space="0" w:color="auto"/>
            <w:bottom w:val="none" w:sz="0" w:space="0" w:color="auto"/>
            <w:right w:val="none" w:sz="0" w:space="0" w:color="auto"/>
          </w:divBdr>
        </w:div>
      </w:divsChild>
    </w:div>
    <w:div w:id="753278232">
      <w:bodyDiv w:val="1"/>
      <w:marLeft w:val="0"/>
      <w:marRight w:val="0"/>
      <w:marTop w:val="0"/>
      <w:marBottom w:val="0"/>
      <w:divBdr>
        <w:top w:val="none" w:sz="0" w:space="0" w:color="auto"/>
        <w:left w:val="none" w:sz="0" w:space="0" w:color="auto"/>
        <w:bottom w:val="none" w:sz="0" w:space="0" w:color="auto"/>
        <w:right w:val="none" w:sz="0" w:space="0" w:color="auto"/>
      </w:divBdr>
    </w:div>
    <w:div w:id="766343745">
      <w:bodyDiv w:val="1"/>
      <w:marLeft w:val="0"/>
      <w:marRight w:val="0"/>
      <w:marTop w:val="0"/>
      <w:marBottom w:val="0"/>
      <w:divBdr>
        <w:top w:val="none" w:sz="0" w:space="0" w:color="auto"/>
        <w:left w:val="none" w:sz="0" w:space="0" w:color="auto"/>
        <w:bottom w:val="none" w:sz="0" w:space="0" w:color="auto"/>
        <w:right w:val="none" w:sz="0" w:space="0" w:color="auto"/>
      </w:divBdr>
    </w:div>
    <w:div w:id="792018443">
      <w:bodyDiv w:val="1"/>
      <w:marLeft w:val="0"/>
      <w:marRight w:val="0"/>
      <w:marTop w:val="0"/>
      <w:marBottom w:val="0"/>
      <w:divBdr>
        <w:top w:val="none" w:sz="0" w:space="0" w:color="auto"/>
        <w:left w:val="none" w:sz="0" w:space="0" w:color="auto"/>
        <w:bottom w:val="none" w:sz="0" w:space="0" w:color="auto"/>
        <w:right w:val="none" w:sz="0" w:space="0" w:color="auto"/>
      </w:divBdr>
    </w:div>
    <w:div w:id="834299509">
      <w:bodyDiv w:val="1"/>
      <w:marLeft w:val="0"/>
      <w:marRight w:val="0"/>
      <w:marTop w:val="0"/>
      <w:marBottom w:val="0"/>
      <w:divBdr>
        <w:top w:val="none" w:sz="0" w:space="0" w:color="auto"/>
        <w:left w:val="none" w:sz="0" w:space="0" w:color="auto"/>
        <w:bottom w:val="none" w:sz="0" w:space="0" w:color="auto"/>
        <w:right w:val="none" w:sz="0" w:space="0" w:color="auto"/>
      </w:divBdr>
    </w:div>
    <w:div w:id="836264398">
      <w:bodyDiv w:val="1"/>
      <w:marLeft w:val="0"/>
      <w:marRight w:val="0"/>
      <w:marTop w:val="0"/>
      <w:marBottom w:val="0"/>
      <w:divBdr>
        <w:top w:val="none" w:sz="0" w:space="0" w:color="auto"/>
        <w:left w:val="none" w:sz="0" w:space="0" w:color="auto"/>
        <w:bottom w:val="none" w:sz="0" w:space="0" w:color="auto"/>
        <w:right w:val="none" w:sz="0" w:space="0" w:color="auto"/>
      </w:divBdr>
    </w:div>
    <w:div w:id="847598555">
      <w:bodyDiv w:val="1"/>
      <w:marLeft w:val="0"/>
      <w:marRight w:val="0"/>
      <w:marTop w:val="0"/>
      <w:marBottom w:val="0"/>
      <w:divBdr>
        <w:top w:val="none" w:sz="0" w:space="0" w:color="auto"/>
        <w:left w:val="none" w:sz="0" w:space="0" w:color="auto"/>
        <w:bottom w:val="none" w:sz="0" w:space="0" w:color="auto"/>
        <w:right w:val="none" w:sz="0" w:space="0" w:color="auto"/>
      </w:divBdr>
    </w:div>
    <w:div w:id="849757787">
      <w:bodyDiv w:val="1"/>
      <w:marLeft w:val="0"/>
      <w:marRight w:val="0"/>
      <w:marTop w:val="0"/>
      <w:marBottom w:val="0"/>
      <w:divBdr>
        <w:top w:val="none" w:sz="0" w:space="0" w:color="auto"/>
        <w:left w:val="none" w:sz="0" w:space="0" w:color="auto"/>
        <w:bottom w:val="none" w:sz="0" w:space="0" w:color="auto"/>
        <w:right w:val="none" w:sz="0" w:space="0" w:color="auto"/>
      </w:divBdr>
    </w:div>
    <w:div w:id="881213429">
      <w:bodyDiv w:val="1"/>
      <w:marLeft w:val="0"/>
      <w:marRight w:val="0"/>
      <w:marTop w:val="0"/>
      <w:marBottom w:val="0"/>
      <w:divBdr>
        <w:top w:val="none" w:sz="0" w:space="0" w:color="auto"/>
        <w:left w:val="none" w:sz="0" w:space="0" w:color="auto"/>
        <w:bottom w:val="none" w:sz="0" w:space="0" w:color="auto"/>
        <w:right w:val="none" w:sz="0" w:space="0" w:color="auto"/>
      </w:divBdr>
    </w:div>
    <w:div w:id="896937366">
      <w:bodyDiv w:val="1"/>
      <w:marLeft w:val="0"/>
      <w:marRight w:val="0"/>
      <w:marTop w:val="0"/>
      <w:marBottom w:val="0"/>
      <w:divBdr>
        <w:top w:val="none" w:sz="0" w:space="0" w:color="auto"/>
        <w:left w:val="none" w:sz="0" w:space="0" w:color="auto"/>
        <w:bottom w:val="none" w:sz="0" w:space="0" w:color="auto"/>
        <w:right w:val="none" w:sz="0" w:space="0" w:color="auto"/>
      </w:divBdr>
    </w:div>
    <w:div w:id="914820171">
      <w:bodyDiv w:val="1"/>
      <w:marLeft w:val="0"/>
      <w:marRight w:val="0"/>
      <w:marTop w:val="0"/>
      <w:marBottom w:val="0"/>
      <w:divBdr>
        <w:top w:val="none" w:sz="0" w:space="0" w:color="auto"/>
        <w:left w:val="none" w:sz="0" w:space="0" w:color="auto"/>
        <w:bottom w:val="none" w:sz="0" w:space="0" w:color="auto"/>
        <w:right w:val="none" w:sz="0" w:space="0" w:color="auto"/>
      </w:divBdr>
    </w:div>
    <w:div w:id="952857058">
      <w:bodyDiv w:val="1"/>
      <w:marLeft w:val="0"/>
      <w:marRight w:val="0"/>
      <w:marTop w:val="0"/>
      <w:marBottom w:val="0"/>
      <w:divBdr>
        <w:top w:val="none" w:sz="0" w:space="0" w:color="auto"/>
        <w:left w:val="none" w:sz="0" w:space="0" w:color="auto"/>
        <w:bottom w:val="none" w:sz="0" w:space="0" w:color="auto"/>
        <w:right w:val="none" w:sz="0" w:space="0" w:color="auto"/>
      </w:divBdr>
    </w:div>
    <w:div w:id="973755765">
      <w:bodyDiv w:val="1"/>
      <w:marLeft w:val="0"/>
      <w:marRight w:val="0"/>
      <w:marTop w:val="0"/>
      <w:marBottom w:val="0"/>
      <w:divBdr>
        <w:top w:val="none" w:sz="0" w:space="0" w:color="auto"/>
        <w:left w:val="none" w:sz="0" w:space="0" w:color="auto"/>
        <w:bottom w:val="none" w:sz="0" w:space="0" w:color="auto"/>
        <w:right w:val="none" w:sz="0" w:space="0" w:color="auto"/>
      </w:divBdr>
    </w:div>
    <w:div w:id="1029375684">
      <w:bodyDiv w:val="1"/>
      <w:marLeft w:val="0"/>
      <w:marRight w:val="0"/>
      <w:marTop w:val="0"/>
      <w:marBottom w:val="0"/>
      <w:divBdr>
        <w:top w:val="none" w:sz="0" w:space="0" w:color="auto"/>
        <w:left w:val="none" w:sz="0" w:space="0" w:color="auto"/>
        <w:bottom w:val="none" w:sz="0" w:space="0" w:color="auto"/>
        <w:right w:val="none" w:sz="0" w:space="0" w:color="auto"/>
      </w:divBdr>
    </w:div>
    <w:div w:id="1029842012">
      <w:bodyDiv w:val="1"/>
      <w:marLeft w:val="0"/>
      <w:marRight w:val="0"/>
      <w:marTop w:val="0"/>
      <w:marBottom w:val="0"/>
      <w:divBdr>
        <w:top w:val="none" w:sz="0" w:space="0" w:color="auto"/>
        <w:left w:val="none" w:sz="0" w:space="0" w:color="auto"/>
        <w:bottom w:val="none" w:sz="0" w:space="0" w:color="auto"/>
        <w:right w:val="none" w:sz="0" w:space="0" w:color="auto"/>
      </w:divBdr>
    </w:div>
    <w:div w:id="1040204632">
      <w:bodyDiv w:val="1"/>
      <w:marLeft w:val="0"/>
      <w:marRight w:val="0"/>
      <w:marTop w:val="0"/>
      <w:marBottom w:val="0"/>
      <w:divBdr>
        <w:top w:val="none" w:sz="0" w:space="0" w:color="auto"/>
        <w:left w:val="none" w:sz="0" w:space="0" w:color="auto"/>
        <w:bottom w:val="none" w:sz="0" w:space="0" w:color="auto"/>
        <w:right w:val="none" w:sz="0" w:space="0" w:color="auto"/>
      </w:divBdr>
    </w:div>
    <w:div w:id="1040399917">
      <w:bodyDiv w:val="1"/>
      <w:marLeft w:val="0"/>
      <w:marRight w:val="0"/>
      <w:marTop w:val="0"/>
      <w:marBottom w:val="0"/>
      <w:divBdr>
        <w:top w:val="none" w:sz="0" w:space="0" w:color="auto"/>
        <w:left w:val="none" w:sz="0" w:space="0" w:color="auto"/>
        <w:bottom w:val="none" w:sz="0" w:space="0" w:color="auto"/>
        <w:right w:val="none" w:sz="0" w:space="0" w:color="auto"/>
      </w:divBdr>
    </w:div>
    <w:div w:id="1043216127">
      <w:bodyDiv w:val="1"/>
      <w:marLeft w:val="0"/>
      <w:marRight w:val="0"/>
      <w:marTop w:val="0"/>
      <w:marBottom w:val="0"/>
      <w:divBdr>
        <w:top w:val="none" w:sz="0" w:space="0" w:color="auto"/>
        <w:left w:val="none" w:sz="0" w:space="0" w:color="auto"/>
        <w:bottom w:val="none" w:sz="0" w:space="0" w:color="auto"/>
        <w:right w:val="none" w:sz="0" w:space="0" w:color="auto"/>
      </w:divBdr>
      <w:divsChild>
        <w:div w:id="1792628907">
          <w:marLeft w:val="0"/>
          <w:marRight w:val="0"/>
          <w:marTop w:val="0"/>
          <w:marBottom w:val="0"/>
          <w:divBdr>
            <w:top w:val="none" w:sz="0" w:space="0" w:color="auto"/>
            <w:left w:val="none" w:sz="0" w:space="0" w:color="auto"/>
            <w:bottom w:val="none" w:sz="0" w:space="0" w:color="auto"/>
            <w:right w:val="none" w:sz="0" w:space="0" w:color="auto"/>
          </w:divBdr>
          <w:divsChild>
            <w:div w:id="436407433">
              <w:marLeft w:val="0"/>
              <w:marRight w:val="0"/>
              <w:marTop w:val="0"/>
              <w:marBottom w:val="0"/>
              <w:divBdr>
                <w:top w:val="none" w:sz="0" w:space="0" w:color="auto"/>
                <w:left w:val="none" w:sz="0" w:space="0" w:color="auto"/>
                <w:bottom w:val="none" w:sz="0" w:space="0" w:color="auto"/>
                <w:right w:val="none" w:sz="0" w:space="0" w:color="auto"/>
              </w:divBdr>
              <w:divsChild>
                <w:div w:id="761754356">
                  <w:marLeft w:val="0"/>
                  <w:marRight w:val="0"/>
                  <w:marTop w:val="0"/>
                  <w:marBottom w:val="0"/>
                  <w:divBdr>
                    <w:top w:val="none" w:sz="0" w:space="0" w:color="auto"/>
                    <w:left w:val="none" w:sz="0" w:space="0" w:color="auto"/>
                    <w:bottom w:val="none" w:sz="0" w:space="0" w:color="auto"/>
                    <w:right w:val="none" w:sz="0" w:space="0" w:color="auto"/>
                  </w:divBdr>
                  <w:divsChild>
                    <w:div w:id="700130488">
                      <w:marLeft w:val="0"/>
                      <w:marRight w:val="0"/>
                      <w:marTop w:val="45"/>
                      <w:marBottom w:val="0"/>
                      <w:divBdr>
                        <w:top w:val="none" w:sz="0" w:space="0" w:color="auto"/>
                        <w:left w:val="none" w:sz="0" w:space="0" w:color="auto"/>
                        <w:bottom w:val="none" w:sz="0" w:space="0" w:color="auto"/>
                        <w:right w:val="none" w:sz="0" w:space="0" w:color="auto"/>
                      </w:divBdr>
                      <w:divsChild>
                        <w:div w:id="1307393830">
                          <w:marLeft w:val="0"/>
                          <w:marRight w:val="0"/>
                          <w:marTop w:val="0"/>
                          <w:marBottom w:val="0"/>
                          <w:divBdr>
                            <w:top w:val="none" w:sz="0" w:space="0" w:color="auto"/>
                            <w:left w:val="none" w:sz="0" w:space="0" w:color="auto"/>
                            <w:bottom w:val="none" w:sz="0" w:space="0" w:color="auto"/>
                            <w:right w:val="none" w:sz="0" w:space="0" w:color="auto"/>
                          </w:divBdr>
                          <w:divsChild>
                            <w:div w:id="164057286">
                              <w:marLeft w:val="2070"/>
                              <w:marRight w:val="3960"/>
                              <w:marTop w:val="0"/>
                              <w:marBottom w:val="0"/>
                              <w:divBdr>
                                <w:top w:val="none" w:sz="0" w:space="0" w:color="auto"/>
                                <w:left w:val="none" w:sz="0" w:space="0" w:color="auto"/>
                                <w:bottom w:val="none" w:sz="0" w:space="0" w:color="auto"/>
                                <w:right w:val="none" w:sz="0" w:space="0" w:color="auto"/>
                              </w:divBdr>
                              <w:divsChild>
                                <w:div w:id="94400984">
                                  <w:marLeft w:val="0"/>
                                  <w:marRight w:val="0"/>
                                  <w:marTop w:val="0"/>
                                  <w:marBottom w:val="0"/>
                                  <w:divBdr>
                                    <w:top w:val="none" w:sz="0" w:space="0" w:color="auto"/>
                                    <w:left w:val="none" w:sz="0" w:space="0" w:color="auto"/>
                                    <w:bottom w:val="none" w:sz="0" w:space="0" w:color="auto"/>
                                    <w:right w:val="none" w:sz="0" w:space="0" w:color="auto"/>
                                  </w:divBdr>
                                  <w:divsChild>
                                    <w:div w:id="207182214">
                                      <w:marLeft w:val="0"/>
                                      <w:marRight w:val="0"/>
                                      <w:marTop w:val="0"/>
                                      <w:marBottom w:val="0"/>
                                      <w:divBdr>
                                        <w:top w:val="none" w:sz="0" w:space="0" w:color="auto"/>
                                        <w:left w:val="none" w:sz="0" w:space="0" w:color="auto"/>
                                        <w:bottom w:val="none" w:sz="0" w:space="0" w:color="auto"/>
                                        <w:right w:val="none" w:sz="0" w:space="0" w:color="auto"/>
                                      </w:divBdr>
                                      <w:divsChild>
                                        <w:div w:id="28846997">
                                          <w:marLeft w:val="0"/>
                                          <w:marRight w:val="0"/>
                                          <w:marTop w:val="0"/>
                                          <w:marBottom w:val="0"/>
                                          <w:divBdr>
                                            <w:top w:val="none" w:sz="0" w:space="0" w:color="auto"/>
                                            <w:left w:val="none" w:sz="0" w:space="0" w:color="auto"/>
                                            <w:bottom w:val="none" w:sz="0" w:space="0" w:color="auto"/>
                                            <w:right w:val="none" w:sz="0" w:space="0" w:color="auto"/>
                                          </w:divBdr>
                                          <w:divsChild>
                                            <w:div w:id="367267534">
                                              <w:marLeft w:val="0"/>
                                              <w:marRight w:val="0"/>
                                              <w:marTop w:val="90"/>
                                              <w:marBottom w:val="0"/>
                                              <w:divBdr>
                                                <w:top w:val="none" w:sz="0" w:space="0" w:color="auto"/>
                                                <w:left w:val="none" w:sz="0" w:space="0" w:color="auto"/>
                                                <w:bottom w:val="none" w:sz="0" w:space="0" w:color="auto"/>
                                                <w:right w:val="none" w:sz="0" w:space="0" w:color="auto"/>
                                              </w:divBdr>
                                              <w:divsChild>
                                                <w:div w:id="574625968">
                                                  <w:marLeft w:val="0"/>
                                                  <w:marRight w:val="0"/>
                                                  <w:marTop w:val="0"/>
                                                  <w:marBottom w:val="0"/>
                                                  <w:divBdr>
                                                    <w:top w:val="none" w:sz="0" w:space="0" w:color="auto"/>
                                                    <w:left w:val="none" w:sz="0" w:space="0" w:color="auto"/>
                                                    <w:bottom w:val="none" w:sz="0" w:space="0" w:color="auto"/>
                                                    <w:right w:val="none" w:sz="0" w:space="0" w:color="auto"/>
                                                  </w:divBdr>
                                                  <w:divsChild>
                                                    <w:div w:id="1625309099">
                                                      <w:marLeft w:val="0"/>
                                                      <w:marRight w:val="0"/>
                                                      <w:marTop w:val="0"/>
                                                      <w:marBottom w:val="0"/>
                                                      <w:divBdr>
                                                        <w:top w:val="none" w:sz="0" w:space="0" w:color="auto"/>
                                                        <w:left w:val="none" w:sz="0" w:space="0" w:color="auto"/>
                                                        <w:bottom w:val="none" w:sz="0" w:space="0" w:color="auto"/>
                                                        <w:right w:val="none" w:sz="0" w:space="0" w:color="auto"/>
                                                      </w:divBdr>
                                                      <w:divsChild>
                                                        <w:div w:id="1682391894">
                                                          <w:marLeft w:val="0"/>
                                                          <w:marRight w:val="0"/>
                                                          <w:marTop w:val="0"/>
                                                          <w:marBottom w:val="390"/>
                                                          <w:divBdr>
                                                            <w:top w:val="none" w:sz="0" w:space="0" w:color="auto"/>
                                                            <w:left w:val="none" w:sz="0" w:space="0" w:color="auto"/>
                                                            <w:bottom w:val="none" w:sz="0" w:space="0" w:color="auto"/>
                                                            <w:right w:val="none" w:sz="0" w:space="0" w:color="auto"/>
                                                          </w:divBdr>
                                                          <w:divsChild>
                                                            <w:div w:id="1185099542">
                                                              <w:marLeft w:val="0"/>
                                                              <w:marRight w:val="0"/>
                                                              <w:marTop w:val="0"/>
                                                              <w:marBottom w:val="0"/>
                                                              <w:divBdr>
                                                                <w:top w:val="none" w:sz="0" w:space="0" w:color="auto"/>
                                                                <w:left w:val="none" w:sz="0" w:space="0" w:color="auto"/>
                                                                <w:bottom w:val="none" w:sz="0" w:space="0" w:color="auto"/>
                                                                <w:right w:val="none" w:sz="0" w:space="0" w:color="auto"/>
                                                              </w:divBdr>
                                                              <w:divsChild>
                                                                <w:div w:id="1986818438">
                                                                  <w:marLeft w:val="0"/>
                                                                  <w:marRight w:val="0"/>
                                                                  <w:marTop w:val="0"/>
                                                                  <w:marBottom w:val="0"/>
                                                                  <w:divBdr>
                                                                    <w:top w:val="none" w:sz="0" w:space="0" w:color="auto"/>
                                                                    <w:left w:val="none" w:sz="0" w:space="0" w:color="auto"/>
                                                                    <w:bottom w:val="none" w:sz="0" w:space="0" w:color="auto"/>
                                                                    <w:right w:val="none" w:sz="0" w:space="0" w:color="auto"/>
                                                                  </w:divBdr>
                                                                  <w:divsChild>
                                                                    <w:div w:id="254635903">
                                                                      <w:marLeft w:val="0"/>
                                                                      <w:marRight w:val="0"/>
                                                                      <w:marTop w:val="0"/>
                                                                      <w:marBottom w:val="0"/>
                                                                      <w:divBdr>
                                                                        <w:top w:val="none" w:sz="0" w:space="0" w:color="auto"/>
                                                                        <w:left w:val="none" w:sz="0" w:space="0" w:color="auto"/>
                                                                        <w:bottom w:val="none" w:sz="0" w:space="0" w:color="auto"/>
                                                                        <w:right w:val="none" w:sz="0" w:space="0" w:color="auto"/>
                                                                      </w:divBdr>
                                                                      <w:divsChild>
                                                                        <w:div w:id="399134232">
                                                                          <w:marLeft w:val="0"/>
                                                                          <w:marRight w:val="0"/>
                                                                          <w:marTop w:val="0"/>
                                                                          <w:marBottom w:val="0"/>
                                                                          <w:divBdr>
                                                                            <w:top w:val="none" w:sz="0" w:space="0" w:color="auto"/>
                                                                            <w:left w:val="none" w:sz="0" w:space="0" w:color="auto"/>
                                                                            <w:bottom w:val="none" w:sz="0" w:space="0" w:color="auto"/>
                                                                            <w:right w:val="none" w:sz="0" w:space="0" w:color="auto"/>
                                                                          </w:divBdr>
                                                                          <w:divsChild>
                                                                            <w:div w:id="1797260422">
                                                                              <w:marLeft w:val="0"/>
                                                                              <w:marRight w:val="0"/>
                                                                              <w:marTop w:val="0"/>
                                                                              <w:marBottom w:val="0"/>
                                                                              <w:divBdr>
                                                                                <w:top w:val="none" w:sz="0" w:space="0" w:color="auto"/>
                                                                                <w:left w:val="none" w:sz="0" w:space="0" w:color="auto"/>
                                                                                <w:bottom w:val="none" w:sz="0" w:space="0" w:color="auto"/>
                                                                                <w:right w:val="none" w:sz="0" w:space="0" w:color="auto"/>
                                                                              </w:divBdr>
                                                                              <w:divsChild>
                                                                                <w:div w:id="1108163247">
                                                                                  <w:marLeft w:val="0"/>
                                                                                  <w:marRight w:val="0"/>
                                                                                  <w:marTop w:val="0"/>
                                                                                  <w:marBottom w:val="0"/>
                                                                                  <w:divBdr>
                                                                                    <w:top w:val="none" w:sz="0" w:space="0" w:color="auto"/>
                                                                                    <w:left w:val="none" w:sz="0" w:space="0" w:color="auto"/>
                                                                                    <w:bottom w:val="none" w:sz="0" w:space="0" w:color="auto"/>
                                                                                    <w:right w:val="none" w:sz="0" w:space="0" w:color="auto"/>
                                                                                  </w:divBdr>
                                                                                  <w:divsChild>
                                                                                    <w:div w:id="1058363607">
                                                                                      <w:marLeft w:val="0"/>
                                                                                      <w:marRight w:val="0"/>
                                                                                      <w:marTop w:val="0"/>
                                                                                      <w:marBottom w:val="0"/>
                                                                                      <w:divBdr>
                                                                                        <w:top w:val="none" w:sz="0" w:space="0" w:color="auto"/>
                                                                                        <w:left w:val="none" w:sz="0" w:space="0" w:color="auto"/>
                                                                                        <w:bottom w:val="none" w:sz="0" w:space="0" w:color="auto"/>
                                                                                        <w:right w:val="none" w:sz="0" w:space="0" w:color="auto"/>
                                                                                      </w:divBdr>
                                                                                      <w:divsChild>
                                                                                        <w:div w:id="5414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950182">
      <w:bodyDiv w:val="1"/>
      <w:marLeft w:val="0"/>
      <w:marRight w:val="0"/>
      <w:marTop w:val="0"/>
      <w:marBottom w:val="0"/>
      <w:divBdr>
        <w:top w:val="none" w:sz="0" w:space="0" w:color="auto"/>
        <w:left w:val="none" w:sz="0" w:space="0" w:color="auto"/>
        <w:bottom w:val="none" w:sz="0" w:space="0" w:color="auto"/>
        <w:right w:val="none" w:sz="0" w:space="0" w:color="auto"/>
      </w:divBdr>
    </w:div>
    <w:div w:id="1068725140">
      <w:bodyDiv w:val="1"/>
      <w:marLeft w:val="0"/>
      <w:marRight w:val="0"/>
      <w:marTop w:val="0"/>
      <w:marBottom w:val="0"/>
      <w:divBdr>
        <w:top w:val="none" w:sz="0" w:space="0" w:color="auto"/>
        <w:left w:val="none" w:sz="0" w:space="0" w:color="auto"/>
        <w:bottom w:val="none" w:sz="0" w:space="0" w:color="auto"/>
        <w:right w:val="none" w:sz="0" w:space="0" w:color="auto"/>
      </w:divBdr>
    </w:div>
    <w:div w:id="1071078222">
      <w:bodyDiv w:val="1"/>
      <w:marLeft w:val="0"/>
      <w:marRight w:val="0"/>
      <w:marTop w:val="0"/>
      <w:marBottom w:val="0"/>
      <w:divBdr>
        <w:top w:val="none" w:sz="0" w:space="0" w:color="auto"/>
        <w:left w:val="none" w:sz="0" w:space="0" w:color="auto"/>
        <w:bottom w:val="none" w:sz="0" w:space="0" w:color="auto"/>
        <w:right w:val="none" w:sz="0" w:space="0" w:color="auto"/>
      </w:divBdr>
      <w:divsChild>
        <w:div w:id="1727993642">
          <w:marLeft w:val="0"/>
          <w:marRight w:val="0"/>
          <w:marTop w:val="0"/>
          <w:marBottom w:val="0"/>
          <w:divBdr>
            <w:top w:val="none" w:sz="0" w:space="0" w:color="auto"/>
            <w:left w:val="none" w:sz="0" w:space="0" w:color="auto"/>
            <w:bottom w:val="none" w:sz="0" w:space="0" w:color="auto"/>
            <w:right w:val="none" w:sz="0" w:space="0" w:color="auto"/>
          </w:divBdr>
          <w:divsChild>
            <w:div w:id="1221401007">
              <w:marLeft w:val="0"/>
              <w:marRight w:val="0"/>
              <w:marTop w:val="0"/>
              <w:marBottom w:val="0"/>
              <w:divBdr>
                <w:top w:val="none" w:sz="0" w:space="0" w:color="auto"/>
                <w:left w:val="none" w:sz="0" w:space="0" w:color="auto"/>
                <w:bottom w:val="none" w:sz="0" w:space="0" w:color="auto"/>
                <w:right w:val="none" w:sz="0" w:space="0" w:color="auto"/>
              </w:divBdr>
              <w:divsChild>
                <w:div w:id="979960767">
                  <w:marLeft w:val="0"/>
                  <w:marRight w:val="0"/>
                  <w:marTop w:val="0"/>
                  <w:marBottom w:val="0"/>
                  <w:divBdr>
                    <w:top w:val="none" w:sz="0" w:space="0" w:color="auto"/>
                    <w:left w:val="none" w:sz="0" w:space="0" w:color="auto"/>
                    <w:bottom w:val="none" w:sz="0" w:space="0" w:color="auto"/>
                    <w:right w:val="none" w:sz="0" w:space="0" w:color="auto"/>
                  </w:divBdr>
                  <w:divsChild>
                    <w:div w:id="792285915">
                      <w:marLeft w:val="0"/>
                      <w:marRight w:val="0"/>
                      <w:marTop w:val="45"/>
                      <w:marBottom w:val="0"/>
                      <w:divBdr>
                        <w:top w:val="none" w:sz="0" w:space="0" w:color="auto"/>
                        <w:left w:val="none" w:sz="0" w:space="0" w:color="auto"/>
                        <w:bottom w:val="none" w:sz="0" w:space="0" w:color="auto"/>
                        <w:right w:val="none" w:sz="0" w:space="0" w:color="auto"/>
                      </w:divBdr>
                      <w:divsChild>
                        <w:div w:id="440076883">
                          <w:marLeft w:val="0"/>
                          <w:marRight w:val="0"/>
                          <w:marTop w:val="0"/>
                          <w:marBottom w:val="0"/>
                          <w:divBdr>
                            <w:top w:val="none" w:sz="0" w:space="0" w:color="auto"/>
                            <w:left w:val="none" w:sz="0" w:space="0" w:color="auto"/>
                            <w:bottom w:val="none" w:sz="0" w:space="0" w:color="auto"/>
                            <w:right w:val="none" w:sz="0" w:space="0" w:color="auto"/>
                          </w:divBdr>
                          <w:divsChild>
                            <w:div w:id="924991319">
                              <w:marLeft w:val="2070"/>
                              <w:marRight w:val="3960"/>
                              <w:marTop w:val="0"/>
                              <w:marBottom w:val="0"/>
                              <w:divBdr>
                                <w:top w:val="none" w:sz="0" w:space="0" w:color="auto"/>
                                <w:left w:val="none" w:sz="0" w:space="0" w:color="auto"/>
                                <w:bottom w:val="none" w:sz="0" w:space="0" w:color="auto"/>
                                <w:right w:val="none" w:sz="0" w:space="0" w:color="auto"/>
                              </w:divBdr>
                              <w:divsChild>
                                <w:div w:id="978146788">
                                  <w:marLeft w:val="0"/>
                                  <w:marRight w:val="0"/>
                                  <w:marTop w:val="0"/>
                                  <w:marBottom w:val="0"/>
                                  <w:divBdr>
                                    <w:top w:val="none" w:sz="0" w:space="0" w:color="auto"/>
                                    <w:left w:val="none" w:sz="0" w:space="0" w:color="auto"/>
                                    <w:bottom w:val="none" w:sz="0" w:space="0" w:color="auto"/>
                                    <w:right w:val="none" w:sz="0" w:space="0" w:color="auto"/>
                                  </w:divBdr>
                                  <w:divsChild>
                                    <w:div w:id="1631935372">
                                      <w:marLeft w:val="0"/>
                                      <w:marRight w:val="0"/>
                                      <w:marTop w:val="0"/>
                                      <w:marBottom w:val="0"/>
                                      <w:divBdr>
                                        <w:top w:val="none" w:sz="0" w:space="0" w:color="auto"/>
                                        <w:left w:val="none" w:sz="0" w:space="0" w:color="auto"/>
                                        <w:bottom w:val="none" w:sz="0" w:space="0" w:color="auto"/>
                                        <w:right w:val="none" w:sz="0" w:space="0" w:color="auto"/>
                                      </w:divBdr>
                                      <w:divsChild>
                                        <w:div w:id="1935356340">
                                          <w:marLeft w:val="0"/>
                                          <w:marRight w:val="0"/>
                                          <w:marTop w:val="0"/>
                                          <w:marBottom w:val="0"/>
                                          <w:divBdr>
                                            <w:top w:val="none" w:sz="0" w:space="0" w:color="auto"/>
                                            <w:left w:val="none" w:sz="0" w:space="0" w:color="auto"/>
                                            <w:bottom w:val="none" w:sz="0" w:space="0" w:color="auto"/>
                                            <w:right w:val="none" w:sz="0" w:space="0" w:color="auto"/>
                                          </w:divBdr>
                                          <w:divsChild>
                                            <w:div w:id="1392465072">
                                              <w:marLeft w:val="0"/>
                                              <w:marRight w:val="0"/>
                                              <w:marTop w:val="90"/>
                                              <w:marBottom w:val="0"/>
                                              <w:divBdr>
                                                <w:top w:val="none" w:sz="0" w:space="0" w:color="auto"/>
                                                <w:left w:val="none" w:sz="0" w:space="0" w:color="auto"/>
                                                <w:bottom w:val="none" w:sz="0" w:space="0" w:color="auto"/>
                                                <w:right w:val="none" w:sz="0" w:space="0" w:color="auto"/>
                                              </w:divBdr>
                                              <w:divsChild>
                                                <w:div w:id="633213722">
                                                  <w:marLeft w:val="0"/>
                                                  <w:marRight w:val="0"/>
                                                  <w:marTop w:val="0"/>
                                                  <w:marBottom w:val="0"/>
                                                  <w:divBdr>
                                                    <w:top w:val="none" w:sz="0" w:space="0" w:color="auto"/>
                                                    <w:left w:val="none" w:sz="0" w:space="0" w:color="auto"/>
                                                    <w:bottom w:val="none" w:sz="0" w:space="0" w:color="auto"/>
                                                    <w:right w:val="none" w:sz="0" w:space="0" w:color="auto"/>
                                                  </w:divBdr>
                                                  <w:divsChild>
                                                    <w:div w:id="357924850">
                                                      <w:marLeft w:val="0"/>
                                                      <w:marRight w:val="0"/>
                                                      <w:marTop w:val="0"/>
                                                      <w:marBottom w:val="0"/>
                                                      <w:divBdr>
                                                        <w:top w:val="none" w:sz="0" w:space="0" w:color="auto"/>
                                                        <w:left w:val="none" w:sz="0" w:space="0" w:color="auto"/>
                                                        <w:bottom w:val="none" w:sz="0" w:space="0" w:color="auto"/>
                                                        <w:right w:val="none" w:sz="0" w:space="0" w:color="auto"/>
                                                      </w:divBdr>
                                                      <w:divsChild>
                                                        <w:div w:id="719867219">
                                                          <w:marLeft w:val="0"/>
                                                          <w:marRight w:val="0"/>
                                                          <w:marTop w:val="0"/>
                                                          <w:marBottom w:val="390"/>
                                                          <w:divBdr>
                                                            <w:top w:val="none" w:sz="0" w:space="0" w:color="auto"/>
                                                            <w:left w:val="none" w:sz="0" w:space="0" w:color="auto"/>
                                                            <w:bottom w:val="none" w:sz="0" w:space="0" w:color="auto"/>
                                                            <w:right w:val="none" w:sz="0" w:space="0" w:color="auto"/>
                                                          </w:divBdr>
                                                          <w:divsChild>
                                                            <w:div w:id="1701126764">
                                                              <w:marLeft w:val="0"/>
                                                              <w:marRight w:val="0"/>
                                                              <w:marTop w:val="0"/>
                                                              <w:marBottom w:val="0"/>
                                                              <w:divBdr>
                                                                <w:top w:val="none" w:sz="0" w:space="0" w:color="auto"/>
                                                                <w:left w:val="none" w:sz="0" w:space="0" w:color="auto"/>
                                                                <w:bottom w:val="none" w:sz="0" w:space="0" w:color="auto"/>
                                                                <w:right w:val="none" w:sz="0" w:space="0" w:color="auto"/>
                                                              </w:divBdr>
                                                              <w:divsChild>
                                                                <w:div w:id="1389306581">
                                                                  <w:marLeft w:val="0"/>
                                                                  <w:marRight w:val="0"/>
                                                                  <w:marTop w:val="0"/>
                                                                  <w:marBottom w:val="0"/>
                                                                  <w:divBdr>
                                                                    <w:top w:val="none" w:sz="0" w:space="0" w:color="auto"/>
                                                                    <w:left w:val="none" w:sz="0" w:space="0" w:color="auto"/>
                                                                    <w:bottom w:val="none" w:sz="0" w:space="0" w:color="auto"/>
                                                                    <w:right w:val="none" w:sz="0" w:space="0" w:color="auto"/>
                                                                  </w:divBdr>
                                                                  <w:divsChild>
                                                                    <w:div w:id="161311754">
                                                                      <w:marLeft w:val="0"/>
                                                                      <w:marRight w:val="0"/>
                                                                      <w:marTop w:val="0"/>
                                                                      <w:marBottom w:val="0"/>
                                                                      <w:divBdr>
                                                                        <w:top w:val="none" w:sz="0" w:space="0" w:color="auto"/>
                                                                        <w:left w:val="none" w:sz="0" w:space="0" w:color="auto"/>
                                                                        <w:bottom w:val="none" w:sz="0" w:space="0" w:color="auto"/>
                                                                        <w:right w:val="none" w:sz="0" w:space="0" w:color="auto"/>
                                                                      </w:divBdr>
                                                                      <w:divsChild>
                                                                        <w:div w:id="315451253">
                                                                          <w:marLeft w:val="0"/>
                                                                          <w:marRight w:val="0"/>
                                                                          <w:marTop w:val="0"/>
                                                                          <w:marBottom w:val="0"/>
                                                                          <w:divBdr>
                                                                            <w:top w:val="none" w:sz="0" w:space="0" w:color="auto"/>
                                                                            <w:left w:val="none" w:sz="0" w:space="0" w:color="auto"/>
                                                                            <w:bottom w:val="none" w:sz="0" w:space="0" w:color="auto"/>
                                                                            <w:right w:val="none" w:sz="0" w:space="0" w:color="auto"/>
                                                                          </w:divBdr>
                                                                          <w:divsChild>
                                                                            <w:div w:id="1395349167">
                                                                              <w:marLeft w:val="0"/>
                                                                              <w:marRight w:val="0"/>
                                                                              <w:marTop w:val="0"/>
                                                                              <w:marBottom w:val="0"/>
                                                                              <w:divBdr>
                                                                                <w:top w:val="none" w:sz="0" w:space="0" w:color="auto"/>
                                                                                <w:left w:val="none" w:sz="0" w:space="0" w:color="auto"/>
                                                                                <w:bottom w:val="none" w:sz="0" w:space="0" w:color="auto"/>
                                                                                <w:right w:val="none" w:sz="0" w:space="0" w:color="auto"/>
                                                                              </w:divBdr>
                                                                              <w:divsChild>
                                                                                <w:div w:id="1787576760">
                                                                                  <w:marLeft w:val="0"/>
                                                                                  <w:marRight w:val="0"/>
                                                                                  <w:marTop w:val="0"/>
                                                                                  <w:marBottom w:val="0"/>
                                                                                  <w:divBdr>
                                                                                    <w:top w:val="none" w:sz="0" w:space="0" w:color="auto"/>
                                                                                    <w:left w:val="none" w:sz="0" w:space="0" w:color="auto"/>
                                                                                    <w:bottom w:val="none" w:sz="0" w:space="0" w:color="auto"/>
                                                                                    <w:right w:val="none" w:sz="0" w:space="0" w:color="auto"/>
                                                                                  </w:divBdr>
                                                                                  <w:divsChild>
                                                                                    <w:div w:id="579220650">
                                                                                      <w:marLeft w:val="0"/>
                                                                                      <w:marRight w:val="0"/>
                                                                                      <w:marTop w:val="0"/>
                                                                                      <w:marBottom w:val="0"/>
                                                                                      <w:divBdr>
                                                                                        <w:top w:val="none" w:sz="0" w:space="0" w:color="auto"/>
                                                                                        <w:left w:val="none" w:sz="0" w:space="0" w:color="auto"/>
                                                                                        <w:bottom w:val="none" w:sz="0" w:space="0" w:color="auto"/>
                                                                                        <w:right w:val="none" w:sz="0" w:space="0" w:color="auto"/>
                                                                                      </w:divBdr>
                                                                                      <w:divsChild>
                                                                                        <w:div w:id="69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854871">
      <w:bodyDiv w:val="1"/>
      <w:marLeft w:val="0"/>
      <w:marRight w:val="0"/>
      <w:marTop w:val="0"/>
      <w:marBottom w:val="0"/>
      <w:divBdr>
        <w:top w:val="none" w:sz="0" w:space="0" w:color="auto"/>
        <w:left w:val="none" w:sz="0" w:space="0" w:color="auto"/>
        <w:bottom w:val="none" w:sz="0" w:space="0" w:color="auto"/>
        <w:right w:val="none" w:sz="0" w:space="0" w:color="auto"/>
      </w:divBdr>
    </w:div>
    <w:div w:id="1119447886">
      <w:bodyDiv w:val="1"/>
      <w:marLeft w:val="0"/>
      <w:marRight w:val="0"/>
      <w:marTop w:val="0"/>
      <w:marBottom w:val="0"/>
      <w:divBdr>
        <w:top w:val="none" w:sz="0" w:space="0" w:color="auto"/>
        <w:left w:val="none" w:sz="0" w:space="0" w:color="auto"/>
        <w:bottom w:val="none" w:sz="0" w:space="0" w:color="auto"/>
        <w:right w:val="none" w:sz="0" w:space="0" w:color="auto"/>
      </w:divBdr>
    </w:div>
    <w:div w:id="1121803777">
      <w:bodyDiv w:val="1"/>
      <w:marLeft w:val="0"/>
      <w:marRight w:val="0"/>
      <w:marTop w:val="0"/>
      <w:marBottom w:val="0"/>
      <w:divBdr>
        <w:top w:val="none" w:sz="0" w:space="0" w:color="auto"/>
        <w:left w:val="none" w:sz="0" w:space="0" w:color="auto"/>
        <w:bottom w:val="none" w:sz="0" w:space="0" w:color="auto"/>
        <w:right w:val="none" w:sz="0" w:space="0" w:color="auto"/>
      </w:divBdr>
    </w:div>
    <w:div w:id="1123501879">
      <w:bodyDiv w:val="1"/>
      <w:marLeft w:val="0"/>
      <w:marRight w:val="0"/>
      <w:marTop w:val="0"/>
      <w:marBottom w:val="0"/>
      <w:divBdr>
        <w:top w:val="none" w:sz="0" w:space="0" w:color="auto"/>
        <w:left w:val="none" w:sz="0" w:space="0" w:color="auto"/>
        <w:bottom w:val="none" w:sz="0" w:space="0" w:color="auto"/>
        <w:right w:val="none" w:sz="0" w:space="0" w:color="auto"/>
      </w:divBdr>
    </w:div>
    <w:div w:id="1128667132">
      <w:bodyDiv w:val="1"/>
      <w:marLeft w:val="0"/>
      <w:marRight w:val="0"/>
      <w:marTop w:val="0"/>
      <w:marBottom w:val="0"/>
      <w:divBdr>
        <w:top w:val="none" w:sz="0" w:space="0" w:color="auto"/>
        <w:left w:val="none" w:sz="0" w:space="0" w:color="auto"/>
        <w:bottom w:val="none" w:sz="0" w:space="0" w:color="auto"/>
        <w:right w:val="none" w:sz="0" w:space="0" w:color="auto"/>
      </w:divBdr>
    </w:div>
    <w:div w:id="1146047799">
      <w:bodyDiv w:val="1"/>
      <w:marLeft w:val="0"/>
      <w:marRight w:val="0"/>
      <w:marTop w:val="0"/>
      <w:marBottom w:val="0"/>
      <w:divBdr>
        <w:top w:val="none" w:sz="0" w:space="0" w:color="auto"/>
        <w:left w:val="none" w:sz="0" w:space="0" w:color="auto"/>
        <w:bottom w:val="none" w:sz="0" w:space="0" w:color="auto"/>
        <w:right w:val="none" w:sz="0" w:space="0" w:color="auto"/>
      </w:divBdr>
    </w:div>
    <w:div w:id="1159424925">
      <w:bodyDiv w:val="1"/>
      <w:marLeft w:val="0"/>
      <w:marRight w:val="0"/>
      <w:marTop w:val="0"/>
      <w:marBottom w:val="0"/>
      <w:divBdr>
        <w:top w:val="none" w:sz="0" w:space="0" w:color="auto"/>
        <w:left w:val="none" w:sz="0" w:space="0" w:color="auto"/>
        <w:bottom w:val="none" w:sz="0" w:space="0" w:color="auto"/>
        <w:right w:val="none" w:sz="0" w:space="0" w:color="auto"/>
      </w:divBdr>
    </w:div>
    <w:div w:id="1182207830">
      <w:bodyDiv w:val="1"/>
      <w:marLeft w:val="0"/>
      <w:marRight w:val="0"/>
      <w:marTop w:val="0"/>
      <w:marBottom w:val="0"/>
      <w:divBdr>
        <w:top w:val="none" w:sz="0" w:space="0" w:color="auto"/>
        <w:left w:val="none" w:sz="0" w:space="0" w:color="auto"/>
        <w:bottom w:val="none" w:sz="0" w:space="0" w:color="auto"/>
        <w:right w:val="none" w:sz="0" w:space="0" w:color="auto"/>
      </w:divBdr>
    </w:div>
    <w:div w:id="1189299287">
      <w:bodyDiv w:val="1"/>
      <w:marLeft w:val="0"/>
      <w:marRight w:val="0"/>
      <w:marTop w:val="0"/>
      <w:marBottom w:val="0"/>
      <w:divBdr>
        <w:top w:val="none" w:sz="0" w:space="0" w:color="auto"/>
        <w:left w:val="none" w:sz="0" w:space="0" w:color="auto"/>
        <w:bottom w:val="none" w:sz="0" w:space="0" w:color="auto"/>
        <w:right w:val="none" w:sz="0" w:space="0" w:color="auto"/>
      </w:divBdr>
    </w:div>
    <w:div w:id="1201287265">
      <w:bodyDiv w:val="1"/>
      <w:marLeft w:val="0"/>
      <w:marRight w:val="0"/>
      <w:marTop w:val="0"/>
      <w:marBottom w:val="0"/>
      <w:divBdr>
        <w:top w:val="none" w:sz="0" w:space="0" w:color="auto"/>
        <w:left w:val="none" w:sz="0" w:space="0" w:color="auto"/>
        <w:bottom w:val="none" w:sz="0" w:space="0" w:color="auto"/>
        <w:right w:val="none" w:sz="0" w:space="0" w:color="auto"/>
      </w:divBdr>
    </w:div>
    <w:div w:id="1210993694">
      <w:bodyDiv w:val="1"/>
      <w:marLeft w:val="0"/>
      <w:marRight w:val="0"/>
      <w:marTop w:val="0"/>
      <w:marBottom w:val="0"/>
      <w:divBdr>
        <w:top w:val="none" w:sz="0" w:space="0" w:color="auto"/>
        <w:left w:val="none" w:sz="0" w:space="0" w:color="auto"/>
        <w:bottom w:val="none" w:sz="0" w:space="0" w:color="auto"/>
        <w:right w:val="none" w:sz="0" w:space="0" w:color="auto"/>
      </w:divBdr>
    </w:div>
    <w:div w:id="1214270884">
      <w:bodyDiv w:val="1"/>
      <w:marLeft w:val="0"/>
      <w:marRight w:val="0"/>
      <w:marTop w:val="0"/>
      <w:marBottom w:val="0"/>
      <w:divBdr>
        <w:top w:val="none" w:sz="0" w:space="0" w:color="auto"/>
        <w:left w:val="none" w:sz="0" w:space="0" w:color="auto"/>
        <w:bottom w:val="none" w:sz="0" w:space="0" w:color="auto"/>
        <w:right w:val="none" w:sz="0" w:space="0" w:color="auto"/>
      </w:divBdr>
    </w:div>
    <w:div w:id="1228686799">
      <w:bodyDiv w:val="1"/>
      <w:marLeft w:val="0"/>
      <w:marRight w:val="0"/>
      <w:marTop w:val="0"/>
      <w:marBottom w:val="0"/>
      <w:divBdr>
        <w:top w:val="none" w:sz="0" w:space="0" w:color="auto"/>
        <w:left w:val="none" w:sz="0" w:space="0" w:color="auto"/>
        <w:bottom w:val="none" w:sz="0" w:space="0" w:color="auto"/>
        <w:right w:val="none" w:sz="0" w:space="0" w:color="auto"/>
      </w:divBdr>
    </w:div>
    <w:div w:id="1230992831">
      <w:bodyDiv w:val="1"/>
      <w:marLeft w:val="0"/>
      <w:marRight w:val="0"/>
      <w:marTop w:val="0"/>
      <w:marBottom w:val="0"/>
      <w:divBdr>
        <w:top w:val="none" w:sz="0" w:space="0" w:color="auto"/>
        <w:left w:val="none" w:sz="0" w:space="0" w:color="auto"/>
        <w:bottom w:val="none" w:sz="0" w:space="0" w:color="auto"/>
        <w:right w:val="none" w:sz="0" w:space="0" w:color="auto"/>
      </w:divBdr>
    </w:div>
    <w:div w:id="1315983952">
      <w:bodyDiv w:val="1"/>
      <w:marLeft w:val="0"/>
      <w:marRight w:val="0"/>
      <w:marTop w:val="0"/>
      <w:marBottom w:val="0"/>
      <w:divBdr>
        <w:top w:val="none" w:sz="0" w:space="0" w:color="auto"/>
        <w:left w:val="none" w:sz="0" w:space="0" w:color="auto"/>
        <w:bottom w:val="none" w:sz="0" w:space="0" w:color="auto"/>
        <w:right w:val="none" w:sz="0" w:space="0" w:color="auto"/>
      </w:divBdr>
    </w:div>
    <w:div w:id="1324309487">
      <w:bodyDiv w:val="1"/>
      <w:marLeft w:val="0"/>
      <w:marRight w:val="0"/>
      <w:marTop w:val="0"/>
      <w:marBottom w:val="0"/>
      <w:divBdr>
        <w:top w:val="none" w:sz="0" w:space="0" w:color="auto"/>
        <w:left w:val="none" w:sz="0" w:space="0" w:color="auto"/>
        <w:bottom w:val="none" w:sz="0" w:space="0" w:color="auto"/>
        <w:right w:val="none" w:sz="0" w:space="0" w:color="auto"/>
      </w:divBdr>
    </w:div>
    <w:div w:id="1326397310">
      <w:bodyDiv w:val="1"/>
      <w:marLeft w:val="0"/>
      <w:marRight w:val="0"/>
      <w:marTop w:val="0"/>
      <w:marBottom w:val="0"/>
      <w:divBdr>
        <w:top w:val="none" w:sz="0" w:space="0" w:color="auto"/>
        <w:left w:val="none" w:sz="0" w:space="0" w:color="auto"/>
        <w:bottom w:val="none" w:sz="0" w:space="0" w:color="auto"/>
        <w:right w:val="none" w:sz="0" w:space="0" w:color="auto"/>
      </w:divBdr>
    </w:div>
    <w:div w:id="1331102462">
      <w:bodyDiv w:val="1"/>
      <w:marLeft w:val="0"/>
      <w:marRight w:val="0"/>
      <w:marTop w:val="0"/>
      <w:marBottom w:val="0"/>
      <w:divBdr>
        <w:top w:val="none" w:sz="0" w:space="0" w:color="auto"/>
        <w:left w:val="none" w:sz="0" w:space="0" w:color="auto"/>
        <w:bottom w:val="none" w:sz="0" w:space="0" w:color="auto"/>
        <w:right w:val="none" w:sz="0" w:space="0" w:color="auto"/>
      </w:divBdr>
    </w:div>
    <w:div w:id="1340698520">
      <w:bodyDiv w:val="1"/>
      <w:marLeft w:val="0"/>
      <w:marRight w:val="0"/>
      <w:marTop w:val="0"/>
      <w:marBottom w:val="0"/>
      <w:divBdr>
        <w:top w:val="none" w:sz="0" w:space="0" w:color="auto"/>
        <w:left w:val="none" w:sz="0" w:space="0" w:color="auto"/>
        <w:bottom w:val="none" w:sz="0" w:space="0" w:color="auto"/>
        <w:right w:val="none" w:sz="0" w:space="0" w:color="auto"/>
      </w:divBdr>
    </w:div>
    <w:div w:id="1345278326">
      <w:bodyDiv w:val="1"/>
      <w:marLeft w:val="0"/>
      <w:marRight w:val="0"/>
      <w:marTop w:val="0"/>
      <w:marBottom w:val="0"/>
      <w:divBdr>
        <w:top w:val="none" w:sz="0" w:space="0" w:color="auto"/>
        <w:left w:val="none" w:sz="0" w:space="0" w:color="auto"/>
        <w:bottom w:val="none" w:sz="0" w:space="0" w:color="auto"/>
        <w:right w:val="none" w:sz="0" w:space="0" w:color="auto"/>
      </w:divBdr>
    </w:div>
    <w:div w:id="1362167588">
      <w:bodyDiv w:val="1"/>
      <w:marLeft w:val="0"/>
      <w:marRight w:val="0"/>
      <w:marTop w:val="0"/>
      <w:marBottom w:val="0"/>
      <w:divBdr>
        <w:top w:val="none" w:sz="0" w:space="0" w:color="auto"/>
        <w:left w:val="none" w:sz="0" w:space="0" w:color="auto"/>
        <w:bottom w:val="none" w:sz="0" w:space="0" w:color="auto"/>
        <w:right w:val="none" w:sz="0" w:space="0" w:color="auto"/>
      </w:divBdr>
    </w:div>
    <w:div w:id="1368876784">
      <w:bodyDiv w:val="1"/>
      <w:marLeft w:val="0"/>
      <w:marRight w:val="0"/>
      <w:marTop w:val="0"/>
      <w:marBottom w:val="0"/>
      <w:divBdr>
        <w:top w:val="none" w:sz="0" w:space="0" w:color="auto"/>
        <w:left w:val="none" w:sz="0" w:space="0" w:color="auto"/>
        <w:bottom w:val="none" w:sz="0" w:space="0" w:color="auto"/>
        <w:right w:val="none" w:sz="0" w:space="0" w:color="auto"/>
      </w:divBdr>
    </w:div>
    <w:div w:id="1384984036">
      <w:bodyDiv w:val="1"/>
      <w:marLeft w:val="0"/>
      <w:marRight w:val="0"/>
      <w:marTop w:val="0"/>
      <w:marBottom w:val="0"/>
      <w:divBdr>
        <w:top w:val="none" w:sz="0" w:space="0" w:color="auto"/>
        <w:left w:val="none" w:sz="0" w:space="0" w:color="auto"/>
        <w:bottom w:val="none" w:sz="0" w:space="0" w:color="auto"/>
        <w:right w:val="none" w:sz="0" w:space="0" w:color="auto"/>
      </w:divBdr>
    </w:div>
    <w:div w:id="1412241149">
      <w:bodyDiv w:val="1"/>
      <w:marLeft w:val="0"/>
      <w:marRight w:val="0"/>
      <w:marTop w:val="0"/>
      <w:marBottom w:val="0"/>
      <w:divBdr>
        <w:top w:val="none" w:sz="0" w:space="0" w:color="auto"/>
        <w:left w:val="none" w:sz="0" w:space="0" w:color="auto"/>
        <w:bottom w:val="none" w:sz="0" w:space="0" w:color="auto"/>
        <w:right w:val="none" w:sz="0" w:space="0" w:color="auto"/>
      </w:divBdr>
    </w:div>
    <w:div w:id="1414933853">
      <w:bodyDiv w:val="1"/>
      <w:marLeft w:val="0"/>
      <w:marRight w:val="0"/>
      <w:marTop w:val="0"/>
      <w:marBottom w:val="0"/>
      <w:divBdr>
        <w:top w:val="none" w:sz="0" w:space="0" w:color="auto"/>
        <w:left w:val="none" w:sz="0" w:space="0" w:color="auto"/>
        <w:bottom w:val="none" w:sz="0" w:space="0" w:color="auto"/>
        <w:right w:val="none" w:sz="0" w:space="0" w:color="auto"/>
      </w:divBdr>
    </w:div>
    <w:div w:id="1433159220">
      <w:bodyDiv w:val="1"/>
      <w:marLeft w:val="0"/>
      <w:marRight w:val="0"/>
      <w:marTop w:val="0"/>
      <w:marBottom w:val="0"/>
      <w:divBdr>
        <w:top w:val="none" w:sz="0" w:space="0" w:color="auto"/>
        <w:left w:val="none" w:sz="0" w:space="0" w:color="auto"/>
        <w:bottom w:val="none" w:sz="0" w:space="0" w:color="auto"/>
        <w:right w:val="none" w:sz="0" w:space="0" w:color="auto"/>
      </w:divBdr>
    </w:div>
    <w:div w:id="1438407356">
      <w:bodyDiv w:val="1"/>
      <w:marLeft w:val="0"/>
      <w:marRight w:val="0"/>
      <w:marTop w:val="0"/>
      <w:marBottom w:val="0"/>
      <w:divBdr>
        <w:top w:val="none" w:sz="0" w:space="0" w:color="auto"/>
        <w:left w:val="none" w:sz="0" w:space="0" w:color="auto"/>
        <w:bottom w:val="none" w:sz="0" w:space="0" w:color="auto"/>
        <w:right w:val="none" w:sz="0" w:space="0" w:color="auto"/>
      </w:divBdr>
    </w:div>
    <w:div w:id="1441993474">
      <w:bodyDiv w:val="1"/>
      <w:marLeft w:val="0"/>
      <w:marRight w:val="0"/>
      <w:marTop w:val="0"/>
      <w:marBottom w:val="0"/>
      <w:divBdr>
        <w:top w:val="none" w:sz="0" w:space="0" w:color="auto"/>
        <w:left w:val="none" w:sz="0" w:space="0" w:color="auto"/>
        <w:bottom w:val="none" w:sz="0" w:space="0" w:color="auto"/>
        <w:right w:val="none" w:sz="0" w:space="0" w:color="auto"/>
      </w:divBdr>
    </w:div>
    <w:div w:id="1462384352">
      <w:bodyDiv w:val="1"/>
      <w:marLeft w:val="0"/>
      <w:marRight w:val="0"/>
      <w:marTop w:val="0"/>
      <w:marBottom w:val="0"/>
      <w:divBdr>
        <w:top w:val="none" w:sz="0" w:space="0" w:color="auto"/>
        <w:left w:val="none" w:sz="0" w:space="0" w:color="auto"/>
        <w:bottom w:val="none" w:sz="0" w:space="0" w:color="auto"/>
        <w:right w:val="none" w:sz="0" w:space="0" w:color="auto"/>
      </w:divBdr>
    </w:div>
    <w:div w:id="1475372354">
      <w:bodyDiv w:val="1"/>
      <w:marLeft w:val="0"/>
      <w:marRight w:val="0"/>
      <w:marTop w:val="0"/>
      <w:marBottom w:val="0"/>
      <w:divBdr>
        <w:top w:val="none" w:sz="0" w:space="0" w:color="auto"/>
        <w:left w:val="none" w:sz="0" w:space="0" w:color="auto"/>
        <w:bottom w:val="none" w:sz="0" w:space="0" w:color="auto"/>
        <w:right w:val="none" w:sz="0" w:space="0" w:color="auto"/>
      </w:divBdr>
    </w:div>
    <w:div w:id="1479999508">
      <w:bodyDiv w:val="1"/>
      <w:marLeft w:val="0"/>
      <w:marRight w:val="0"/>
      <w:marTop w:val="0"/>
      <w:marBottom w:val="0"/>
      <w:divBdr>
        <w:top w:val="none" w:sz="0" w:space="0" w:color="auto"/>
        <w:left w:val="none" w:sz="0" w:space="0" w:color="auto"/>
        <w:bottom w:val="none" w:sz="0" w:space="0" w:color="auto"/>
        <w:right w:val="none" w:sz="0" w:space="0" w:color="auto"/>
      </w:divBdr>
    </w:div>
    <w:div w:id="1502889461">
      <w:bodyDiv w:val="1"/>
      <w:marLeft w:val="0"/>
      <w:marRight w:val="0"/>
      <w:marTop w:val="0"/>
      <w:marBottom w:val="0"/>
      <w:divBdr>
        <w:top w:val="none" w:sz="0" w:space="0" w:color="auto"/>
        <w:left w:val="none" w:sz="0" w:space="0" w:color="auto"/>
        <w:bottom w:val="none" w:sz="0" w:space="0" w:color="auto"/>
        <w:right w:val="none" w:sz="0" w:space="0" w:color="auto"/>
      </w:divBdr>
    </w:div>
    <w:div w:id="1511138348">
      <w:bodyDiv w:val="1"/>
      <w:marLeft w:val="0"/>
      <w:marRight w:val="0"/>
      <w:marTop w:val="0"/>
      <w:marBottom w:val="0"/>
      <w:divBdr>
        <w:top w:val="none" w:sz="0" w:space="0" w:color="auto"/>
        <w:left w:val="none" w:sz="0" w:space="0" w:color="auto"/>
        <w:bottom w:val="none" w:sz="0" w:space="0" w:color="auto"/>
        <w:right w:val="none" w:sz="0" w:space="0" w:color="auto"/>
      </w:divBdr>
    </w:div>
    <w:div w:id="1521044646">
      <w:bodyDiv w:val="1"/>
      <w:marLeft w:val="0"/>
      <w:marRight w:val="0"/>
      <w:marTop w:val="0"/>
      <w:marBottom w:val="0"/>
      <w:divBdr>
        <w:top w:val="none" w:sz="0" w:space="0" w:color="auto"/>
        <w:left w:val="none" w:sz="0" w:space="0" w:color="auto"/>
        <w:bottom w:val="none" w:sz="0" w:space="0" w:color="auto"/>
        <w:right w:val="none" w:sz="0" w:space="0" w:color="auto"/>
      </w:divBdr>
    </w:div>
    <w:div w:id="1535656344">
      <w:bodyDiv w:val="1"/>
      <w:marLeft w:val="0"/>
      <w:marRight w:val="0"/>
      <w:marTop w:val="0"/>
      <w:marBottom w:val="0"/>
      <w:divBdr>
        <w:top w:val="none" w:sz="0" w:space="0" w:color="auto"/>
        <w:left w:val="none" w:sz="0" w:space="0" w:color="auto"/>
        <w:bottom w:val="none" w:sz="0" w:space="0" w:color="auto"/>
        <w:right w:val="none" w:sz="0" w:space="0" w:color="auto"/>
      </w:divBdr>
    </w:div>
    <w:div w:id="1543783346">
      <w:bodyDiv w:val="1"/>
      <w:marLeft w:val="0"/>
      <w:marRight w:val="0"/>
      <w:marTop w:val="0"/>
      <w:marBottom w:val="0"/>
      <w:divBdr>
        <w:top w:val="none" w:sz="0" w:space="0" w:color="auto"/>
        <w:left w:val="none" w:sz="0" w:space="0" w:color="auto"/>
        <w:bottom w:val="none" w:sz="0" w:space="0" w:color="auto"/>
        <w:right w:val="none" w:sz="0" w:space="0" w:color="auto"/>
      </w:divBdr>
    </w:div>
    <w:div w:id="1547524670">
      <w:bodyDiv w:val="1"/>
      <w:marLeft w:val="0"/>
      <w:marRight w:val="0"/>
      <w:marTop w:val="0"/>
      <w:marBottom w:val="0"/>
      <w:divBdr>
        <w:top w:val="none" w:sz="0" w:space="0" w:color="auto"/>
        <w:left w:val="none" w:sz="0" w:space="0" w:color="auto"/>
        <w:bottom w:val="none" w:sz="0" w:space="0" w:color="auto"/>
        <w:right w:val="none" w:sz="0" w:space="0" w:color="auto"/>
      </w:divBdr>
    </w:div>
    <w:div w:id="1551847124">
      <w:bodyDiv w:val="1"/>
      <w:marLeft w:val="0"/>
      <w:marRight w:val="0"/>
      <w:marTop w:val="0"/>
      <w:marBottom w:val="0"/>
      <w:divBdr>
        <w:top w:val="none" w:sz="0" w:space="0" w:color="auto"/>
        <w:left w:val="none" w:sz="0" w:space="0" w:color="auto"/>
        <w:bottom w:val="none" w:sz="0" w:space="0" w:color="auto"/>
        <w:right w:val="none" w:sz="0" w:space="0" w:color="auto"/>
      </w:divBdr>
    </w:div>
    <w:div w:id="1553494144">
      <w:bodyDiv w:val="1"/>
      <w:marLeft w:val="0"/>
      <w:marRight w:val="0"/>
      <w:marTop w:val="0"/>
      <w:marBottom w:val="0"/>
      <w:divBdr>
        <w:top w:val="none" w:sz="0" w:space="0" w:color="auto"/>
        <w:left w:val="none" w:sz="0" w:space="0" w:color="auto"/>
        <w:bottom w:val="none" w:sz="0" w:space="0" w:color="auto"/>
        <w:right w:val="none" w:sz="0" w:space="0" w:color="auto"/>
      </w:divBdr>
    </w:div>
    <w:div w:id="1557207155">
      <w:bodyDiv w:val="1"/>
      <w:marLeft w:val="0"/>
      <w:marRight w:val="0"/>
      <w:marTop w:val="0"/>
      <w:marBottom w:val="0"/>
      <w:divBdr>
        <w:top w:val="none" w:sz="0" w:space="0" w:color="auto"/>
        <w:left w:val="none" w:sz="0" w:space="0" w:color="auto"/>
        <w:bottom w:val="none" w:sz="0" w:space="0" w:color="auto"/>
        <w:right w:val="none" w:sz="0" w:space="0" w:color="auto"/>
      </w:divBdr>
    </w:div>
    <w:div w:id="1557282784">
      <w:bodyDiv w:val="1"/>
      <w:marLeft w:val="0"/>
      <w:marRight w:val="0"/>
      <w:marTop w:val="0"/>
      <w:marBottom w:val="0"/>
      <w:divBdr>
        <w:top w:val="none" w:sz="0" w:space="0" w:color="auto"/>
        <w:left w:val="none" w:sz="0" w:space="0" w:color="auto"/>
        <w:bottom w:val="none" w:sz="0" w:space="0" w:color="auto"/>
        <w:right w:val="none" w:sz="0" w:space="0" w:color="auto"/>
      </w:divBdr>
    </w:div>
    <w:div w:id="1590118085">
      <w:bodyDiv w:val="1"/>
      <w:marLeft w:val="0"/>
      <w:marRight w:val="0"/>
      <w:marTop w:val="0"/>
      <w:marBottom w:val="0"/>
      <w:divBdr>
        <w:top w:val="none" w:sz="0" w:space="0" w:color="auto"/>
        <w:left w:val="none" w:sz="0" w:space="0" w:color="auto"/>
        <w:bottom w:val="none" w:sz="0" w:space="0" w:color="auto"/>
        <w:right w:val="none" w:sz="0" w:space="0" w:color="auto"/>
      </w:divBdr>
    </w:div>
    <w:div w:id="1593510505">
      <w:bodyDiv w:val="1"/>
      <w:marLeft w:val="0"/>
      <w:marRight w:val="0"/>
      <w:marTop w:val="0"/>
      <w:marBottom w:val="0"/>
      <w:divBdr>
        <w:top w:val="none" w:sz="0" w:space="0" w:color="auto"/>
        <w:left w:val="none" w:sz="0" w:space="0" w:color="auto"/>
        <w:bottom w:val="none" w:sz="0" w:space="0" w:color="auto"/>
        <w:right w:val="none" w:sz="0" w:space="0" w:color="auto"/>
      </w:divBdr>
    </w:div>
    <w:div w:id="1593971994">
      <w:bodyDiv w:val="1"/>
      <w:marLeft w:val="0"/>
      <w:marRight w:val="0"/>
      <w:marTop w:val="0"/>
      <w:marBottom w:val="0"/>
      <w:divBdr>
        <w:top w:val="none" w:sz="0" w:space="0" w:color="auto"/>
        <w:left w:val="none" w:sz="0" w:space="0" w:color="auto"/>
        <w:bottom w:val="none" w:sz="0" w:space="0" w:color="auto"/>
        <w:right w:val="none" w:sz="0" w:space="0" w:color="auto"/>
      </w:divBdr>
    </w:div>
    <w:div w:id="1602371521">
      <w:bodyDiv w:val="1"/>
      <w:marLeft w:val="0"/>
      <w:marRight w:val="0"/>
      <w:marTop w:val="0"/>
      <w:marBottom w:val="0"/>
      <w:divBdr>
        <w:top w:val="none" w:sz="0" w:space="0" w:color="auto"/>
        <w:left w:val="none" w:sz="0" w:space="0" w:color="auto"/>
        <w:bottom w:val="none" w:sz="0" w:space="0" w:color="auto"/>
        <w:right w:val="none" w:sz="0" w:space="0" w:color="auto"/>
      </w:divBdr>
    </w:div>
    <w:div w:id="1604341272">
      <w:bodyDiv w:val="1"/>
      <w:marLeft w:val="0"/>
      <w:marRight w:val="0"/>
      <w:marTop w:val="0"/>
      <w:marBottom w:val="0"/>
      <w:divBdr>
        <w:top w:val="none" w:sz="0" w:space="0" w:color="auto"/>
        <w:left w:val="none" w:sz="0" w:space="0" w:color="auto"/>
        <w:bottom w:val="none" w:sz="0" w:space="0" w:color="auto"/>
        <w:right w:val="none" w:sz="0" w:space="0" w:color="auto"/>
      </w:divBdr>
    </w:div>
    <w:div w:id="1610308935">
      <w:bodyDiv w:val="1"/>
      <w:marLeft w:val="0"/>
      <w:marRight w:val="0"/>
      <w:marTop w:val="0"/>
      <w:marBottom w:val="0"/>
      <w:divBdr>
        <w:top w:val="none" w:sz="0" w:space="0" w:color="auto"/>
        <w:left w:val="none" w:sz="0" w:space="0" w:color="auto"/>
        <w:bottom w:val="none" w:sz="0" w:space="0" w:color="auto"/>
        <w:right w:val="none" w:sz="0" w:space="0" w:color="auto"/>
      </w:divBdr>
    </w:div>
    <w:div w:id="1623877731">
      <w:bodyDiv w:val="1"/>
      <w:marLeft w:val="0"/>
      <w:marRight w:val="0"/>
      <w:marTop w:val="0"/>
      <w:marBottom w:val="0"/>
      <w:divBdr>
        <w:top w:val="none" w:sz="0" w:space="0" w:color="auto"/>
        <w:left w:val="none" w:sz="0" w:space="0" w:color="auto"/>
        <w:bottom w:val="none" w:sz="0" w:space="0" w:color="auto"/>
        <w:right w:val="none" w:sz="0" w:space="0" w:color="auto"/>
      </w:divBdr>
    </w:div>
    <w:div w:id="1637754356">
      <w:bodyDiv w:val="1"/>
      <w:marLeft w:val="0"/>
      <w:marRight w:val="0"/>
      <w:marTop w:val="0"/>
      <w:marBottom w:val="0"/>
      <w:divBdr>
        <w:top w:val="none" w:sz="0" w:space="0" w:color="auto"/>
        <w:left w:val="none" w:sz="0" w:space="0" w:color="auto"/>
        <w:bottom w:val="none" w:sz="0" w:space="0" w:color="auto"/>
        <w:right w:val="none" w:sz="0" w:space="0" w:color="auto"/>
      </w:divBdr>
    </w:div>
    <w:div w:id="1648699856">
      <w:bodyDiv w:val="1"/>
      <w:marLeft w:val="0"/>
      <w:marRight w:val="0"/>
      <w:marTop w:val="0"/>
      <w:marBottom w:val="0"/>
      <w:divBdr>
        <w:top w:val="none" w:sz="0" w:space="0" w:color="auto"/>
        <w:left w:val="none" w:sz="0" w:space="0" w:color="auto"/>
        <w:bottom w:val="none" w:sz="0" w:space="0" w:color="auto"/>
        <w:right w:val="none" w:sz="0" w:space="0" w:color="auto"/>
      </w:divBdr>
    </w:div>
    <w:div w:id="1659306983">
      <w:bodyDiv w:val="1"/>
      <w:marLeft w:val="0"/>
      <w:marRight w:val="0"/>
      <w:marTop w:val="0"/>
      <w:marBottom w:val="0"/>
      <w:divBdr>
        <w:top w:val="none" w:sz="0" w:space="0" w:color="auto"/>
        <w:left w:val="none" w:sz="0" w:space="0" w:color="auto"/>
        <w:bottom w:val="none" w:sz="0" w:space="0" w:color="auto"/>
        <w:right w:val="none" w:sz="0" w:space="0" w:color="auto"/>
      </w:divBdr>
    </w:div>
    <w:div w:id="1669097134">
      <w:bodyDiv w:val="1"/>
      <w:marLeft w:val="0"/>
      <w:marRight w:val="0"/>
      <w:marTop w:val="0"/>
      <w:marBottom w:val="0"/>
      <w:divBdr>
        <w:top w:val="none" w:sz="0" w:space="0" w:color="auto"/>
        <w:left w:val="none" w:sz="0" w:space="0" w:color="auto"/>
        <w:bottom w:val="none" w:sz="0" w:space="0" w:color="auto"/>
        <w:right w:val="none" w:sz="0" w:space="0" w:color="auto"/>
      </w:divBdr>
    </w:div>
    <w:div w:id="1691368646">
      <w:bodyDiv w:val="1"/>
      <w:marLeft w:val="0"/>
      <w:marRight w:val="0"/>
      <w:marTop w:val="0"/>
      <w:marBottom w:val="0"/>
      <w:divBdr>
        <w:top w:val="none" w:sz="0" w:space="0" w:color="auto"/>
        <w:left w:val="none" w:sz="0" w:space="0" w:color="auto"/>
        <w:bottom w:val="none" w:sz="0" w:space="0" w:color="auto"/>
        <w:right w:val="none" w:sz="0" w:space="0" w:color="auto"/>
      </w:divBdr>
      <w:divsChild>
        <w:div w:id="1635913314">
          <w:marLeft w:val="0"/>
          <w:marRight w:val="0"/>
          <w:marTop w:val="0"/>
          <w:marBottom w:val="0"/>
          <w:divBdr>
            <w:top w:val="none" w:sz="0" w:space="0" w:color="auto"/>
            <w:left w:val="none" w:sz="0" w:space="0" w:color="auto"/>
            <w:bottom w:val="none" w:sz="0" w:space="0" w:color="auto"/>
            <w:right w:val="none" w:sz="0" w:space="0" w:color="auto"/>
          </w:divBdr>
          <w:divsChild>
            <w:div w:id="1083988844">
              <w:marLeft w:val="0"/>
              <w:marRight w:val="0"/>
              <w:marTop w:val="0"/>
              <w:marBottom w:val="0"/>
              <w:divBdr>
                <w:top w:val="none" w:sz="0" w:space="0" w:color="auto"/>
                <w:left w:val="none" w:sz="0" w:space="0" w:color="auto"/>
                <w:bottom w:val="none" w:sz="0" w:space="0" w:color="auto"/>
                <w:right w:val="none" w:sz="0" w:space="0" w:color="auto"/>
              </w:divBdr>
              <w:divsChild>
                <w:div w:id="12509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2014">
      <w:bodyDiv w:val="1"/>
      <w:marLeft w:val="0"/>
      <w:marRight w:val="0"/>
      <w:marTop w:val="0"/>
      <w:marBottom w:val="0"/>
      <w:divBdr>
        <w:top w:val="none" w:sz="0" w:space="0" w:color="auto"/>
        <w:left w:val="none" w:sz="0" w:space="0" w:color="auto"/>
        <w:bottom w:val="none" w:sz="0" w:space="0" w:color="auto"/>
        <w:right w:val="none" w:sz="0" w:space="0" w:color="auto"/>
      </w:divBdr>
    </w:div>
    <w:div w:id="1702244019">
      <w:bodyDiv w:val="1"/>
      <w:marLeft w:val="0"/>
      <w:marRight w:val="0"/>
      <w:marTop w:val="0"/>
      <w:marBottom w:val="0"/>
      <w:divBdr>
        <w:top w:val="none" w:sz="0" w:space="0" w:color="auto"/>
        <w:left w:val="none" w:sz="0" w:space="0" w:color="auto"/>
        <w:bottom w:val="none" w:sz="0" w:space="0" w:color="auto"/>
        <w:right w:val="none" w:sz="0" w:space="0" w:color="auto"/>
      </w:divBdr>
    </w:div>
    <w:div w:id="1711611896">
      <w:bodyDiv w:val="1"/>
      <w:marLeft w:val="0"/>
      <w:marRight w:val="0"/>
      <w:marTop w:val="0"/>
      <w:marBottom w:val="0"/>
      <w:divBdr>
        <w:top w:val="none" w:sz="0" w:space="0" w:color="auto"/>
        <w:left w:val="none" w:sz="0" w:space="0" w:color="auto"/>
        <w:bottom w:val="none" w:sz="0" w:space="0" w:color="auto"/>
        <w:right w:val="none" w:sz="0" w:space="0" w:color="auto"/>
      </w:divBdr>
    </w:div>
    <w:div w:id="1735738034">
      <w:bodyDiv w:val="1"/>
      <w:marLeft w:val="0"/>
      <w:marRight w:val="0"/>
      <w:marTop w:val="0"/>
      <w:marBottom w:val="0"/>
      <w:divBdr>
        <w:top w:val="none" w:sz="0" w:space="0" w:color="auto"/>
        <w:left w:val="none" w:sz="0" w:space="0" w:color="auto"/>
        <w:bottom w:val="none" w:sz="0" w:space="0" w:color="auto"/>
        <w:right w:val="none" w:sz="0" w:space="0" w:color="auto"/>
      </w:divBdr>
    </w:div>
    <w:div w:id="1742556791">
      <w:bodyDiv w:val="1"/>
      <w:marLeft w:val="0"/>
      <w:marRight w:val="0"/>
      <w:marTop w:val="0"/>
      <w:marBottom w:val="0"/>
      <w:divBdr>
        <w:top w:val="none" w:sz="0" w:space="0" w:color="auto"/>
        <w:left w:val="none" w:sz="0" w:space="0" w:color="auto"/>
        <w:bottom w:val="none" w:sz="0" w:space="0" w:color="auto"/>
        <w:right w:val="none" w:sz="0" w:space="0" w:color="auto"/>
      </w:divBdr>
    </w:div>
    <w:div w:id="1748839160">
      <w:bodyDiv w:val="1"/>
      <w:marLeft w:val="0"/>
      <w:marRight w:val="0"/>
      <w:marTop w:val="0"/>
      <w:marBottom w:val="0"/>
      <w:divBdr>
        <w:top w:val="none" w:sz="0" w:space="0" w:color="auto"/>
        <w:left w:val="none" w:sz="0" w:space="0" w:color="auto"/>
        <w:bottom w:val="none" w:sz="0" w:space="0" w:color="auto"/>
        <w:right w:val="none" w:sz="0" w:space="0" w:color="auto"/>
      </w:divBdr>
    </w:div>
    <w:div w:id="1759903811">
      <w:bodyDiv w:val="1"/>
      <w:marLeft w:val="0"/>
      <w:marRight w:val="0"/>
      <w:marTop w:val="0"/>
      <w:marBottom w:val="0"/>
      <w:divBdr>
        <w:top w:val="none" w:sz="0" w:space="0" w:color="auto"/>
        <w:left w:val="none" w:sz="0" w:space="0" w:color="auto"/>
        <w:bottom w:val="none" w:sz="0" w:space="0" w:color="auto"/>
        <w:right w:val="none" w:sz="0" w:space="0" w:color="auto"/>
      </w:divBdr>
    </w:div>
    <w:div w:id="1765802010">
      <w:bodyDiv w:val="1"/>
      <w:marLeft w:val="0"/>
      <w:marRight w:val="0"/>
      <w:marTop w:val="0"/>
      <w:marBottom w:val="0"/>
      <w:divBdr>
        <w:top w:val="none" w:sz="0" w:space="0" w:color="auto"/>
        <w:left w:val="none" w:sz="0" w:space="0" w:color="auto"/>
        <w:bottom w:val="none" w:sz="0" w:space="0" w:color="auto"/>
        <w:right w:val="none" w:sz="0" w:space="0" w:color="auto"/>
      </w:divBdr>
    </w:div>
    <w:div w:id="1767845188">
      <w:bodyDiv w:val="1"/>
      <w:marLeft w:val="0"/>
      <w:marRight w:val="0"/>
      <w:marTop w:val="0"/>
      <w:marBottom w:val="0"/>
      <w:divBdr>
        <w:top w:val="none" w:sz="0" w:space="0" w:color="auto"/>
        <w:left w:val="none" w:sz="0" w:space="0" w:color="auto"/>
        <w:bottom w:val="none" w:sz="0" w:space="0" w:color="auto"/>
        <w:right w:val="none" w:sz="0" w:space="0" w:color="auto"/>
      </w:divBdr>
    </w:div>
    <w:div w:id="1780098788">
      <w:bodyDiv w:val="1"/>
      <w:marLeft w:val="0"/>
      <w:marRight w:val="0"/>
      <w:marTop w:val="0"/>
      <w:marBottom w:val="0"/>
      <w:divBdr>
        <w:top w:val="none" w:sz="0" w:space="0" w:color="auto"/>
        <w:left w:val="none" w:sz="0" w:space="0" w:color="auto"/>
        <w:bottom w:val="none" w:sz="0" w:space="0" w:color="auto"/>
        <w:right w:val="none" w:sz="0" w:space="0" w:color="auto"/>
      </w:divBdr>
    </w:div>
    <w:div w:id="1786735118">
      <w:bodyDiv w:val="1"/>
      <w:marLeft w:val="0"/>
      <w:marRight w:val="0"/>
      <w:marTop w:val="0"/>
      <w:marBottom w:val="0"/>
      <w:divBdr>
        <w:top w:val="none" w:sz="0" w:space="0" w:color="auto"/>
        <w:left w:val="none" w:sz="0" w:space="0" w:color="auto"/>
        <w:bottom w:val="none" w:sz="0" w:space="0" w:color="auto"/>
        <w:right w:val="none" w:sz="0" w:space="0" w:color="auto"/>
      </w:divBdr>
    </w:div>
    <w:div w:id="1787961788">
      <w:bodyDiv w:val="1"/>
      <w:marLeft w:val="0"/>
      <w:marRight w:val="0"/>
      <w:marTop w:val="0"/>
      <w:marBottom w:val="0"/>
      <w:divBdr>
        <w:top w:val="none" w:sz="0" w:space="0" w:color="auto"/>
        <w:left w:val="none" w:sz="0" w:space="0" w:color="auto"/>
        <w:bottom w:val="none" w:sz="0" w:space="0" w:color="auto"/>
        <w:right w:val="none" w:sz="0" w:space="0" w:color="auto"/>
      </w:divBdr>
    </w:div>
    <w:div w:id="1793284208">
      <w:bodyDiv w:val="1"/>
      <w:marLeft w:val="0"/>
      <w:marRight w:val="0"/>
      <w:marTop w:val="0"/>
      <w:marBottom w:val="0"/>
      <w:divBdr>
        <w:top w:val="none" w:sz="0" w:space="0" w:color="auto"/>
        <w:left w:val="none" w:sz="0" w:space="0" w:color="auto"/>
        <w:bottom w:val="none" w:sz="0" w:space="0" w:color="auto"/>
        <w:right w:val="none" w:sz="0" w:space="0" w:color="auto"/>
      </w:divBdr>
    </w:div>
    <w:div w:id="1809207584">
      <w:bodyDiv w:val="1"/>
      <w:marLeft w:val="0"/>
      <w:marRight w:val="0"/>
      <w:marTop w:val="0"/>
      <w:marBottom w:val="0"/>
      <w:divBdr>
        <w:top w:val="none" w:sz="0" w:space="0" w:color="auto"/>
        <w:left w:val="none" w:sz="0" w:space="0" w:color="auto"/>
        <w:bottom w:val="none" w:sz="0" w:space="0" w:color="auto"/>
        <w:right w:val="none" w:sz="0" w:space="0" w:color="auto"/>
      </w:divBdr>
    </w:div>
    <w:div w:id="1809323296">
      <w:bodyDiv w:val="1"/>
      <w:marLeft w:val="0"/>
      <w:marRight w:val="0"/>
      <w:marTop w:val="0"/>
      <w:marBottom w:val="0"/>
      <w:divBdr>
        <w:top w:val="none" w:sz="0" w:space="0" w:color="auto"/>
        <w:left w:val="none" w:sz="0" w:space="0" w:color="auto"/>
        <w:bottom w:val="none" w:sz="0" w:space="0" w:color="auto"/>
        <w:right w:val="none" w:sz="0" w:space="0" w:color="auto"/>
      </w:divBdr>
    </w:div>
    <w:div w:id="1842042515">
      <w:bodyDiv w:val="1"/>
      <w:marLeft w:val="0"/>
      <w:marRight w:val="0"/>
      <w:marTop w:val="0"/>
      <w:marBottom w:val="0"/>
      <w:divBdr>
        <w:top w:val="none" w:sz="0" w:space="0" w:color="auto"/>
        <w:left w:val="none" w:sz="0" w:space="0" w:color="auto"/>
        <w:bottom w:val="none" w:sz="0" w:space="0" w:color="auto"/>
        <w:right w:val="none" w:sz="0" w:space="0" w:color="auto"/>
      </w:divBdr>
    </w:div>
    <w:div w:id="1850441095">
      <w:bodyDiv w:val="1"/>
      <w:marLeft w:val="0"/>
      <w:marRight w:val="0"/>
      <w:marTop w:val="0"/>
      <w:marBottom w:val="0"/>
      <w:divBdr>
        <w:top w:val="none" w:sz="0" w:space="0" w:color="auto"/>
        <w:left w:val="none" w:sz="0" w:space="0" w:color="auto"/>
        <w:bottom w:val="none" w:sz="0" w:space="0" w:color="auto"/>
        <w:right w:val="none" w:sz="0" w:space="0" w:color="auto"/>
      </w:divBdr>
    </w:div>
    <w:div w:id="1859346837">
      <w:bodyDiv w:val="1"/>
      <w:marLeft w:val="0"/>
      <w:marRight w:val="0"/>
      <w:marTop w:val="0"/>
      <w:marBottom w:val="0"/>
      <w:divBdr>
        <w:top w:val="none" w:sz="0" w:space="0" w:color="auto"/>
        <w:left w:val="none" w:sz="0" w:space="0" w:color="auto"/>
        <w:bottom w:val="none" w:sz="0" w:space="0" w:color="auto"/>
        <w:right w:val="none" w:sz="0" w:space="0" w:color="auto"/>
      </w:divBdr>
      <w:divsChild>
        <w:div w:id="154542125">
          <w:marLeft w:val="0"/>
          <w:marRight w:val="0"/>
          <w:marTop w:val="0"/>
          <w:marBottom w:val="0"/>
          <w:divBdr>
            <w:top w:val="none" w:sz="0" w:space="0" w:color="auto"/>
            <w:left w:val="none" w:sz="0" w:space="0" w:color="auto"/>
            <w:bottom w:val="none" w:sz="0" w:space="0" w:color="auto"/>
            <w:right w:val="none" w:sz="0" w:space="0" w:color="auto"/>
          </w:divBdr>
        </w:div>
        <w:div w:id="253365785">
          <w:marLeft w:val="0"/>
          <w:marRight w:val="0"/>
          <w:marTop w:val="0"/>
          <w:marBottom w:val="0"/>
          <w:divBdr>
            <w:top w:val="none" w:sz="0" w:space="0" w:color="auto"/>
            <w:left w:val="none" w:sz="0" w:space="0" w:color="auto"/>
            <w:bottom w:val="none" w:sz="0" w:space="0" w:color="auto"/>
            <w:right w:val="none" w:sz="0" w:space="0" w:color="auto"/>
          </w:divBdr>
        </w:div>
        <w:div w:id="282081932">
          <w:marLeft w:val="0"/>
          <w:marRight w:val="0"/>
          <w:marTop w:val="0"/>
          <w:marBottom w:val="0"/>
          <w:divBdr>
            <w:top w:val="none" w:sz="0" w:space="0" w:color="auto"/>
            <w:left w:val="none" w:sz="0" w:space="0" w:color="auto"/>
            <w:bottom w:val="none" w:sz="0" w:space="0" w:color="auto"/>
            <w:right w:val="none" w:sz="0" w:space="0" w:color="auto"/>
          </w:divBdr>
        </w:div>
        <w:div w:id="791440290">
          <w:marLeft w:val="0"/>
          <w:marRight w:val="0"/>
          <w:marTop w:val="0"/>
          <w:marBottom w:val="0"/>
          <w:divBdr>
            <w:top w:val="none" w:sz="0" w:space="0" w:color="auto"/>
            <w:left w:val="none" w:sz="0" w:space="0" w:color="auto"/>
            <w:bottom w:val="none" w:sz="0" w:space="0" w:color="auto"/>
            <w:right w:val="none" w:sz="0" w:space="0" w:color="auto"/>
          </w:divBdr>
        </w:div>
        <w:div w:id="1071540733">
          <w:marLeft w:val="0"/>
          <w:marRight w:val="0"/>
          <w:marTop w:val="0"/>
          <w:marBottom w:val="0"/>
          <w:divBdr>
            <w:top w:val="none" w:sz="0" w:space="0" w:color="auto"/>
            <w:left w:val="none" w:sz="0" w:space="0" w:color="auto"/>
            <w:bottom w:val="none" w:sz="0" w:space="0" w:color="auto"/>
            <w:right w:val="none" w:sz="0" w:space="0" w:color="auto"/>
          </w:divBdr>
        </w:div>
        <w:div w:id="1383821926">
          <w:marLeft w:val="0"/>
          <w:marRight w:val="0"/>
          <w:marTop w:val="0"/>
          <w:marBottom w:val="0"/>
          <w:divBdr>
            <w:top w:val="none" w:sz="0" w:space="0" w:color="auto"/>
            <w:left w:val="none" w:sz="0" w:space="0" w:color="auto"/>
            <w:bottom w:val="none" w:sz="0" w:space="0" w:color="auto"/>
            <w:right w:val="none" w:sz="0" w:space="0" w:color="auto"/>
          </w:divBdr>
        </w:div>
        <w:div w:id="1440250565">
          <w:marLeft w:val="0"/>
          <w:marRight w:val="0"/>
          <w:marTop w:val="0"/>
          <w:marBottom w:val="0"/>
          <w:divBdr>
            <w:top w:val="none" w:sz="0" w:space="0" w:color="auto"/>
            <w:left w:val="none" w:sz="0" w:space="0" w:color="auto"/>
            <w:bottom w:val="none" w:sz="0" w:space="0" w:color="auto"/>
            <w:right w:val="none" w:sz="0" w:space="0" w:color="auto"/>
          </w:divBdr>
        </w:div>
        <w:div w:id="1588659537">
          <w:marLeft w:val="0"/>
          <w:marRight w:val="0"/>
          <w:marTop w:val="0"/>
          <w:marBottom w:val="0"/>
          <w:divBdr>
            <w:top w:val="none" w:sz="0" w:space="0" w:color="auto"/>
            <w:left w:val="none" w:sz="0" w:space="0" w:color="auto"/>
            <w:bottom w:val="none" w:sz="0" w:space="0" w:color="auto"/>
            <w:right w:val="none" w:sz="0" w:space="0" w:color="auto"/>
          </w:divBdr>
        </w:div>
        <w:div w:id="1840000304">
          <w:marLeft w:val="0"/>
          <w:marRight w:val="0"/>
          <w:marTop w:val="0"/>
          <w:marBottom w:val="0"/>
          <w:divBdr>
            <w:top w:val="none" w:sz="0" w:space="0" w:color="auto"/>
            <w:left w:val="none" w:sz="0" w:space="0" w:color="auto"/>
            <w:bottom w:val="none" w:sz="0" w:space="0" w:color="auto"/>
            <w:right w:val="none" w:sz="0" w:space="0" w:color="auto"/>
          </w:divBdr>
        </w:div>
        <w:div w:id="1859269294">
          <w:marLeft w:val="0"/>
          <w:marRight w:val="0"/>
          <w:marTop w:val="0"/>
          <w:marBottom w:val="0"/>
          <w:divBdr>
            <w:top w:val="none" w:sz="0" w:space="0" w:color="auto"/>
            <w:left w:val="none" w:sz="0" w:space="0" w:color="auto"/>
            <w:bottom w:val="none" w:sz="0" w:space="0" w:color="auto"/>
            <w:right w:val="none" w:sz="0" w:space="0" w:color="auto"/>
          </w:divBdr>
        </w:div>
        <w:div w:id="1988121227">
          <w:marLeft w:val="0"/>
          <w:marRight w:val="0"/>
          <w:marTop w:val="0"/>
          <w:marBottom w:val="0"/>
          <w:divBdr>
            <w:top w:val="none" w:sz="0" w:space="0" w:color="auto"/>
            <w:left w:val="none" w:sz="0" w:space="0" w:color="auto"/>
            <w:bottom w:val="none" w:sz="0" w:space="0" w:color="auto"/>
            <w:right w:val="none" w:sz="0" w:space="0" w:color="auto"/>
          </w:divBdr>
        </w:div>
        <w:div w:id="2060396070">
          <w:marLeft w:val="0"/>
          <w:marRight w:val="0"/>
          <w:marTop w:val="0"/>
          <w:marBottom w:val="0"/>
          <w:divBdr>
            <w:top w:val="none" w:sz="0" w:space="0" w:color="auto"/>
            <w:left w:val="none" w:sz="0" w:space="0" w:color="auto"/>
            <w:bottom w:val="none" w:sz="0" w:space="0" w:color="auto"/>
            <w:right w:val="none" w:sz="0" w:space="0" w:color="auto"/>
          </w:divBdr>
        </w:div>
      </w:divsChild>
    </w:div>
    <w:div w:id="1878423724">
      <w:bodyDiv w:val="1"/>
      <w:marLeft w:val="0"/>
      <w:marRight w:val="0"/>
      <w:marTop w:val="0"/>
      <w:marBottom w:val="0"/>
      <w:divBdr>
        <w:top w:val="none" w:sz="0" w:space="0" w:color="auto"/>
        <w:left w:val="none" w:sz="0" w:space="0" w:color="auto"/>
        <w:bottom w:val="none" w:sz="0" w:space="0" w:color="auto"/>
        <w:right w:val="none" w:sz="0" w:space="0" w:color="auto"/>
      </w:divBdr>
      <w:divsChild>
        <w:div w:id="562258649">
          <w:marLeft w:val="0"/>
          <w:marRight w:val="0"/>
          <w:marTop w:val="0"/>
          <w:marBottom w:val="0"/>
          <w:divBdr>
            <w:top w:val="none" w:sz="0" w:space="0" w:color="auto"/>
            <w:left w:val="none" w:sz="0" w:space="0" w:color="auto"/>
            <w:bottom w:val="none" w:sz="0" w:space="0" w:color="auto"/>
            <w:right w:val="none" w:sz="0" w:space="0" w:color="auto"/>
          </w:divBdr>
        </w:div>
        <w:div w:id="672339509">
          <w:marLeft w:val="0"/>
          <w:marRight w:val="0"/>
          <w:marTop w:val="0"/>
          <w:marBottom w:val="0"/>
          <w:divBdr>
            <w:top w:val="none" w:sz="0" w:space="0" w:color="auto"/>
            <w:left w:val="none" w:sz="0" w:space="0" w:color="auto"/>
            <w:bottom w:val="none" w:sz="0" w:space="0" w:color="auto"/>
            <w:right w:val="none" w:sz="0" w:space="0" w:color="auto"/>
          </w:divBdr>
        </w:div>
        <w:div w:id="751195473">
          <w:marLeft w:val="0"/>
          <w:marRight w:val="0"/>
          <w:marTop w:val="0"/>
          <w:marBottom w:val="0"/>
          <w:divBdr>
            <w:top w:val="none" w:sz="0" w:space="0" w:color="auto"/>
            <w:left w:val="none" w:sz="0" w:space="0" w:color="auto"/>
            <w:bottom w:val="none" w:sz="0" w:space="0" w:color="auto"/>
            <w:right w:val="none" w:sz="0" w:space="0" w:color="auto"/>
          </w:divBdr>
        </w:div>
        <w:div w:id="838665021">
          <w:marLeft w:val="0"/>
          <w:marRight w:val="0"/>
          <w:marTop w:val="0"/>
          <w:marBottom w:val="0"/>
          <w:divBdr>
            <w:top w:val="none" w:sz="0" w:space="0" w:color="auto"/>
            <w:left w:val="none" w:sz="0" w:space="0" w:color="auto"/>
            <w:bottom w:val="none" w:sz="0" w:space="0" w:color="auto"/>
            <w:right w:val="none" w:sz="0" w:space="0" w:color="auto"/>
          </w:divBdr>
        </w:div>
        <w:div w:id="980964908">
          <w:marLeft w:val="0"/>
          <w:marRight w:val="0"/>
          <w:marTop w:val="0"/>
          <w:marBottom w:val="0"/>
          <w:divBdr>
            <w:top w:val="none" w:sz="0" w:space="0" w:color="auto"/>
            <w:left w:val="none" w:sz="0" w:space="0" w:color="auto"/>
            <w:bottom w:val="none" w:sz="0" w:space="0" w:color="auto"/>
            <w:right w:val="none" w:sz="0" w:space="0" w:color="auto"/>
          </w:divBdr>
        </w:div>
        <w:div w:id="1437019702">
          <w:marLeft w:val="0"/>
          <w:marRight w:val="0"/>
          <w:marTop w:val="0"/>
          <w:marBottom w:val="0"/>
          <w:divBdr>
            <w:top w:val="none" w:sz="0" w:space="0" w:color="auto"/>
            <w:left w:val="none" w:sz="0" w:space="0" w:color="auto"/>
            <w:bottom w:val="none" w:sz="0" w:space="0" w:color="auto"/>
            <w:right w:val="none" w:sz="0" w:space="0" w:color="auto"/>
          </w:divBdr>
        </w:div>
        <w:div w:id="1552418617">
          <w:marLeft w:val="0"/>
          <w:marRight w:val="0"/>
          <w:marTop w:val="0"/>
          <w:marBottom w:val="0"/>
          <w:divBdr>
            <w:top w:val="none" w:sz="0" w:space="0" w:color="auto"/>
            <w:left w:val="none" w:sz="0" w:space="0" w:color="auto"/>
            <w:bottom w:val="none" w:sz="0" w:space="0" w:color="auto"/>
            <w:right w:val="none" w:sz="0" w:space="0" w:color="auto"/>
          </w:divBdr>
        </w:div>
        <w:div w:id="1585451565">
          <w:marLeft w:val="0"/>
          <w:marRight w:val="0"/>
          <w:marTop w:val="0"/>
          <w:marBottom w:val="0"/>
          <w:divBdr>
            <w:top w:val="none" w:sz="0" w:space="0" w:color="auto"/>
            <w:left w:val="none" w:sz="0" w:space="0" w:color="auto"/>
            <w:bottom w:val="none" w:sz="0" w:space="0" w:color="auto"/>
            <w:right w:val="none" w:sz="0" w:space="0" w:color="auto"/>
          </w:divBdr>
        </w:div>
        <w:div w:id="1753089967">
          <w:marLeft w:val="0"/>
          <w:marRight w:val="0"/>
          <w:marTop w:val="0"/>
          <w:marBottom w:val="0"/>
          <w:divBdr>
            <w:top w:val="none" w:sz="0" w:space="0" w:color="auto"/>
            <w:left w:val="none" w:sz="0" w:space="0" w:color="auto"/>
            <w:bottom w:val="none" w:sz="0" w:space="0" w:color="auto"/>
            <w:right w:val="none" w:sz="0" w:space="0" w:color="auto"/>
          </w:divBdr>
        </w:div>
        <w:div w:id="1841846568">
          <w:marLeft w:val="0"/>
          <w:marRight w:val="0"/>
          <w:marTop w:val="0"/>
          <w:marBottom w:val="0"/>
          <w:divBdr>
            <w:top w:val="none" w:sz="0" w:space="0" w:color="auto"/>
            <w:left w:val="none" w:sz="0" w:space="0" w:color="auto"/>
            <w:bottom w:val="none" w:sz="0" w:space="0" w:color="auto"/>
            <w:right w:val="none" w:sz="0" w:space="0" w:color="auto"/>
          </w:divBdr>
        </w:div>
        <w:div w:id="2091463718">
          <w:marLeft w:val="0"/>
          <w:marRight w:val="0"/>
          <w:marTop w:val="0"/>
          <w:marBottom w:val="0"/>
          <w:divBdr>
            <w:top w:val="none" w:sz="0" w:space="0" w:color="auto"/>
            <w:left w:val="none" w:sz="0" w:space="0" w:color="auto"/>
            <w:bottom w:val="none" w:sz="0" w:space="0" w:color="auto"/>
            <w:right w:val="none" w:sz="0" w:space="0" w:color="auto"/>
          </w:divBdr>
        </w:div>
        <w:div w:id="2122065225">
          <w:marLeft w:val="0"/>
          <w:marRight w:val="0"/>
          <w:marTop w:val="0"/>
          <w:marBottom w:val="0"/>
          <w:divBdr>
            <w:top w:val="none" w:sz="0" w:space="0" w:color="auto"/>
            <w:left w:val="none" w:sz="0" w:space="0" w:color="auto"/>
            <w:bottom w:val="none" w:sz="0" w:space="0" w:color="auto"/>
            <w:right w:val="none" w:sz="0" w:space="0" w:color="auto"/>
          </w:divBdr>
        </w:div>
      </w:divsChild>
    </w:div>
    <w:div w:id="1888224639">
      <w:bodyDiv w:val="1"/>
      <w:marLeft w:val="0"/>
      <w:marRight w:val="0"/>
      <w:marTop w:val="0"/>
      <w:marBottom w:val="0"/>
      <w:divBdr>
        <w:top w:val="none" w:sz="0" w:space="0" w:color="auto"/>
        <w:left w:val="none" w:sz="0" w:space="0" w:color="auto"/>
        <w:bottom w:val="none" w:sz="0" w:space="0" w:color="auto"/>
        <w:right w:val="none" w:sz="0" w:space="0" w:color="auto"/>
      </w:divBdr>
    </w:div>
    <w:div w:id="1891308319">
      <w:bodyDiv w:val="1"/>
      <w:marLeft w:val="0"/>
      <w:marRight w:val="0"/>
      <w:marTop w:val="0"/>
      <w:marBottom w:val="0"/>
      <w:divBdr>
        <w:top w:val="none" w:sz="0" w:space="0" w:color="auto"/>
        <w:left w:val="none" w:sz="0" w:space="0" w:color="auto"/>
        <w:bottom w:val="none" w:sz="0" w:space="0" w:color="auto"/>
        <w:right w:val="none" w:sz="0" w:space="0" w:color="auto"/>
      </w:divBdr>
    </w:div>
    <w:div w:id="1894731955">
      <w:bodyDiv w:val="1"/>
      <w:marLeft w:val="0"/>
      <w:marRight w:val="0"/>
      <w:marTop w:val="0"/>
      <w:marBottom w:val="0"/>
      <w:divBdr>
        <w:top w:val="none" w:sz="0" w:space="0" w:color="auto"/>
        <w:left w:val="none" w:sz="0" w:space="0" w:color="auto"/>
        <w:bottom w:val="none" w:sz="0" w:space="0" w:color="auto"/>
        <w:right w:val="none" w:sz="0" w:space="0" w:color="auto"/>
      </w:divBdr>
    </w:div>
    <w:div w:id="1907375440">
      <w:bodyDiv w:val="1"/>
      <w:marLeft w:val="0"/>
      <w:marRight w:val="0"/>
      <w:marTop w:val="0"/>
      <w:marBottom w:val="0"/>
      <w:divBdr>
        <w:top w:val="none" w:sz="0" w:space="0" w:color="auto"/>
        <w:left w:val="none" w:sz="0" w:space="0" w:color="auto"/>
        <w:bottom w:val="none" w:sz="0" w:space="0" w:color="auto"/>
        <w:right w:val="none" w:sz="0" w:space="0" w:color="auto"/>
      </w:divBdr>
    </w:div>
    <w:div w:id="1907492013">
      <w:bodyDiv w:val="1"/>
      <w:marLeft w:val="0"/>
      <w:marRight w:val="0"/>
      <w:marTop w:val="0"/>
      <w:marBottom w:val="0"/>
      <w:divBdr>
        <w:top w:val="none" w:sz="0" w:space="0" w:color="auto"/>
        <w:left w:val="none" w:sz="0" w:space="0" w:color="auto"/>
        <w:bottom w:val="none" w:sz="0" w:space="0" w:color="auto"/>
        <w:right w:val="none" w:sz="0" w:space="0" w:color="auto"/>
      </w:divBdr>
    </w:div>
    <w:div w:id="1910731526">
      <w:bodyDiv w:val="1"/>
      <w:marLeft w:val="0"/>
      <w:marRight w:val="0"/>
      <w:marTop w:val="0"/>
      <w:marBottom w:val="0"/>
      <w:divBdr>
        <w:top w:val="none" w:sz="0" w:space="0" w:color="auto"/>
        <w:left w:val="none" w:sz="0" w:space="0" w:color="auto"/>
        <w:bottom w:val="none" w:sz="0" w:space="0" w:color="auto"/>
        <w:right w:val="none" w:sz="0" w:space="0" w:color="auto"/>
      </w:divBdr>
    </w:div>
    <w:div w:id="1913199762">
      <w:bodyDiv w:val="1"/>
      <w:marLeft w:val="0"/>
      <w:marRight w:val="0"/>
      <w:marTop w:val="0"/>
      <w:marBottom w:val="0"/>
      <w:divBdr>
        <w:top w:val="none" w:sz="0" w:space="0" w:color="auto"/>
        <w:left w:val="none" w:sz="0" w:space="0" w:color="auto"/>
        <w:bottom w:val="none" w:sz="0" w:space="0" w:color="auto"/>
        <w:right w:val="none" w:sz="0" w:space="0" w:color="auto"/>
      </w:divBdr>
    </w:div>
    <w:div w:id="1919171094">
      <w:bodyDiv w:val="1"/>
      <w:marLeft w:val="0"/>
      <w:marRight w:val="0"/>
      <w:marTop w:val="0"/>
      <w:marBottom w:val="0"/>
      <w:divBdr>
        <w:top w:val="none" w:sz="0" w:space="0" w:color="auto"/>
        <w:left w:val="none" w:sz="0" w:space="0" w:color="auto"/>
        <w:bottom w:val="none" w:sz="0" w:space="0" w:color="auto"/>
        <w:right w:val="none" w:sz="0" w:space="0" w:color="auto"/>
      </w:divBdr>
    </w:div>
    <w:div w:id="1925147049">
      <w:bodyDiv w:val="1"/>
      <w:marLeft w:val="0"/>
      <w:marRight w:val="0"/>
      <w:marTop w:val="0"/>
      <w:marBottom w:val="0"/>
      <w:divBdr>
        <w:top w:val="none" w:sz="0" w:space="0" w:color="auto"/>
        <w:left w:val="none" w:sz="0" w:space="0" w:color="auto"/>
        <w:bottom w:val="none" w:sz="0" w:space="0" w:color="auto"/>
        <w:right w:val="none" w:sz="0" w:space="0" w:color="auto"/>
      </w:divBdr>
    </w:div>
    <w:div w:id="1933125013">
      <w:bodyDiv w:val="1"/>
      <w:marLeft w:val="0"/>
      <w:marRight w:val="0"/>
      <w:marTop w:val="0"/>
      <w:marBottom w:val="0"/>
      <w:divBdr>
        <w:top w:val="none" w:sz="0" w:space="0" w:color="auto"/>
        <w:left w:val="none" w:sz="0" w:space="0" w:color="auto"/>
        <w:bottom w:val="none" w:sz="0" w:space="0" w:color="auto"/>
        <w:right w:val="none" w:sz="0" w:space="0" w:color="auto"/>
      </w:divBdr>
    </w:div>
    <w:div w:id="1933273637">
      <w:bodyDiv w:val="1"/>
      <w:marLeft w:val="0"/>
      <w:marRight w:val="0"/>
      <w:marTop w:val="0"/>
      <w:marBottom w:val="0"/>
      <w:divBdr>
        <w:top w:val="none" w:sz="0" w:space="0" w:color="auto"/>
        <w:left w:val="none" w:sz="0" w:space="0" w:color="auto"/>
        <w:bottom w:val="none" w:sz="0" w:space="0" w:color="auto"/>
        <w:right w:val="none" w:sz="0" w:space="0" w:color="auto"/>
      </w:divBdr>
    </w:div>
    <w:div w:id="1976060296">
      <w:bodyDiv w:val="1"/>
      <w:marLeft w:val="0"/>
      <w:marRight w:val="0"/>
      <w:marTop w:val="0"/>
      <w:marBottom w:val="0"/>
      <w:divBdr>
        <w:top w:val="none" w:sz="0" w:space="0" w:color="auto"/>
        <w:left w:val="none" w:sz="0" w:space="0" w:color="auto"/>
        <w:bottom w:val="none" w:sz="0" w:space="0" w:color="auto"/>
        <w:right w:val="none" w:sz="0" w:space="0" w:color="auto"/>
      </w:divBdr>
    </w:div>
    <w:div w:id="1985692144">
      <w:bodyDiv w:val="1"/>
      <w:marLeft w:val="0"/>
      <w:marRight w:val="0"/>
      <w:marTop w:val="0"/>
      <w:marBottom w:val="0"/>
      <w:divBdr>
        <w:top w:val="none" w:sz="0" w:space="0" w:color="auto"/>
        <w:left w:val="none" w:sz="0" w:space="0" w:color="auto"/>
        <w:bottom w:val="none" w:sz="0" w:space="0" w:color="auto"/>
        <w:right w:val="none" w:sz="0" w:space="0" w:color="auto"/>
      </w:divBdr>
    </w:div>
    <w:div w:id="2024555265">
      <w:bodyDiv w:val="1"/>
      <w:marLeft w:val="0"/>
      <w:marRight w:val="0"/>
      <w:marTop w:val="0"/>
      <w:marBottom w:val="0"/>
      <w:divBdr>
        <w:top w:val="none" w:sz="0" w:space="0" w:color="auto"/>
        <w:left w:val="none" w:sz="0" w:space="0" w:color="auto"/>
        <w:bottom w:val="none" w:sz="0" w:space="0" w:color="auto"/>
        <w:right w:val="none" w:sz="0" w:space="0" w:color="auto"/>
      </w:divBdr>
    </w:div>
    <w:div w:id="2028604464">
      <w:bodyDiv w:val="1"/>
      <w:marLeft w:val="0"/>
      <w:marRight w:val="0"/>
      <w:marTop w:val="0"/>
      <w:marBottom w:val="0"/>
      <w:divBdr>
        <w:top w:val="none" w:sz="0" w:space="0" w:color="auto"/>
        <w:left w:val="none" w:sz="0" w:space="0" w:color="auto"/>
        <w:bottom w:val="none" w:sz="0" w:space="0" w:color="auto"/>
        <w:right w:val="none" w:sz="0" w:space="0" w:color="auto"/>
      </w:divBdr>
    </w:div>
    <w:div w:id="2056470086">
      <w:bodyDiv w:val="1"/>
      <w:marLeft w:val="0"/>
      <w:marRight w:val="0"/>
      <w:marTop w:val="0"/>
      <w:marBottom w:val="0"/>
      <w:divBdr>
        <w:top w:val="none" w:sz="0" w:space="0" w:color="auto"/>
        <w:left w:val="none" w:sz="0" w:space="0" w:color="auto"/>
        <w:bottom w:val="none" w:sz="0" w:space="0" w:color="auto"/>
        <w:right w:val="none" w:sz="0" w:space="0" w:color="auto"/>
      </w:divBdr>
    </w:div>
    <w:div w:id="2068796864">
      <w:bodyDiv w:val="1"/>
      <w:marLeft w:val="0"/>
      <w:marRight w:val="0"/>
      <w:marTop w:val="0"/>
      <w:marBottom w:val="0"/>
      <w:divBdr>
        <w:top w:val="none" w:sz="0" w:space="0" w:color="auto"/>
        <w:left w:val="none" w:sz="0" w:space="0" w:color="auto"/>
        <w:bottom w:val="none" w:sz="0" w:space="0" w:color="auto"/>
        <w:right w:val="none" w:sz="0" w:space="0" w:color="auto"/>
      </w:divBdr>
    </w:div>
    <w:div w:id="2078237301">
      <w:bodyDiv w:val="1"/>
      <w:marLeft w:val="0"/>
      <w:marRight w:val="0"/>
      <w:marTop w:val="0"/>
      <w:marBottom w:val="0"/>
      <w:divBdr>
        <w:top w:val="none" w:sz="0" w:space="0" w:color="auto"/>
        <w:left w:val="none" w:sz="0" w:space="0" w:color="auto"/>
        <w:bottom w:val="none" w:sz="0" w:space="0" w:color="auto"/>
        <w:right w:val="none" w:sz="0" w:space="0" w:color="auto"/>
      </w:divBdr>
    </w:div>
    <w:div w:id="2084059865">
      <w:bodyDiv w:val="1"/>
      <w:marLeft w:val="0"/>
      <w:marRight w:val="0"/>
      <w:marTop w:val="0"/>
      <w:marBottom w:val="0"/>
      <w:divBdr>
        <w:top w:val="none" w:sz="0" w:space="0" w:color="auto"/>
        <w:left w:val="none" w:sz="0" w:space="0" w:color="auto"/>
        <w:bottom w:val="none" w:sz="0" w:space="0" w:color="auto"/>
        <w:right w:val="none" w:sz="0" w:space="0" w:color="auto"/>
      </w:divBdr>
    </w:div>
    <w:div w:id="2090151816">
      <w:bodyDiv w:val="1"/>
      <w:marLeft w:val="0"/>
      <w:marRight w:val="0"/>
      <w:marTop w:val="0"/>
      <w:marBottom w:val="0"/>
      <w:divBdr>
        <w:top w:val="none" w:sz="0" w:space="0" w:color="auto"/>
        <w:left w:val="none" w:sz="0" w:space="0" w:color="auto"/>
        <w:bottom w:val="none" w:sz="0" w:space="0" w:color="auto"/>
        <w:right w:val="none" w:sz="0" w:space="0" w:color="auto"/>
      </w:divBdr>
    </w:div>
    <w:div w:id="2093500815">
      <w:bodyDiv w:val="1"/>
      <w:marLeft w:val="0"/>
      <w:marRight w:val="0"/>
      <w:marTop w:val="0"/>
      <w:marBottom w:val="0"/>
      <w:divBdr>
        <w:top w:val="none" w:sz="0" w:space="0" w:color="auto"/>
        <w:left w:val="none" w:sz="0" w:space="0" w:color="auto"/>
        <w:bottom w:val="none" w:sz="0" w:space="0" w:color="auto"/>
        <w:right w:val="none" w:sz="0" w:space="0" w:color="auto"/>
      </w:divBdr>
    </w:div>
    <w:div w:id="2122994327">
      <w:bodyDiv w:val="1"/>
      <w:marLeft w:val="0"/>
      <w:marRight w:val="0"/>
      <w:marTop w:val="0"/>
      <w:marBottom w:val="0"/>
      <w:divBdr>
        <w:top w:val="none" w:sz="0" w:space="0" w:color="auto"/>
        <w:left w:val="none" w:sz="0" w:space="0" w:color="auto"/>
        <w:bottom w:val="none" w:sz="0" w:space="0" w:color="auto"/>
        <w:right w:val="none" w:sz="0" w:space="0" w:color="auto"/>
      </w:divBdr>
    </w:div>
    <w:div w:id="213840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6.jpe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hyperlink" Target="http://www.sines.fr/irrigation_solaire.html" TargetMode="External"/><Relationship Id="rId30" Type="http://schemas.openxmlformats.org/officeDocument/2006/relationships/footer" Target="footer8.xml"/><Relationship Id="rId35"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ifc.org/wps/wcm/connect/topics_ext_content/ifc_external_corporate_site/sustainability-at-ifc/policies-standards/ehs-guidelines" TargetMode="External"/><Relationship Id="rId1" Type="http://schemas.openxmlformats.org/officeDocument/2006/relationships/hyperlink" Target="http://tinyurl.com/vu-conse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a85267-15a0-43b4-9f06-ede7b0124ab9">
      <Terms xmlns="http://schemas.microsoft.com/office/infopath/2007/PartnerControls"/>
    </lcf76f155ced4ddcb4097134ff3c332f>
    <TaxCatchAll xmlns="3e02667f-0271-471b-bd6e-11a2e16def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A93BD3B723F434AB28B02DE2F3358A2" ma:contentTypeVersion="15" ma:contentTypeDescription="Create a new document." ma:contentTypeScope="" ma:versionID="4c16dbbb1bdc41e244c8a1d68c923400">
  <xsd:schema xmlns:xsd="http://www.w3.org/2001/XMLSchema" xmlns:xs="http://www.w3.org/2001/XMLSchema" xmlns:p="http://schemas.microsoft.com/office/2006/metadata/properties" xmlns:ns2="59a85267-15a0-43b4-9f06-ede7b0124ab9" xmlns:ns3="0fc9aa52-5816-43a6-a200-522c6587b04e" xmlns:ns4="3e02667f-0271-471b-bd6e-11a2e16def1d" targetNamespace="http://schemas.microsoft.com/office/2006/metadata/properties" ma:root="true" ma:fieldsID="1bdd75df0f3065abe61f45faad9ecd55" ns2:_="" ns3:_="" ns4:_="">
    <xsd:import namespace="59a85267-15a0-43b4-9f06-ede7b0124ab9"/>
    <xsd:import namespace="0fc9aa52-5816-43a6-a200-522c6587b04e"/>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85267-15a0-43b4-9f06-ede7b0124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c9aa52-5816-43a6-a200-522c6587b0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7f0f943-7806-444c-9a27-c21158f00564}" ma:internalName="TaxCatchAll" ma:showField="CatchAllData" ma:web="0fc9aa52-5816-43a6-a200-522c6587b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87B14A-9600-4E93-B467-E4E91349AB09}">
  <ds:schemaRefs>
    <ds:schemaRef ds:uri="http://schemas.microsoft.com/office/2006/metadata/properties"/>
    <ds:schemaRef ds:uri="http://schemas.microsoft.com/office/infopath/2007/PartnerControls"/>
    <ds:schemaRef ds:uri="59a85267-15a0-43b4-9f06-ede7b0124ab9"/>
    <ds:schemaRef ds:uri="3e02667f-0271-471b-bd6e-11a2e16def1d"/>
  </ds:schemaRefs>
</ds:datastoreItem>
</file>

<file path=customXml/itemProps2.xml><?xml version="1.0" encoding="utf-8"?>
<ds:datastoreItem xmlns:ds="http://schemas.openxmlformats.org/officeDocument/2006/customXml" ds:itemID="{B0E7BB33-EE1B-48AE-9662-99823C44EDB1}">
  <ds:schemaRefs>
    <ds:schemaRef ds:uri="http://schemas.microsoft.com/sharepoint/v3/contenttype/forms"/>
  </ds:schemaRefs>
</ds:datastoreItem>
</file>

<file path=customXml/itemProps3.xml><?xml version="1.0" encoding="utf-8"?>
<ds:datastoreItem xmlns:ds="http://schemas.openxmlformats.org/officeDocument/2006/customXml" ds:itemID="{DC23F02B-5FEC-4E65-A025-10A0A5864B39}">
  <ds:schemaRefs>
    <ds:schemaRef ds:uri="http://schemas.openxmlformats.org/officeDocument/2006/bibliography"/>
  </ds:schemaRefs>
</ds:datastoreItem>
</file>

<file path=customXml/itemProps4.xml><?xml version="1.0" encoding="utf-8"?>
<ds:datastoreItem xmlns:ds="http://schemas.openxmlformats.org/officeDocument/2006/customXml" ds:itemID="{929FB0DE-72CC-409A-959C-5AAF872FBE41}">
  <ds:schemaRefs>
    <ds:schemaRef ds:uri="http://schemas.microsoft.com/sharepoint/v3/contenttype/forms"/>
  </ds:schemaRefs>
</ds:datastoreItem>
</file>

<file path=customXml/itemProps5.xml><?xml version="1.0" encoding="utf-8"?>
<ds:datastoreItem xmlns:ds="http://schemas.openxmlformats.org/officeDocument/2006/customXml" ds:itemID="{9F6530A4-9C5A-4050-A1F8-F4E407CF9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85267-15a0-43b4-9f06-ede7b0124ab9"/>
    <ds:schemaRef ds:uri="0fc9aa52-5816-43a6-a200-522c6587b04e"/>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242</Pages>
  <Words>85913</Words>
  <Characters>472524</Characters>
  <Application>Microsoft Office Word</Application>
  <DocSecurity>0</DocSecurity>
  <Lines>3937</Lines>
  <Paragraphs>1114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557323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2023-10-24T10:44:00Z</dcterms:created>
  <dcterms:modified xsi:type="dcterms:W3CDTF">2023-10-24T10:44:00Z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0008003e380000000000010282210207f7000400038000</vt:lpwstr>
  </property>
  <property fmtid="{D5CDD505-2E9C-101B-9397-08002B2CF9AE}" pid="3" name="ContentTypeId">
    <vt:lpwstr>0x0101005A93BD3B723F434AB28B02DE2F3358A2</vt:lpwstr>
  </property>
  <property fmtid="{D5CDD505-2E9C-101B-9397-08002B2CF9AE}" pid="4" name="MediaServiceImageTags">
    <vt:lpwstr/>
  </property>
  <property fmtid="{D5CDD505-2E9C-101B-9397-08002B2CF9AE}" pid="5" name="MSIP_Label_48e3fdf0-05a2-4411-bba7-a0945bfb4a0a_Enabled">
    <vt:lpwstr>true</vt:lpwstr>
  </property>
  <property fmtid="{D5CDD505-2E9C-101B-9397-08002B2CF9AE}" pid="6" name="MSIP_Label_48e3fdf0-05a2-4411-bba7-a0945bfb4a0a_SetDate">
    <vt:lpwstr>2023-10-16T10:56:38Z</vt:lpwstr>
  </property>
  <property fmtid="{D5CDD505-2E9C-101B-9397-08002B2CF9AE}" pid="7" name="MSIP_Label_48e3fdf0-05a2-4411-bba7-a0945bfb4a0a_Method">
    <vt:lpwstr>Privileged</vt:lpwstr>
  </property>
  <property fmtid="{D5CDD505-2E9C-101B-9397-08002B2CF9AE}" pid="8" name="MSIP_Label_48e3fdf0-05a2-4411-bba7-a0945bfb4a0a_Name">
    <vt:lpwstr>Label Only - Official Use</vt:lpwstr>
  </property>
  <property fmtid="{D5CDD505-2E9C-101B-9397-08002B2CF9AE}" pid="9" name="MSIP_Label_48e3fdf0-05a2-4411-bba7-a0945bfb4a0a_SiteId">
    <vt:lpwstr>31a2fec0-266b-4c67-b56e-2796d8f59c36</vt:lpwstr>
  </property>
  <property fmtid="{D5CDD505-2E9C-101B-9397-08002B2CF9AE}" pid="10" name="MSIP_Label_48e3fdf0-05a2-4411-bba7-a0945bfb4a0a_ActionId">
    <vt:lpwstr>9e20c866-92cb-4fa6-853f-c0588173e0c4</vt:lpwstr>
  </property>
  <property fmtid="{D5CDD505-2E9C-101B-9397-08002B2CF9AE}" pid="11" name="MSIP_Label_48e3fdf0-05a2-4411-bba7-a0945bfb4a0a_ContentBits">
    <vt:lpwstr>2</vt:lpwstr>
  </property>
</Properties>
</file>